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07D" w:rsidRDefault="00EB307D" w:rsidP="00EB307D">
      <w:pPr>
        <w:tabs>
          <w:tab w:val="left" w:pos="567"/>
          <w:tab w:val="left" w:pos="993"/>
        </w:tabs>
        <w:rPr>
          <w:rFonts w:cs="Arial"/>
          <w:szCs w:val="22"/>
        </w:rPr>
      </w:pPr>
      <w:bookmarkStart w:id="0" w:name="_GoBack"/>
      <w:bookmarkEnd w:id="0"/>
    </w:p>
    <w:p w:rsidR="00EB307D" w:rsidRPr="00EB307D" w:rsidRDefault="00EB307D" w:rsidP="00EB307D">
      <w:pPr>
        <w:tabs>
          <w:tab w:val="left" w:pos="567"/>
          <w:tab w:val="left" w:pos="993"/>
        </w:tabs>
        <w:jc w:val="center"/>
        <w:rPr>
          <w:rFonts w:cs="Arial"/>
          <w:b/>
          <w:spacing w:val="56"/>
          <w:szCs w:val="22"/>
        </w:rPr>
      </w:pPr>
      <w:r w:rsidRPr="00EB307D">
        <w:rPr>
          <w:rFonts w:cs="Arial"/>
          <w:b/>
          <w:spacing w:val="56"/>
          <w:szCs w:val="22"/>
        </w:rPr>
        <w:t>ZAKON</w:t>
      </w:r>
    </w:p>
    <w:p w:rsidR="00EB307D" w:rsidRDefault="00EB307D" w:rsidP="00EB307D">
      <w:pPr>
        <w:tabs>
          <w:tab w:val="left" w:pos="567"/>
          <w:tab w:val="left" w:pos="993"/>
        </w:tabs>
        <w:jc w:val="center"/>
        <w:rPr>
          <w:rFonts w:cs="Arial"/>
          <w:b/>
          <w:szCs w:val="22"/>
        </w:rPr>
      </w:pPr>
    </w:p>
    <w:p w:rsidR="00EB307D" w:rsidRPr="00EB307D" w:rsidRDefault="00EB307D" w:rsidP="00EB307D">
      <w:pPr>
        <w:tabs>
          <w:tab w:val="left" w:pos="567"/>
          <w:tab w:val="left" w:pos="993"/>
        </w:tabs>
        <w:jc w:val="center"/>
        <w:rPr>
          <w:rFonts w:cs="Arial"/>
          <w:b/>
          <w:szCs w:val="22"/>
        </w:rPr>
      </w:pPr>
      <w:r w:rsidRPr="00EB307D">
        <w:rPr>
          <w:rFonts w:cs="Arial"/>
          <w:b/>
          <w:szCs w:val="22"/>
        </w:rPr>
        <w:t>O NAČINU IZPLAČILA RAZLIKE V PLAČI ZARADI ODPRAVE TRETJE ČETRTINE NESORAZMERIJ V OSNOVNIH PLAČAH JAVNIH USLUŽBENCEV (</w:t>
      </w:r>
      <w:proofErr w:type="spellStart"/>
      <w:r w:rsidRPr="00EB307D">
        <w:rPr>
          <w:rFonts w:cs="Arial"/>
          <w:b/>
          <w:szCs w:val="22"/>
        </w:rPr>
        <w:t>ZNIRPJU</w:t>
      </w:r>
      <w:proofErr w:type="spellEnd"/>
      <w:r w:rsidRPr="00EB307D">
        <w:rPr>
          <w:rFonts w:cs="Arial"/>
          <w:b/>
          <w:szCs w:val="22"/>
        </w:rPr>
        <w:t>)</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jc w:val="center"/>
        <w:rPr>
          <w:rFonts w:cs="Arial"/>
          <w:szCs w:val="22"/>
        </w:rPr>
      </w:pPr>
      <w:r w:rsidRPr="00EB307D">
        <w:rPr>
          <w:rFonts w:cs="Arial"/>
          <w:szCs w:val="22"/>
        </w:rPr>
        <w:t>1. člen</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S tem zakonom se določa način izplačila razlike v plači zaradi odprave tretje četrtine nesorazmerij v osnovnih plačah vsakomur, ki je bil v skladu z Aneksom št. 2 h Kolektivni pogodbi za javni sektor (Uradni list RS, št. 91/09) upravičen do izplačila odprave tretje četrtine nesorazmerij v osnovnih plačah za čas od 1. oktobra 2010 do 31. maja 2012 (v nadaljnjem besedilu: upravičenec) in mu razlika še ni bila izplačana.</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jc w:val="center"/>
        <w:rPr>
          <w:rFonts w:cs="Arial"/>
          <w:szCs w:val="22"/>
        </w:rPr>
      </w:pPr>
      <w:r w:rsidRPr="00EB307D">
        <w:rPr>
          <w:rFonts w:cs="Arial"/>
          <w:szCs w:val="22"/>
        </w:rPr>
        <w:t>2. člen</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(1) Državni organ, samoupravna lokalna skupnost, javna agencija, javni sklad, javni zavod, javni gospodarski zavod oziroma druga oseba javnega prava, ki je posredni uporabnik državnega proračuna ali proračuna lokalne skupnosti (v nadaljnjem besedilu: subjekt javnega sektorja), pri katerem je bil upravičenec v času od 1. oktobra 2010 do 31. maja 2012 v delovnem razmerju, izda upravičencu obvestilo. Obvestilo se izda najkasneje ob izplačilu posameznega obroka razlike v plači zaradi odprave tretje četrtine nesorazmerij v osnovnih plačah. Obvestilo vsebuje izračun, iz katerega je razvidno:</w:t>
      </w:r>
    </w:p>
    <w:p w:rsidR="00EB307D" w:rsidRPr="00EB307D" w:rsidRDefault="00EB307D" w:rsidP="00EB307D">
      <w:pPr>
        <w:pStyle w:val="Odstavekseznama"/>
        <w:numPr>
          <w:ilvl w:val="0"/>
          <w:numId w:val="4"/>
        </w:numPr>
        <w:tabs>
          <w:tab w:val="left" w:pos="567"/>
          <w:tab w:val="left" w:pos="993"/>
        </w:tabs>
        <w:rPr>
          <w:rFonts w:cs="Arial"/>
          <w:szCs w:val="22"/>
        </w:rPr>
      </w:pPr>
      <w:r w:rsidRPr="00EB307D">
        <w:rPr>
          <w:rFonts w:cs="Arial"/>
          <w:szCs w:val="22"/>
        </w:rPr>
        <w:t>razlika v plači zaradi odprave tretje četrtine nesorazmerij v osnovnih plačah za čas, za katerega je izvršeno izplačilo, prikazana po posameznih mesecih, in</w:t>
      </w:r>
    </w:p>
    <w:p w:rsidR="00EB307D" w:rsidRPr="00EB307D" w:rsidRDefault="00EB307D" w:rsidP="00EB307D">
      <w:pPr>
        <w:pStyle w:val="Odstavekseznama"/>
        <w:numPr>
          <w:ilvl w:val="0"/>
          <w:numId w:val="4"/>
        </w:numPr>
        <w:tabs>
          <w:tab w:val="left" w:pos="567"/>
          <w:tab w:val="left" w:pos="993"/>
        </w:tabs>
        <w:rPr>
          <w:rFonts w:cs="Arial"/>
          <w:szCs w:val="22"/>
        </w:rPr>
      </w:pPr>
      <w:r w:rsidRPr="00EB307D">
        <w:rPr>
          <w:rFonts w:cs="Arial"/>
          <w:szCs w:val="22"/>
        </w:rPr>
        <w:t xml:space="preserve">zakonske zamudne obresti od posameznih neto zneskov te razlike v plači do dneva izplačila posameznega obroka razlike v plači. </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(2) Obvestila iz prejšnjega odstavka ni treba izdati, če so vsi podatki, ki bi jih moralo vsebovati obvestilo, prikazani na plačilni listi, izdani ob izplačilu razlike plače.</w:t>
      </w:r>
    </w:p>
    <w:p w:rsidR="00EB307D" w:rsidRPr="00EB307D" w:rsidRDefault="00EB307D" w:rsidP="00EB307D">
      <w:pPr>
        <w:tabs>
          <w:tab w:val="left" w:pos="567"/>
          <w:tab w:val="left" w:pos="993"/>
        </w:tabs>
        <w:rPr>
          <w:rFonts w:cs="Arial"/>
          <w:szCs w:val="22"/>
        </w:rPr>
      </w:pPr>
      <w:r w:rsidRPr="00EB307D">
        <w:rPr>
          <w:rFonts w:cs="Arial"/>
          <w:szCs w:val="22"/>
        </w:rPr>
        <w:t xml:space="preserve"> </w:t>
      </w: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(3) Če subjekt javnega sektorja preneha ali je ukinjen, izda obvestilo subjekt, na katerega so bile prenesene njegove naloge in javni uslužbenci (v nadaljnjem besedilu: pravni naslednik). Če pravnega naslednika ni ali pravni naslednik ni subjekt javnega sektorja, obvestilo izda ustanovitelj subjekta javnega sektorja, ki preneha ali je ukinjen.</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jc w:val="center"/>
        <w:rPr>
          <w:rFonts w:cs="Arial"/>
          <w:szCs w:val="22"/>
        </w:rPr>
      </w:pPr>
      <w:r w:rsidRPr="00EB307D">
        <w:rPr>
          <w:rFonts w:cs="Arial"/>
          <w:szCs w:val="22"/>
        </w:rPr>
        <w:t>3. člen</w:t>
      </w:r>
    </w:p>
    <w:p w:rsid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t>(</w:t>
      </w:r>
      <w:r w:rsidRPr="00EB307D">
        <w:rPr>
          <w:rFonts w:cs="Arial"/>
          <w:szCs w:val="22"/>
        </w:rPr>
        <w:t>1) Izplačilo razlike v plači zaradi odprave tretje četrtine nesorazmerij v osnovnih plačah se opravi v največ dveh obrokih.</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 xml:space="preserve">(2)  V prvem obroku, ki se izplača najkasneje do konca meseca februarja 2014, se izplačajo razlike v plači  zaradi odprave tretje četrtine nesorazmerij v osnovnih plačah od 1. oktobra 2010 do 31. julija 2011 in pripadajoče zakonske zamudne obresti, ki tečejo od prvega naslednjega dne po dnevu, ki je določen za izplačilo posamezne plače za obdobja od 1. oktobra 2010 do 31. julija 2011 do dneva plačila prvega obroka. </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 xml:space="preserve">(3)  V drugem obroku, ki se izplača najkasneje do konca meseca januarja 2015, se izplačajo razlike v plači  zaradi odprave tretje četrtine nesorazmerij v osnovnih </w:t>
      </w:r>
      <w:r w:rsidRPr="00EB307D">
        <w:rPr>
          <w:rFonts w:cs="Arial"/>
          <w:szCs w:val="22"/>
        </w:rPr>
        <w:lastRenderedPageBreak/>
        <w:t>plačah za čas od 1. avgusta 2011 do 31. maja 2012 in pripadajoče zakonske zamudne obresti, ki tečejo od prvega naslednjega dne po dnevu, ki je določen za izplačilo posamezne plače za obdobja od 1. avgusta 2011 do 31. maja 2012 do dneva plačila.</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(4) Zavezanec za izplačilo je izdajatelj obvestila iz prejšnjega člena.</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jc w:val="center"/>
        <w:rPr>
          <w:rFonts w:cs="Arial"/>
          <w:szCs w:val="22"/>
        </w:rPr>
      </w:pPr>
      <w:r w:rsidRPr="00EB307D">
        <w:rPr>
          <w:rFonts w:cs="Arial"/>
          <w:szCs w:val="22"/>
        </w:rPr>
        <w:t>4. člen</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(1)</w:t>
      </w:r>
      <w:r>
        <w:rPr>
          <w:rFonts w:cs="Arial"/>
          <w:szCs w:val="22"/>
        </w:rPr>
        <w:t xml:space="preserve"> </w:t>
      </w:r>
      <w:r w:rsidRPr="00EB307D">
        <w:rPr>
          <w:rFonts w:cs="Arial"/>
          <w:szCs w:val="22"/>
        </w:rPr>
        <w:t xml:space="preserve">Pri odmeri dohodnine na letni ravni se pri dohodku iz delovnega razmerja v višini razlike v plači zaradi odprave tretje četrtine nesorazmerij v osnovnih plačah  upošteva </w:t>
      </w:r>
      <w:proofErr w:type="spellStart"/>
      <w:r w:rsidRPr="00EB307D">
        <w:rPr>
          <w:rFonts w:cs="Arial"/>
          <w:szCs w:val="22"/>
        </w:rPr>
        <w:t>povprečenje</w:t>
      </w:r>
      <w:proofErr w:type="spellEnd"/>
      <w:r w:rsidRPr="00EB307D">
        <w:rPr>
          <w:rFonts w:cs="Arial"/>
          <w:szCs w:val="22"/>
        </w:rPr>
        <w:t xml:space="preserve"> v skladu s prvim odstavkom 120. člena Zakona o dohodnini (Uradni list RS, št. 13/11 – uradno prečiščeno besedilo, 24/12, 30/12, 40/12 – </w:t>
      </w:r>
      <w:proofErr w:type="spellStart"/>
      <w:r w:rsidRPr="00EB307D">
        <w:rPr>
          <w:rFonts w:cs="Arial"/>
          <w:szCs w:val="22"/>
        </w:rPr>
        <w:t>ZUJF</w:t>
      </w:r>
      <w:proofErr w:type="spellEnd"/>
      <w:r w:rsidRPr="00EB307D">
        <w:rPr>
          <w:rFonts w:cs="Arial"/>
          <w:szCs w:val="22"/>
        </w:rPr>
        <w:t>, 75/12</w:t>
      </w:r>
      <w:r>
        <w:rPr>
          <w:rFonts w:cs="Arial"/>
          <w:szCs w:val="22"/>
        </w:rPr>
        <w:t xml:space="preserve">, </w:t>
      </w:r>
      <w:r w:rsidRPr="00EB307D">
        <w:rPr>
          <w:rFonts w:cs="Arial"/>
          <w:szCs w:val="22"/>
        </w:rPr>
        <w:t>94/12</w:t>
      </w:r>
      <w:r>
        <w:rPr>
          <w:rFonts w:cs="Arial"/>
          <w:szCs w:val="22"/>
        </w:rPr>
        <w:t xml:space="preserve"> in 96/13</w:t>
      </w:r>
      <w:r w:rsidRPr="00EB307D">
        <w:rPr>
          <w:rFonts w:cs="Arial"/>
          <w:szCs w:val="22"/>
        </w:rPr>
        <w:t>).</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 xml:space="preserve">(2) Od zamudnih obresti iz drugega in tretjega odstavka prejšnjega člena se ne plača dohodnine. </w:t>
      </w:r>
    </w:p>
    <w:p w:rsidR="00EB307D" w:rsidRPr="00EB307D" w:rsidRDefault="00EB307D" w:rsidP="00EB307D">
      <w:pPr>
        <w:tabs>
          <w:tab w:val="left" w:pos="567"/>
          <w:tab w:val="left" w:pos="993"/>
        </w:tabs>
        <w:rPr>
          <w:rFonts w:cs="Arial"/>
          <w:szCs w:val="22"/>
        </w:rPr>
      </w:pPr>
    </w:p>
    <w:p w:rsid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jc w:val="center"/>
        <w:rPr>
          <w:rFonts w:cs="Arial"/>
          <w:szCs w:val="22"/>
        </w:rPr>
      </w:pPr>
      <w:r w:rsidRPr="00EB307D">
        <w:rPr>
          <w:rFonts w:cs="Arial"/>
          <w:szCs w:val="22"/>
        </w:rPr>
        <w:t>5. člen</w:t>
      </w:r>
    </w:p>
    <w:p w:rsidR="00EB307D" w:rsidRP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Minister, pristojen za sistem plač v javnem sektorju, in minister, pristojen za finance, najkasneje v 15 dn</w:t>
      </w:r>
      <w:r w:rsidR="00D76FF0">
        <w:rPr>
          <w:rFonts w:cs="Arial"/>
          <w:szCs w:val="22"/>
        </w:rPr>
        <w:t>eh</w:t>
      </w:r>
      <w:r w:rsidRPr="00EB307D">
        <w:rPr>
          <w:rFonts w:cs="Arial"/>
          <w:szCs w:val="22"/>
        </w:rPr>
        <w:t xml:space="preserve"> od uveljavitve tega zakona predpišeta navodilo za izvršitev določb 2. in 3. člena tega zakona.</w:t>
      </w:r>
    </w:p>
    <w:p w:rsidR="00EB307D" w:rsidRPr="00EB307D" w:rsidRDefault="00EB307D" w:rsidP="00EB307D">
      <w:pPr>
        <w:tabs>
          <w:tab w:val="left" w:pos="567"/>
          <w:tab w:val="left" w:pos="993"/>
        </w:tabs>
        <w:rPr>
          <w:rFonts w:cs="Arial"/>
          <w:szCs w:val="22"/>
        </w:rPr>
      </w:pPr>
    </w:p>
    <w:p w:rsidR="00EB307D" w:rsidRDefault="00EB307D" w:rsidP="00EB307D">
      <w:pPr>
        <w:tabs>
          <w:tab w:val="left" w:pos="567"/>
          <w:tab w:val="left" w:pos="993"/>
        </w:tabs>
        <w:rPr>
          <w:rFonts w:cs="Arial"/>
          <w:szCs w:val="22"/>
        </w:rPr>
      </w:pPr>
    </w:p>
    <w:p w:rsidR="00EB307D" w:rsidRPr="00EB307D" w:rsidRDefault="00EB307D" w:rsidP="00EB307D">
      <w:pPr>
        <w:tabs>
          <w:tab w:val="left" w:pos="567"/>
          <w:tab w:val="left" w:pos="993"/>
        </w:tabs>
        <w:jc w:val="center"/>
        <w:rPr>
          <w:rFonts w:cs="Arial"/>
          <w:szCs w:val="22"/>
        </w:rPr>
      </w:pPr>
      <w:r w:rsidRPr="00EB307D">
        <w:rPr>
          <w:rFonts w:cs="Arial"/>
          <w:szCs w:val="22"/>
        </w:rPr>
        <w:t>6. člen</w:t>
      </w:r>
    </w:p>
    <w:p w:rsidR="00EB307D" w:rsidRPr="00EB307D" w:rsidRDefault="00EB307D" w:rsidP="00EB307D">
      <w:pPr>
        <w:tabs>
          <w:tab w:val="left" w:pos="567"/>
          <w:tab w:val="left" w:pos="993"/>
        </w:tabs>
        <w:rPr>
          <w:rFonts w:cs="Arial"/>
          <w:szCs w:val="22"/>
        </w:rPr>
      </w:pPr>
    </w:p>
    <w:p w:rsidR="00EB307D" w:rsidRDefault="00EB307D" w:rsidP="00EB307D">
      <w:pPr>
        <w:tabs>
          <w:tab w:val="left" w:pos="567"/>
          <w:tab w:val="left" w:pos="993"/>
        </w:tabs>
        <w:rPr>
          <w:rFonts w:cs="Arial"/>
          <w:szCs w:val="22"/>
        </w:rPr>
      </w:pPr>
      <w:r>
        <w:rPr>
          <w:rFonts w:cs="Arial"/>
          <w:szCs w:val="22"/>
        </w:rPr>
        <w:tab/>
      </w:r>
      <w:r>
        <w:rPr>
          <w:rFonts w:cs="Arial"/>
          <w:szCs w:val="22"/>
        </w:rPr>
        <w:tab/>
      </w:r>
      <w:r w:rsidRPr="00EB307D">
        <w:rPr>
          <w:rFonts w:cs="Arial"/>
          <w:szCs w:val="22"/>
        </w:rPr>
        <w:t>Ta zakon začne veljati naslednji dan po objavi v Uradnem listu Republike Slovenije.</w:t>
      </w:r>
    </w:p>
    <w:p w:rsidR="00415B7E" w:rsidRDefault="00415B7E" w:rsidP="00EB307D">
      <w:pPr>
        <w:tabs>
          <w:tab w:val="left" w:pos="567"/>
          <w:tab w:val="left" w:pos="993"/>
        </w:tabs>
        <w:rPr>
          <w:rFonts w:cs="Arial"/>
          <w:szCs w:val="22"/>
        </w:rPr>
      </w:pPr>
    </w:p>
    <w:p w:rsidR="00415B7E" w:rsidRDefault="00415B7E" w:rsidP="00EB307D">
      <w:pPr>
        <w:tabs>
          <w:tab w:val="left" w:pos="567"/>
          <w:tab w:val="left" w:pos="993"/>
        </w:tabs>
        <w:rPr>
          <w:rFonts w:cs="Arial"/>
          <w:szCs w:val="22"/>
        </w:rPr>
      </w:pPr>
    </w:p>
    <w:p w:rsidR="00415B7E" w:rsidRDefault="00415B7E" w:rsidP="00415B7E">
      <w:pPr>
        <w:tabs>
          <w:tab w:val="left" w:pos="567"/>
          <w:tab w:val="left" w:pos="993"/>
        </w:tabs>
        <w:rPr>
          <w:rFonts w:cs="Arial"/>
          <w:szCs w:val="22"/>
        </w:rPr>
      </w:pPr>
      <w:r>
        <w:rPr>
          <w:rFonts w:cs="Arial"/>
          <w:szCs w:val="22"/>
        </w:rPr>
        <w:t xml:space="preserve">Številka: </w:t>
      </w:r>
      <w:r w:rsidRPr="00EB307D">
        <w:rPr>
          <w:rFonts w:cs="Arial"/>
          <w:szCs w:val="22"/>
        </w:rPr>
        <w:t>110-06/13-20/</w:t>
      </w:r>
    </w:p>
    <w:p w:rsidR="00415B7E" w:rsidRDefault="00415B7E" w:rsidP="00415B7E">
      <w:pPr>
        <w:tabs>
          <w:tab w:val="left" w:pos="567"/>
          <w:tab w:val="left" w:pos="993"/>
        </w:tabs>
        <w:rPr>
          <w:rFonts w:cs="Arial"/>
          <w:szCs w:val="22"/>
        </w:rPr>
      </w:pPr>
      <w:r>
        <w:rPr>
          <w:rFonts w:cs="Arial"/>
          <w:szCs w:val="22"/>
        </w:rPr>
        <w:t>Datum: 27. november 2013</w:t>
      </w:r>
    </w:p>
    <w:p w:rsidR="00415B7E" w:rsidRDefault="00415B7E" w:rsidP="00415B7E">
      <w:pPr>
        <w:tabs>
          <w:tab w:val="left" w:pos="567"/>
          <w:tab w:val="left" w:pos="993"/>
        </w:tabs>
        <w:rPr>
          <w:rFonts w:cs="Arial"/>
          <w:szCs w:val="22"/>
        </w:rPr>
      </w:pPr>
      <w:r w:rsidRPr="00EB307D">
        <w:rPr>
          <w:rFonts w:cs="Arial"/>
          <w:szCs w:val="22"/>
        </w:rPr>
        <w:t>EPA 1592-VI</w:t>
      </w:r>
    </w:p>
    <w:p w:rsidR="00415B7E" w:rsidRPr="00ED0A8E" w:rsidRDefault="00415B7E" w:rsidP="00415B7E">
      <w:pPr>
        <w:tabs>
          <w:tab w:val="left" w:pos="6521"/>
        </w:tabs>
        <w:rPr>
          <w:szCs w:val="22"/>
        </w:rPr>
      </w:pPr>
      <w:r w:rsidRPr="00ED0A8E">
        <w:rPr>
          <w:szCs w:val="22"/>
        </w:rPr>
        <w:tab/>
        <w:t>Državni zbor</w:t>
      </w:r>
    </w:p>
    <w:p w:rsidR="00415B7E" w:rsidRDefault="00415B7E" w:rsidP="00415B7E">
      <w:pPr>
        <w:tabs>
          <w:tab w:val="left" w:pos="6521"/>
        </w:tabs>
        <w:rPr>
          <w:szCs w:val="22"/>
        </w:rPr>
      </w:pPr>
      <w:r w:rsidRPr="00ED0A8E">
        <w:rPr>
          <w:szCs w:val="22"/>
        </w:rPr>
        <w:tab/>
      </w:r>
      <w:r>
        <w:rPr>
          <w:szCs w:val="22"/>
        </w:rPr>
        <w:t>Janko Veber</w:t>
      </w:r>
    </w:p>
    <w:p w:rsidR="00415B7E" w:rsidRPr="00ED0A8E" w:rsidRDefault="00415B7E" w:rsidP="00415B7E">
      <w:pPr>
        <w:tabs>
          <w:tab w:val="left" w:pos="6521"/>
        </w:tabs>
        <w:rPr>
          <w:szCs w:val="22"/>
        </w:rPr>
      </w:pPr>
      <w:r w:rsidRPr="00ED0A8E">
        <w:rPr>
          <w:szCs w:val="22"/>
        </w:rPr>
        <w:tab/>
        <w:t>predsednik</w:t>
      </w:r>
    </w:p>
    <w:p w:rsidR="00415B7E" w:rsidRPr="00EB307D" w:rsidRDefault="00415B7E" w:rsidP="00EB307D">
      <w:pPr>
        <w:tabs>
          <w:tab w:val="left" w:pos="567"/>
          <w:tab w:val="left" w:pos="993"/>
        </w:tabs>
        <w:rPr>
          <w:rFonts w:cs="Arial"/>
          <w:szCs w:val="22"/>
        </w:rPr>
      </w:pPr>
    </w:p>
    <w:sectPr w:rsidR="00415B7E" w:rsidRPr="00EB307D"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EB307D" w:rsidRDefault="007C78F0" w:rsidP="005C11F0">
    <w:pPr>
      <w:pStyle w:val="Glava"/>
      <w:tabs>
        <w:tab w:val="clear" w:pos="4703"/>
        <w:tab w:val="clear" w:pos="9406"/>
        <w:tab w:val="center" w:pos="4253"/>
      </w:tabs>
      <w:rPr>
        <w:szCs w:val="22"/>
      </w:rPr>
    </w:pPr>
    <w:r w:rsidRPr="00EB307D">
      <w:rPr>
        <w:szCs w:val="22"/>
      </w:rPr>
      <w:tab/>
    </w:r>
    <w:r w:rsidRPr="00EB307D">
      <w:rPr>
        <w:rStyle w:val="tevilkastrani"/>
        <w:szCs w:val="22"/>
      </w:rPr>
      <w:fldChar w:fldCharType="begin"/>
    </w:r>
    <w:r w:rsidRPr="00EB307D">
      <w:rPr>
        <w:rStyle w:val="tevilkastrani"/>
        <w:szCs w:val="22"/>
      </w:rPr>
      <w:instrText xml:space="preserve"> PAGE </w:instrText>
    </w:r>
    <w:r w:rsidRPr="00EB307D">
      <w:rPr>
        <w:rStyle w:val="tevilkastrani"/>
        <w:szCs w:val="22"/>
      </w:rPr>
      <w:fldChar w:fldCharType="separate"/>
    </w:r>
    <w:r w:rsidR="00415B7E">
      <w:rPr>
        <w:rStyle w:val="tevilkastrani"/>
        <w:noProof/>
        <w:szCs w:val="22"/>
      </w:rPr>
      <w:t>2</w:t>
    </w:r>
    <w:r w:rsidRPr="00EB307D">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527E64FE"/>
    <w:multiLevelType w:val="hybridMultilevel"/>
    <w:tmpl w:val="F0688BFA"/>
    <w:lvl w:ilvl="0" w:tplc="C520D2BC">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5D914F0E"/>
    <w:multiLevelType w:val="hybridMultilevel"/>
    <w:tmpl w:val="3A0068B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15B7E"/>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1D71"/>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76FF0"/>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B307D"/>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10</TotalTime>
  <Pages>2</Pages>
  <Words>597</Words>
  <Characters>3320</Characters>
  <Application>Microsoft Office Word</Application>
  <DocSecurity>0</DocSecurity>
  <Lines>27</Lines>
  <Paragraphs>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2011-06-20T14:59:00Z</cp:lastPrinted>
  <dcterms:created xsi:type="dcterms:W3CDTF">2013-11-27T07:08:00Z</dcterms:created>
  <dcterms:modified xsi:type="dcterms:W3CDTF">2013-12-04T08:29:00Z</dcterms:modified>
</cp:coreProperties>
</file>