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8"/>
          <w:szCs w:val="22"/>
        </w:rPr>
      </w:pPr>
      <w:bookmarkStart w:id="0" w:name="_GoBack"/>
      <w:bookmarkEnd w:id="0"/>
      <w:r w:rsidRPr="0092636E">
        <w:rPr>
          <w:rFonts w:cs="Arial"/>
          <w:b/>
          <w:spacing w:val="58"/>
          <w:szCs w:val="22"/>
        </w:rPr>
        <w:t>ZAKON</w:t>
      </w:r>
    </w:p>
    <w:p w:rsid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92636E">
        <w:rPr>
          <w:rFonts w:cs="Arial"/>
          <w:b/>
          <w:szCs w:val="22"/>
        </w:rPr>
        <w:t>O SPREMEMBAH IN DOPOLNITVAH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92636E">
        <w:rPr>
          <w:rFonts w:cs="Arial"/>
          <w:b/>
          <w:szCs w:val="22"/>
        </w:rPr>
        <w:t>ZAKONA O VARNOSTI V ŽELEZNIŠKEM PROMETU (ZVZ</w:t>
      </w:r>
      <w:r>
        <w:rPr>
          <w:rFonts w:cs="Arial"/>
          <w:b/>
          <w:szCs w:val="22"/>
        </w:rPr>
        <w:t>el</w:t>
      </w:r>
      <w:r w:rsidRPr="0092636E">
        <w:rPr>
          <w:rFonts w:cs="Arial"/>
          <w:b/>
          <w:szCs w:val="22"/>
        </w:rPr>
        <w:t>P-F)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636E">
        <w:rPr>
          <w:rFonts w:cs="Arial"/>
          <w:szCs w:val="22"/>
        </w:rPr>
        <w:t>1. člen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>V Zakonu o varnosti v železniškem prometu (Uradni list RS, št. št. 56/13 – uradno prečiščeno besedilo, 91/13, 82/15 in 84/15 – ZZelP-J) se v tretjem odstavku 1. člena druga</w:t>
      </w:r>
      <w:r>
        <w:rPr>
          <w:rFonts w:cs="Arial"/>
          <w:szCs w:val="22"/>
        </w:rPr>
        <w:t xml:space="preserve"> in tretja</w:t>
      </w:r>
      <w:r w:rsidRPr="0092636E">
        <w:rPr>
          <w:rFonts w:cs="Arial"/>
          <w:szCs w:val="22"/>
        </w:rPr>
        <w:t xml:space="preserve"> aline</w:t>
      </w:r>
      <w:r w:rsidR="008E66BA">
        <w:rPr>
          <w:rFonts w:cs="Arial"/>
          <w:szCs w:val="22"/>
        </w:rPr>
        <w:t>j</w:t>
      </w:r>
      <w:r w:rsidRPr="0092636E">
        <w:rPr>
          <w:rFonts w:cs="Arial"/>
          <w:szCs w:val="22"/>
        </w:rPr>
        <w:t>a spremeni</w:t>
      </w:r>
      <w:r>
        <w:rPr>
          <w:rFonts w:cs="Arial"/>
          <w:szCs w:val="22"/>
        </w:rPr>
        <w:t>ta</w:t>
      </w:r>
      <w:r w:rsidRPr="0092636E">
        <w:rPr>
          <w:rFonts w:cs="Arial"/>
          <w:szCs w:val="22"/>
        </w:rPr>
        <w:t xml:space="preserve"> tako, da se glasi</w:t>
      </w:r>
      <w:r>
        <w:rPr>
          <w:rFonts w:cs="Arial"/>
          <w:szCs w:val="22"/>
        </w:rPr>
        <w:t>ta</w:t>
      </w:r>
      <w:r w:rsidRPr="0092636E">
        <w:rPr>
          <w:rFonts w:cs="Arial"/>
          <w:szCs w:val="22"/>
        </w:rPr>
        <w:t>: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92636E">
        <w:rPr>
          <w:rFonts w:cs="Arial"/>
          <w:szCs w:val="22"/>
        </w:rPr>
        <w:t>»</w:t>
      </w:r>
      <w:r>
        <w:rPr>
          <w:rFonts w:cs="Arial"/>
          <w:szCs w:val="22"/>
        </w:rPr>
        <w:t>-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Direktive 2008/57/ES Evropskega parlamenta in Sveta z dne 17. junija 2008 o </w:t>
      </w:r>
      <w:r>
        <w:rPr>
          <w:rFonts w:cs="Arial"/>
          <w:szCs w:val="22"/>
        </w:rPr>
        <w:tab/>
      </w:r>
      <w:proofErr w:type="spellStart"/>
      <w:r w:rsidRPr="0092636E">
        <w:rPr>
          <w:rFonts w:cs="Arial"/>
          <w:szCs w:val="22"/>
        </w:rPr>
        <w:t>interoperabilnosti</w:t>
      </w:r>
      <w:proofErr w:type="spellEnd"/>
      <w:r w:rsidRPr="0092636E">
        <w:rPr>
          <w:rFonts w:cs="Arial"/>
          <w:szCs w:val="22"/>
        </w:rPr>
        <w:t xml:space="preserve"> železniškega sistema v Skupnosti (prenovitev) (UL L št. 191 z 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dne 18. 7. 2008, str. 1), zadnjič spremenjene z Direktivo Komisije 2014/106/EU z 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dne 5. decembra 2014 o spremembi prilog V in VI k Direktivi 2008/57/ES 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Evropskega Parlamenta in Sveta o </w:t>
      </w:r>
      <w:proofErr w:type="spellStart"/>
      <w:r w:rsidRPr="0092636E">
        <w:rPr>
          <w:rFonts w:cs="Arial"/>
          <w:szCs w:val="22"/>
        </w:rPr>
        <w:t>interoperabilnosti</w:t>
      </w:r>
      <w:proofErr w:type="spellEnd"/>
      <w:r w:rsidRPr="0092636E">
        <w:rPr>
          <w:rFonts w:cs="Arial"/>
          <w:szCs w:val="22"/>
        </w:rPr>
        <w:t xml:space="preserve"> železniškega sistema v 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>Skupnosti (UL L št. 355 z dne 12. 12. 2014, str. 42), (v nadaljnjem be</w:t>
      </w:r>
      <w:r>
        <w:rPr>
          <w:rFonts w:cs="Arial"/>
          <w:szCs w:val="22"/>
        </w:rPr>
        <w:t xml:space="preserve">sedilu: </w:t>
      </w:r>
      <w:r>
        <w:rPr>
          <w:rFonts w:cs="Arial"/>
          <w:szCs w:val="22"/>
        </w:rPr>
        <w:tab/>
        <w:t>Direktiva 2008/57/ES);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  -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Direktive 2007/59/ES Evropskega parlamenta in Sveta z dne 23. oktobra 2007 o 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izdaji spričeval strojevodjem, ki upravljajo lokomotive in vlake na železniškem 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omrežju Skupnosti (UL L št. 315 z dne 3. 12. 2007, str. 51), zadnjič spremenjene 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z Direktivo Komisije (EU) 2016/882 z dne 1. junija 2016 o spremembi Direktive 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2007/59/ES Evropskega parlamenta in Sveta glede jezikovnih zahtev (UL L št. </w:t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>146 z dne 3. 6. 2016, str. 22), (v nadaljnjem besedilu: Direktiva 2007/59/ES).«.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636E">
        <w:rPr>
          <w:rFonts w:cs="Arial"/>
          <w:szCs w:val="22"/>
        </w:rPr>
        <w:t>2. člen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>Za tretjim odstavkom 7. člena se dodata nova četrti in peti odstavek, ki se glasita: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»(4) Ministrstvo lahko ob uveljavitvi posamezne </w:t>
      </w:r>
      <w:proofErr w:type="spellStart"/>
      <w:r w:rsidRPr="0092636E">
        <w:rPr>
          <w:rFonts w:cs="Arial"/>
          <w:szCs w:val="22"/>
        </w:rPr>
        <w:t>TSI</w:t>
      </w:r>
      <w:proofErr w:type="spellEnd"/>
      <w:r w:rsidRPr="0092636E">
        <w:rPr>
          <w:rFonts w:cs="Arial"/>
          <w:szCs w:val="22"/>
        </w:rPr>
        <w:t xml:space="preserve"> sprejme nacionalni načrt njenega izvajanja, ki mora biti usklajen s strategijo razvoja javne železniške infrastrukture. Podlage za pripravo nacionalnega načrta izvajanja </w:t>
      </w:r>
      <w:proofErr w:type="spellStart"/>
      <w:r w:rsidRPr="0092636E">
        <w:rPr>
          <w:rFonts w:cs="Arial"/>
          <w:szCs w:val="22"/>
        </w:rPr>
        <w:t>TSI</w:t>
      </w:r>
      <w:proofErr w:type="spellEnd"/>
      <w:r w:rsidRPr="0092636E">
        <w:rPr>
          <w:rFonts w:cs="Arial"/>
          <w:szCs w:val="22"/>
        </w:rPr>
        <w:t xml:space="preserve"> pripravijo organ za vodenje investicij v javno železniško infrastrukturo, upravljavec ali prevozniki, vsak za svoje področje dela</w:t>
      </w:r>
      <w:r w:rsidR="008E66BA">
        <w:rPr>
          <w:rFonts w:cs="Arial"/>
          <w:szCs w:val="22"/>
        </w:rPr>
        <w:t>,</w:t>
      </w:r>
      <w:r w:rsidRPr="0092636E">
        <w:rPr>
          <w:rFonts w:cs="Arial"/>
          <w:szCs w:val="22"/>
        </w:rPr>
        <w:t xml:space="preserve"> in ga posredujejo varnostnemu organu. Pripravo podlag usklajuje varnostni organ, ki pripravi predlog nacionalnega načrta izvajanja posamezne </w:t>
      </w:r>
      <w:proofErr w:type="spellStart"/>
      <w:r w:rsidRPr="0092636E">
        <w:rPr>
          <w:rFonts w:cs="Arial"/>
          <w:szCs w:val="22"/>
        </w:rPr>
        <w:t>TSI</w:t>
      </w:r>
      <w:proofErr w:type="spellEnd"/>
      <w:r w:rsidRPr="0092636E">
        <w:rPr>
          <w:rFonts w:cs="Arial"/>
          <w:szCs w:val="22"/>
        </w:rPr>
        <w:t xml:space="preserve"> in ga posreduje ministrstvu. Enak postopek velja tudi za priglasitev seznama projektov v kasnejši fazi razvoja zaradi odstopanja od uporabe </w:t>
      </w:r>
      <w:proofErr w:type="spellStart"/>
      <w:r w:rsidRPr="0092636E">
        <w:rPr>
          <w:rFonts w:cs="Arial"/>
          <w:szCs w:val="22"/>
        </w:rPr>
        <w:t>TSI</w:t>
      </w:r>
      <w:proofErr w:type="spellEnd"/>
      <w:r w:rsidRPr="0092636E">
        <w:rPr>
          <w:rFonts w:cs="Arial"/>
          <w:szCs w:val="22"/>
        </w:rPr>
        <w:t xml:space="preserve"> in priglasitev nacionalnih predpisov, ki se uporabljajo za posebne primere in odprta vprašanja oziroma točke. 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(5) Pristojni organ za izvajanje nalog nacionalne kontaktne točke iz tretjega odstavka člena 5 Uredbe Komisije (EU) št. 1305/2014 z dne 11. decembra 2014 o tehnični specifikaciji za </w:t>
      </w:r>
      <w:proofErr w:type="spellStart"/>
      <w:r w:rsidRPr="0092636E">
        <w:rPr>
          <w:rFonts w:cs="Arial"/>
          <w:szCs w:val="22"/>
        </w:rPr>
        <w:t>interoperabilnost</w:t>
      </w:r>
      <w:proofErr w:type="spellEnd"/>
      <w:r w:rsidRPr="0092636E">
        <w:rPr>
          <w:rFonts w:cs="Arial"/>
          <w:szCs w:val="22"/>
        </w:rPr>
        <w:t xml:space="preserve"> v zvezi s podsistemom </w:t>
      </w:r>
      <w:proofErr w:type="spellStart"/>
      <w:r w:rsidRPr="0092636E">
        <w:rPr>
          <w:rFonts w:cs="Arial"/>
          <w:szCs w:val="22"/>
        </w:rPr>
        <w:t>telematske</w:t>
      </w:r>
      <w:proofErr w:type="spellEnd"/>
      <w:r w:rsidRPr="0092636E">
        <w:rPr>
          <w:rFonts w:cs="Arial"/>
          <w:szCs w:val="22"/>
        </w:rPr>
        <w:t xml:space="preserve"> aplikacije za tovorni promet železniškega sistema v Evropski uniji in razveljavitvi Uredbe (ES) št. 62/2006 (UL L št. 123 z dne 12. 5. 2011, str. 11), je varnostni organ.«.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636E">
        <w:rPr>
          <w:rFonts w:cs="Arial"/>
          <w:szCs w:val="22"/>
        </w:rPr>
        <w:t>3. člen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>Drugi odstavek 14. člena se spremeni tako, da se glasi: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»(2) ES-verifikacija je postopek, s katerim priglašeni organ na zahtevo naročnika ali proizvajalca ali njunega zastopnika s sedežem v Evropski uniji preveri in z izdajo potrdila o verifikaciji potrdi, da je podsistem </w:t>
      </w:r>
      <w:proofErr w:type="spellStart"/>
      <w:r w:rsidRPr="0092636E">
        <w:rPr>
          <w:rFonts w:cs="Arial"/>
          <w:szCs w:val="22"/>
        </w:rPr>
        <w:t>interoperabilen</w:t>
      </w:r>
      <w:proofErr w:type="spellEnd"/>
      <w:r w:rsidRPr="0092636E">
        <w:rPr>
          <w:rFonts w:cs="Arial"/>
          <w:szCs w:val="22"/>
        </w:rPr>
        <w:t xml:space="preserve"> v skladu s tem zakonom in predpisi Evropske unije ter da se lahko vključi v obratovanje. Postopek </w:t>
      </w:r>
      <w:r w:rsidRPr="0092636E">
        <w:rPr>
          <w:rFonts w:cs="Arial"/>
          <w:szCs w:val="22"/>
        </w:rPr>
        <w:lastRenderedPageBreak/>
        <w:t xml:space="preserve">verifikacije podsistemov mora potekati v skladu s postopkom, določenim v Prilogi VI Direktive 2008/57/ES. Priglašeni organ lahko po postopku iz Priloge VI Direktive 2008/57/ES izda tudi vmesno ES-izjavo o verifikaciji, da pokrije določene faze verifikacijskega postopka ali določene dele podsistema. Če ustrezne </w:t>
      </w:r>
      <w:proofErr w:type="spellStart"/>
      <w:r w:rsidRPr="0092636E">
        <w:rPr>
          <w:rFonts w:cs="Arial"/>
          <w:szCs w:val="22"/>
        </w:rPr>
        <w:t>TSI</w:t>
      </w:r>
      <w:proofErr w:type="spellEnd"/>
      <w:r w:rsidRPr="0092636E">
        <w:rPr>
          <w:rFonts w:cs="Arial"/>
          <w:szCs w:val="22"/>
        </w:rPr>
        <w:t xml:space="preserve"> to omogočajo, lahko izda potrdilo o skladnosti za serijo podsistemov ali določenih delov teh podsistemov.«.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636E">
        <w:rPr>
          <w:rFonts w:cs="Arial"/>
          <w:szCs w:val="22"/>
        </w:rPr>
        <w:t>4. člen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>Drugi odstavek 15. člena se spremeni tako, da se glasi: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>»(2) ES-izjava o verifikaciji podsistema je določena v Prilogi V Direktive 2008/57/ES.«.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636E">
        <w:rPr>
          <w:rFonts w:cs="Arial"/>
          <w:szCs w:val="22"/>
        </w:rPr>
        <w:t>5. člen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V šestem odstavku 16. člena se besedilo »Priloge </w:t>
      </w:r>
      <w:proofErr w:type="spellStart"/>
      <w:r w:rsidRPr="0092636E">
        <w:rPr>
          <w:rFonts w:cs="Arial"/>
          <w:szCs w:val="22"/>
        </w:rPr>
        <w:t>III</w:t>
      </w:r>
      <w:proofErr w:type="spellEnd"/>
      <w:r w:rsidRPr="0092636E">
        <w:rPr>
          <w:rFonts w:cs="Arial"/>
          <w:szCs w:val="22"/>
        </w:rPr>
        <w:t xml:space="preserve"> Direktive 2011/18/E</w:t>
      </w:r>
      <w:r w:rsidR="002F3369">
        <w:rPr>
          <w:rFonts w:cs="Arial"/>
          <w:szCs w:val="22"/>
        </w:rPr>
        <w:t>U</w:t>
      </w:r>
      <w:r w:rsidRPr="0092636E">
        <w:rPr>
          <w:rFonts w:cs="Arial"/>
          <w:szCs w:val="22"/>
        </w:rPr>
        <w:t>« nadomesti z besedilom »Priloge VI Direktive 2008/57/ES«.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636E">
        <w:rPr>
          <w:rFonts w:cs="Arial"/>
          <w:szCs w:val="22"/>
        </w:rPr>
        <w:t>6. člen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V drugem odstavku </w:t>
      </w:r>
      <w:proofErr w:type="spellStart"/>
      <w:r w:rsidRPr="0092636E">
        <w:rPr>
          <w:rFonts w:cs="Arial"/>
          <w:szCs w:val="22"/>
        </w:rPr>
        <w:t>17.b</w:t>
      </w:r>
      <w:proofErr w:type="spellEnd"/>
      <w:r w:rsidRPr="0092636E">
        <w:rPr>
          <w:rFonts w:cs="Arial"/>
          <w:szCs w:val="22"/>
        </w:rPr>
        <w:t xml:space="preserve"> člena se v točki b) besedilo »v Prilogi </w:t>
      </w:r>
      <w:proofErr w:type="spellStart"/>
      <w:r w:rsidRPr="0092636E">
        <w:rPr>
          <w:rFonts w:cs="Arial"/>
          <w:szCs w:val="22"/>
        </w:rPr>
        <w:t>III</w:t>
      </w:r>
      <w:proofErr w:type="spellEnd"/>
      <w:r w:rsidRPr="0092636E">
        <w:rPr>
          <w:rFonts w:cs="Arial"/>
          <w:szCs w:val="22"/>
        </w:rPr>
        <w:t xml:space="preserve"> Direktive 2011/18/ES« nadomesti z besedilom »v Prilogi VI Direktive 2008/57/ES«.</w:t>
      </w:r>
    </w:p>
    <w:p w:rsid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8E66BA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7</w:t>
      </w:r>
      <w:r w:rsidR="0092636E" w:rsidRPr="0092636E">
        <w:rPr>
          <w:rFonts w:cs="Arial"/>
          <w:szCs w:val="22"/>
        </w:rPr>
        <w:t>.</w:t>
      </w:r>
      <w:r>
        <w:rPr>
          <w:rFonts w:cs="Arial"/>
          <w:szCs w:val="22"/>
        </w:rPr>
        <w:t xml:space="preserve"> </w:t>
      </w:r>
      <w:r w:rsidR="0092636E" w:rsidRPr="0092636E">
        <w:rPr>
          <w:rFonts w:cs="Arial"/>
          <w:szCs w:val="22"/>
        </w:rPr>
        <w:t>člen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V drugem odstavku </w:t>
      </w:r>
      <w:proofErr w:type="spellStart"/>
      <w:r w:rsidRPr="0092636E">
        <w:rPr>
          <w:rFonts w:cs="Arial"/>
          <w:szCs w:val="22"/>
        </w:rPr>
        <w:t>17.h</w:t>
      </w:r>
      <w:proofErr w:type="spellEnd"/>
      <w:r w:rsidRPr="0092636E">
        <w:rPr>
          <w:rFonts w:cs="Arial"/>
          <w:szCs w:val="22"/>
        </w:rPr>
        <w:t xml:space="preserve"> člena se besedilo »Priloge </w:t>
      </w:r>
      <w:proofErr w:type="spellStart"/>
      <w:r w:rsidRPr="0092636E">
        <w:rPr>
          <w:rFonts w:cs="Arial"/>
          <w:szCs w:val="22"/>
        </w:rPr>
        <w:t>III</w:t>
      </w:r>
      <w:proofErr w:type="spellEnd"/>
      <w:r w:rsidRPr="0092636E">
        <w:rPr>
          <w:rFonts w:cs="Arial"/>
          <w:szCs w:val="22"/>
        </w:rPr>
        <w:t xml:space="preserve"> Direktive 2011/18/E</w:t>
      </w:r>
      <w:r w:rsidR="002F3369">
        <w:rPr>
          <w:rFonts w:cs="Arial"/>
          <w:szCs w:val="22"/>
        </w:rPr>
        <w:t>U</w:t>
      </w:r>
      <w:r w:rsidRPr="0092636E">
        <w:rPr>
          <w:rFonts w:cs="Arial"/>
          <w:szCs w:val="22"/>
        </w:rPr>
        <w:t>« nadomesti z besedilom »Priloge VI Direktive 2008/57/ES«.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636E">
        <w:rPr>
          <w:rFonts w:cs="Arial"/>
          <w:szCs w:val="22"/>
        </w:rPr>
        <w:t>PREHODNA IN KONČNA DOLOČBA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92636E" w:rsidRPr="0092636E" w:rsidRDefault="008E66BA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8</w:t>
      </w:r>
      <w:r w:rsidR="0092636E" w:rsidRPr="0092636E">
        <w:rPr>
          <w:rFonts w:cs="Arial"/>
          <w:szCs w:val="22"/>
        </w:rPr>
        <w:t>. člen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636E">
        <w:rPr>
          <w:rFonts w:cs="Arial"/>
          <w:szCs w:val="22"/>
        </w:rPr>
        <w:t>(posebni pogoji za vlečna vozila)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 xml:space="preserve">Ne glede na določbo prvega odstavka 114. člena zakona v </w:t>
      </w:r>
      <w:r w:rsidR="008E66BA">
        <w:rPr>
          <w:rFonts w:cs="Arial"/>
          <w:szCs w:val="22"/>
        </w:rPr>
        <w:t xml:space="preserve">zvezi </w:t>
      </w:r>
      <w:r w:rsidRPr="0092636E">
        <w:rPr>
          <w:rFonts w:cs="Arial"/>
          <w:szCs w:val="22"/>
        </w:rPr>
        <w:t>z 71. členom zakona lahko do 31. decembra 2018 na progah, opremljenih z napravami radijskih zvez, brez naprav radijskih zvez vozijo motorna vozila za posebne namene in vlečna vozila serij 642, 643, 644, 713, 732 in 813.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Pr="0092636E" w:rsidRDefault="008E66BA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9</w:t>
      </w:r>
      <w:r w:rsidR="0092636E" w:rsidRPr="0092636E">
        <w:rPr>
          <w:rFonts w:cs="Arial"/>
          <w:szCs w:val="22"/>
        </w:rPr>
        <w:t>. člen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636E">
        <w:rPr>
          <w:rFonts w:cs="Arial"/>
          <w:szCs w:val="22"/>
        </w:rPr>
        <w:t>(začetek veljavnosti)</w:t>
      </w:r>
    </w:p>
    <w:p w:rsidR="0092636E" w:rsidRP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2636E">
        <w:rPr>
          <w:rFonts w:cs="Arial"/>
          <w:szCs w:val="22"/>
        </w:rPr>
        <w:t>Ta zakon začne veljati naslednji dan po objavi v Uradnem listu Republike Slovenije.</w:t>
      </w:r>
    </w:p>
    <w:p w:rsidR="0092636E" w:rsidRDefault="0092636E" w:rsidP="0092636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86411B" w:rsidRDefault="0086411B" w:rsidP="0086411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92636E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92636E">
        <w:rPr>
          <w:rFonts w:cs="Arial"/>
          <w:szCs w:val="22"/>
        </w:rPr>
        <w:t>326-03/16-26/</w:t>
      </w:r>
    </w:p>
    <w:p w:rsidR="0086411B" w:rsidRDefault="0086411B" w:rsidP="0086411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15. december 2016</w:t>
      </w:r>
    </w:p>
    <w:p w:rsidR="009E2652" w:rsidRPr="00ED0A8E" w:rsidRDefault="0086411B" w:rsidP="0086411B">
      <w:pPr>
        <w:tabs>
          <w:tab w:val="left" w:pos="567"/>
          <w:tab w:val="left" w:pos="993"/>
          <w:tab w:val="left" w:pos="6521"/>
        </w:tabs>
        <w:spacing w:line="240" w:lineRule="auto"/>
        <w:rPr>
          <w:szCs w:val="22"/>
        </w:rPr>
      </w:pPr>
      <w:r w:rsidRPr="0092636E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92636E">
        <w:rPr>
          <w:rFonts w:cs="Arial"/>
          <w:szCs w:val="22"/>
        </w:rPr>
        <w:t>1466-</w:t>
      </w:r>
      <w:proofErr w:type="spellStart"/>
      <w:r w:rsidRPr="0092636E">
        <w:rPr>
          <w:rFonts w:cs="Arial"/>
          <w:szCs w:val="22"/>
        </w:rPr>
        <w:t>VII</w:t>
      </w:r>
      <w:proofErr w:type="spellEnd"/>
      <w:r>
        <w:rPr>
          <w:rFonts w:cs="Arial"/>
          <w:szCs w:val="22"/>
        </w:rPr>
        <w:tab/>
      </w:r>
      <w:r w:rsidR="009E2652" w:rsidRPr="00ED0A8E">
        <w:rPr>
          <w:szCs w:val="22"/>
        </w:rPr>
        <w:t>Državni zbor</w:t>
      </w:r>
    </w:p>
    <w:p w:rsidR="009E2652" w:rsidRDefault="009E2652" w:rsidP="009E2652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9E2652" w:rsidRPr="0092636E" w:rsidRDefault="009E2652" w:rsidP="0086411B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predsednik</w:t>
      </w:r>
    </w:p>
    <w:sectPr w:rsidR="009E2652" w:rsidRPr="0092636E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6411B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369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E6B4A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6411B"/>
    <w:rsid w:val="008B2D3C"/>
    <w:rsid w:val="008B5E78"/>
    <w:rsid w:val="008C4247"/>
    <w:rsid w:val="008E66BA"/>
    <w:rsid w:val="008F3B11"/>
    <w:rsid w:val="009121AD"/>
    <w:rsid w:val="009156F9"/>
    <w:rsid w:val="0092636E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E265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15</TotalTime>
  <Pages>2</Pages>
  <Words>680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4575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7</cp:revision>
  <cp:lastPrinted>2016-12-08T12:50:00Z</cp:lastPrinted>
  <dcterms:created xsi:type="dcterms:W3CDTF">2016-12-08T12:44:00Z</dcterms:created>
  <dcterms:modified xsi:type="dcterms:W3CDTF">2016-12-22T11:13:00Z</dcterms:modified>
</cp:coreProperties>
</file>