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C3F" w:rsidRDefault="00856C3F" w:rsidP="00856C3F">
      <w:pPr>
        <w:tabs>
          <w:tab w:val="left" w:pos="567"/>
          <w:tab w:val="left" w:pos="993"/>
        </w:tabs>
        <w:spacing w:line="240" w:lineRule="auto"/>
        <w:rPr>
          <w:rFonts w:cs="Arial"/>
          <w:color w:val="000000" w:themeColor="text1"/>
          <w:szCs w:val="22"/>
        </w:rPr>
      </w:pPr>
      <w:bookmarkStart w:id="0" w:name="_GoBack"/>
      <w:bookmarkEnd w:id="0"/>
    </w:p>
    <w:p w:rsidR="00856C3F" w:rsidRPr="00856C3F" w:rsidRDefault="00856C3F" w:rsidP="00856C3F">
      <w:pPr>
        <w:tabs>
          <w:tab w:val="left" w:pos="567"/>
          <w:tab w:val="left" w:pos="993"/>
        </w:tabs>
        <w:spacing w:line="240" w:lineRule="auto"/>
        <w:jc w:val="center"/>
        <w:rPr>
          <w:rFonts w:cs="Arial"/>
          <w:b/>
          <w:color w:val="000000" w:themeColor="text1"/>
          <w:spacing w:val="60"/>
          <w:szCs w:val="22"/>
        </w:rPr>
      </w:pPr>
      <w:r w:rsidRPr="00856C3F">
        <w:rPr>
          <w:rFonts w:cs="Arial"/>
          <w:b/>
          <w:color w:val="000000" w:themeColor="text1"/>
          <w:spacing w:val="60"/>
          <w:szCs w:val="22"/>
        </w:rPr>
        <w:t>ZAKON</w:t>
      </w:r>
    </w:p>
    <w:p w:rsidR="00856C3F" w:rsidRDefault="00856C3F" w:rsidP="00856C3F">
      <w:pPr>
        <w:tabs>
          <w:tab w:val="left" w:pos="567"/>
          <w:tab w:val="left" w:pos="993"/>
        </w:tabs>
        <w:spacing w:line="240" w:lineRule="auto"/>
        <w:jc w:val="center"/>
        <w:rPr>
          <w:rFonts w:cs="Arial"/>
          <w:b/>
          <w:color w:val="000000" w:themeColor="text1"/>
          <w:szCs w:val="22"/>
        </w:rPr>
      </w:pPr>
    </w:p>
    <w:p w:rsidR="00856C3F" w:rsidRPr="00856C3F" w:rsidRDefault="00856C3F" w:rsidP="00856C3F">
      <w:pPr>
        <w:tabs>
          <w:tab w:val="left" w:pos="567"/>
          <w:tab w:val="left" w:pos="993"/>
        </w:tabs>
        <w:spacing w:line="240" w:lineRule="auto"/>
        <w:jc w:val="center"/>
        <w:rPr>
          <w:rFonts w:cs="Arial"/>
          <w:b/>
          <w:color w:val="000000" w:themeColor="text1"/>
          <w:szCs w:val="22"/>
        </w:rPr>
      </w:pPr>
      <w:r w:rsidRPr="00856C3F">
        <w:rPr>
          <w:rFonts w:cs="Arial"/>
          <w:b/>
          <w:color w:val="000000" w:themeColor="text1"/>
          <w:szCs w:val="22"/>
        </w:rPr>
        <w:t>O SPREMEMBAH IN DOPOLNITVAH ZAKONA O VINU (ZVin-B)</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Zakonu o vinu (Uradni list RS, št. 105/06, 72/11 in 90/12</w:t>
      </w:r>
      <w:r>
        <w:rPr>
          <w:rFonts w:cs="Arial"/>
          <w:color w:val="000000" w:themeColor="text1"/>
          <w:szCs w:val="22"/>
        </w:rPr>
        <w:t xml:space="preserve"> – </w:t>
      </w:r>
      <w:proofErr w:type="spellStart"/>
      <w:r w:rsidRPr="00856C3F">
        <w:rPr>
          <w:rFonts w:cs="Arial"/>
          <w:color w:val="000000" w:themeColor="text1"/>
          <w:szCs w:val="22"/>
        </w:rPr>
        <w:t>ZdZPVHVVR</w:t>
      </w:r>
      <w:proofErr w:type="spellEnd"/>
      <w:r w:rsidRPr="00856C3F">
        <w:rPr>
          <w:rFonts w:cs="Arial"/>
          <w:color w:val="000000" w:themeColor="text1"/>
          <w:szCs w:val="22"/>
        </w:rPr>
        <w:t>) se v 1. členu prvi odstavek spremeni tako, da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»(1) Ta zakon ureja geografsko poreklo grozdja, mošta, vina ter drugih proizvodov iz grozdja, mošta in vina (v nadaljnjem besedilu: drugi proizvodi), pridelavo grozdja, mošta, vina in drugih proizvodov, označevanje in ocenjevanje vina, mošta in drugih proizvodov, dajanje grozdja, mošta, vina in drugih proizvodov v promet ter imenovanje pooblaščenih organizacij, ki opravljajo analitske, strokovne in upravne naloge, za izvajanje:</w:t>
      </w:r>
    </w:p>
    <w:p w:rsidR="00856C3F" w:rsidRPr="00856C3F" w:rsidRDefault="00856C3F" w:rsidP="00856C3F">
      <w:pPr>
        <w:pStyle w:val="Odstavekseznama"/>
        <w:numPr>
          <w:ilvl w:val="0"/>
          <w:numId w:val="3"/>
        </w:numPr>
        <w:tabs>
          <w:tab w:val="left" w:pos="567"/>
          <w:tab w:val="left" w:pos="993"/>
        </w:tabs>
        <w:spacing w:line="240" w:lineRule="auto"/>
        <w:rPr>
          <w:rFonts w:cs="Arial"/>
          <w:color w:val="000000" w:themeColor="text1"/>
          <w:szCs w:val="22"/>
        </w:rPr>
      </w:pPr>
      <w:r w:rsidRPr="00856C3F">
        <w:rPr>
          <w:rFonts w:cs="Arial"/>
          <w:color w:val="000000" w:themeColor="text1"/>
          <w:szCs w:val="22"/>
        </w:rPr>
        <w:t xml:space="preserve">Uredbe Sveta (EGS) št. 1601/91 z dne 10. junija 1991 o določitvi splošnih pravil za opredelitev, opis in predstavitev aromatiziranih vin, aromatiziranih pijač na osnovi vina in aromatiziranih mešanih pijač iz vinskih proizvodov (UL L št. 149 z dne 14.6.1991, str. 1), zadnjič spremenjene z Aktom o pogojih pristopa Republike Hrvaške in prilagoditvah Pogodbe o Evropski uniji, Pogodbe o delovanju Evropske unije in Pogodbe o ustanovitvi Evropske skupnosti za atomsko energijo - PRILOGA </w:t>
      </w:r>
      <w:proofErr w:type="spellStart"/>
      <w:r w:rsidRPr="00856C3F">
        <w:rPr>
          <w:rFonts w:cs="Arial"/>
          <w:color w:val="000000" w:themeColor="text1"/>
          <w:szCs w:val="22"/>
        </w:rPr>
        <w:t>III</w:t>
      </w:r>
      <w:proofErr w:type="spellEnd"/>
      <w:r w:rsidRPr="00856C3F">
        <w:rPr>
          <w:rFonts w:cs="Arial"/>
          <w:color w:val="000000" w:themeColor="text1"/>
          <w:szCs w:val="22"/>
        </w:rPr>
        <w:t xml:space="preserve"> Seznam iz člena 15 Akta o pristopu: prilagoditve aktov, ki so jih sprejele institucije - 4. KMETIJSTVO (UL L št. 112 z dne 24.</w:t>
      </w:r>
      <w:r w:rsidR="00AF76D7">
        <w:rPr>
          <w:rFonts w:cs="Arial"/>
          <w:color w:val="000000" w:themeColor="text1"/>
          <w:szCs w:val="22"/>
        </w:rPr>
        <w:t xml:space="preserve"> </w:t>
      </w:r>
      <w:r w:rsidRPr="00856C3F">
        <w:rPr>
          <w:rFonts w:cs="Arial"/>
          <w:color w:val="000000" w:themeColor="text1"/>
          <w:szCs w:val="22"/>
        </w:rPr>
        <w:t>4.</w:t>
      </w:r>
      <w:r w:rsidR="00AF76D7">
        <w:rPr>
          <w:rFonts w:cs="Arial"/>
          <w:color w:val="000000" w:themeColor="text1"/>
          <w:szCs w:val="22"/>
        </w:rPr>
        <w:t xml:space="preserve"> </w:t>
      </w:r>
      <w:r w:rsidRPr="00856C3F">
        <w:rPr>
          <w:rFonts w:cs="Arial"/>
          <w:color w:val="000000" w:themeColor="text1"/>
          <w:szCs w:val="22"/>
        </w:rPr>
        <w:t>2012, str. 42),</w:t>
      </w:r>
    </w:p>
    <w:p w:rsidR="00856C3F" w:rsidRPr="00856C3F" w:rsidRDefault="00856C3F" w:rsidP="00856C3F">
      <w:pPr>
        <w:pStyle w:val="Odstavekseznama"/>
        <w:numPr>
          <w:ilvl w:val="0"/>
          <w:numId w:val="3"/>
        </w:numPr>
        <w:tabs>
          <w:tab w:val="left" w:pos="567"/>
          <w:tab w:val="left" w:pos="993"/>
        </w:tabs>
        <w:spacing w:line="240" w:lineRule="auto"/>
        <w:rPr>
          <w:rFonts w:cs="Arial"/>
          <w:color w:val="000000" w:themeColor="text1"/>
          <w:szCs w:val="22"/>
        </w:rPr>
      </w:pPr>
      <w:r w:rsidRPr="00856C3F">
        <w:rPr>
          <w:rFonts w:cs="Arial"/>
          <w:color w:val="000000" w:themeColor="text1"/>
          <w:szCs w:val="22"/>
        </w:rPr>
        <w:t>Uredbe (ES) št. 178/2002 Evropskega parlamenta in Sveta z dne 28. januarja 2002 o določitvi splošnih načel in zahtevah živilske zakonodaje, ustanovitvi Evropske agencije za varnost hrane in postopkih, ki zadevajo varnost hrane (UL L št. 31 z dne 1.</w:t>
      </w:r>
      <w:r w:rsidR="00AF76D7">
        <w:rPr>
          <w:rFonts w:cs="Arial"/>
          <w:color w:val="000000" w:themeColor="text1"/>
          <w:szCs w:val="22"/>
        </w:rPr>
        <w:t xml:space="preserve"> </w:t>
      </w:r>
      <w:r w:rsidRPr="00856C3F">
        <w:rPr>
          <w:rFonts w:cs="Arial"/>
          <w:color w:val="000000" w:themeColor="text1"/>
          <w:szCs w:val="22"/>
        </w:rPr>
        <w:t>2.</w:t>
      </w:r>
      <w:r w:rsidR="00AF76D7">
        <w:rPr>
          <w:rFonts w:cs="Arial"/>
          <w:color w:val="000000" w:themeColor="text1"/>
          <w:szCs w:val="22"/>
        </w:rPr>
        <w:t xml:space="preserve"> </w:t>
      </w:r>
      <w:r w:rsidRPr="00856C3F">
        <w:rPr>
          <w:rFonts w:cs="Arial"/>
          <w:color w:val="000000" w:themeColor="text1"/>
          <w:szCs w:val="22"/>
        </w:rPr>
        <w:t xml:space="preserve">2002, str. 1), zadnjič spremenjene z Uredbo (ES) št. 596/2009 Evropskega parlamenta in Sveta z dne 18. junija 2009 o prilagoditvi nekaterih aktov, za katere se uporablja postopek iz člena 251 Pogodbe, Sklepu Sveta 1999/468/ES glede </w:t>
      </w:r>
      <w:proofErr w:type="spellStart"/>
      <w:r w:rsidRPr="00856C3F">
        <w:rPr>
          <w:rFonts w:cs="Arial"/>
          <w:color w:val="000000" w:themeColor="text1"/>
          <w:szCs w:val="22"/>
        </w:rPr>
        <w:t>regulativnega</w:t>
      </w:r>
      <w:proofErr w:type="spellEnd"/>
      <w:r w:rsidRPr="00856C3F">
        <w:rPr>
          <w:rFonts w:cs="Arial"/>
          <w:color w:val="000000" w:themeColor="text1"/>
          <w:szCs w:val="22"/>
        </w:rPr>
        <w:t xml:space="preserve"> postopka s pregledom – Prilagoditev </w:t>
      </w:r>
      <w:proofErr w:type="spellStart"/>
      <w:r w:rsidRPr="00856C3F">
        <w:rPr>
          <w:rFonts w:cs="Arial"/>
          <w:color w:val="000000" w:themeColor="text1"/>
          <w:szCs w:val="22"/>
        </w:rPr>
        <w:t>regulativnemu</w:t>
      </w:r>
      <w:proofErr w:type="spellEnd"/>
      <w:r w:rsidRPr="00856C3F">
        <w:rPr>
          <w:rFonts w:cs="Arial"/>
          <w:color w:val="000000" w:themeColor="text1"/>
          <w:szCs w:val="22"/>
        </w:rPr>
        <w:t xml:space="preserve"> postopku s pregledom – Četrti del (UL L št. 188 z dne 18.</w:t>
      </w:r>
      <w:r w:rsidR="00AF76D7">
        <w:rPr>
          <w:rFonts w:cs="Arial"/>
          <w:color w:val="000000" w:themeColor="text1"/>
          <w:szCs w:val="22"/>
        </w:rPr>
        <w:t xml:space="preserve"> </w:t>
      </w:r>
      <w:r w:rsidRPr="00856C3F">
        <w:rPr>
          <w:rFonts w:cs="Arial"/>
          <w:color w:val="000000" w:themeColor="text1"/>
          <w:szCs w:val="22"/>
        </w:rPr>
        <w:t>7.</w:t>
      </w:r>
      <w:r w:rsidR="00AF76D7">
        <w:rPr>
          <w:rFonts w:cs="Arial"/>
          <w:color w:val="000000" w:themeColor="text1"/>
          <w:szCs w:val="22"/>
        </w:rPr>
        <w:t xml:space="preserve"> </w:t>
      </w:r>
      <w:r w:rsidRPr="00856C3F">
        <w:rPr>
          <w:rFonts w:cs="Arial"/>
          <w:color w:val="000000" w:themeColor="text1"/>
          <w:szCs w:val="22"/>
        </w:rPr>
        <w:t>2009, str. 14),</w:t>
      </w:r>
    </w:p>
    <w:p w:rsidR="00856C3F" w:rsidRPr="00856C3F" w:rsidRDefault="00856C3F" w:rsidP="00856C3F">
      <w:pPr>
        <w:pStyle w:val="Odstavekseznama"/>
        <w:numPr>
          <w:ilvl w:val="0"/>
          <w:numId w:val="3"/>
        </w:numPr>
        <w:tabs>
          <w:tab w:val="left" w:pos="567"/>
          <w:tab w:val="left" w:pos="993"/>
        </w:tabs>
        <w:spacing w:line="240" w:lineRule="auto"/>
        <w:rPr>
          <w:rFonts w:cs="Arial"/>
          <w:color w:val="000000" w:themeColor="text1"/>
          <w:szCs w:val="22"/>
        </w:rPr>
      </w:pPr>
      <w:r w:rsidRPr="00856C3F">
        <w:rPr>
          <w:rFonts w:cs="Arial"/>
          <w:color w:val="000000" w:themeColor="text1"/>
          <w:szCs w:val="22"/>
        </w:rPr>
        <w:t>Uredbe Evropskega parlamenta in Sveta (ES) št. 852/2004 z dne 29. aprila 2004 o higieni živil (UL L št. 139 z dne 30.</w:t>
      </w:r>
      <w:r w:rsidR="00AF76D7">
        <w:rPr>
          <w:rFonts w:cs="Arial"/>
          <w:color w:val="000000" w:themeColor="text1"/>
          <w:szCs w:val="22"/>
        </w:rPr>
        <w:t xml:space="preserve"> </w:t>
      </w:r>
      <w:r w:rsidRPr="00856C3F">
        <w:rPr>
          <w:rFonts w:cs="Arial"/>
          <w:color w:val="000000" w:themeColor="text1"/>
          <w:szCs w:val="22"/>
        </w:rPr>
        <w:t>4.</w:t>
      </w:r>
      <w:r w:rsidR="00AF76D7">
        <w:rPr>
          <w:rFonts w:cs="Arial"/>
          <w:color w:val="000000" w:themeColor="text1"/>
          <w:szCs w:val="22"/>
        </w:rPr>
        <w:t xml:space="preserve"> </w:t>
      </w:r>
      <w:r w:rsidRPr="00856C3F">
        <w:rPr>
          <w:rFonts w:cs="Arial"/>
          <w:color w:val="000000" w:themeColor="text1"/>
          <w:szCs w:val="22"/>
        </w:rPr>
        <w:t xml:space="preserve">2004, str. 1), zadnjič spremenjene z Uredbo (ES) št. 219/2009 Evropskega parlamenta in Sveta z dne 11. marca 2009 o prilagoditvi nekaterih aktov, za katere se uporablja postopek iz člena 251 Pogodbe, Sklepu Sveta 1999/468/ES glede </w:t>
      </w:r>
      <w:proofErr w:type="spellStart"/>
      <w:r w:rsidRPr="00856C3F">
        <w:rPr>
          <w:rFonts w:cs="Arial"/>
          <w:color w:val="000000" w:themeColor="text1"/>
          <w:szCs w:val="22"/>
        </w:rPr>
        <w:t>regulativnega</w:t>
      </w:r>
      <w:proofErr w:type="spellEnd"/>
      <w:r w:rsidRPr="00856C3F">
        <w:rPr>
          <w:rFonts w:cs="Arial"/>
          <w:color w:val="000000" w:themeColor="text1"/>
          <w:szCs w:val="22"/>
        </w:rPr>
        <w:t xml:space="preserve"> postopka s pregledom - Prilagoditve </w:t>
      </w:r>
      <w:proofErr w:type="spellStart"/>
      <w:r w:rsidRPr="00856C3F">
        <w:rPr>
          <w:rFonts w:cs="Arial"/>
          <w:color w:val="000000" w:themeColor="text1"/>
          <w:szCs w:val="22"/>
        </w:rPr>
        <w:t>regulativnemu</w:t>
      </w:r>
      <w:proofErr w:type="spellEnd"/>
      <w:r w:rsidRPr="00856C3F">
        <w:rPr>
          <w:rFonts w:cs="Arial"/>
          <w:color w:val="000000" w:themeColor="text1"/>
          <w:szCs w:val="22"/>
        </w:rPr>
        <w:t xml:space="preserve"> postopku s pregledom – Drugi del (UL L št. 87 z dne 31.</w:t>
      </w:r>
      <w:r w:rsidR="00AF76D7">
        <w:rPr>
          <w:rFonts w:cs="Arial"/>
          <w:color w:val="000000" w:themeColor="text1"/>
          <w:szCs w:val="22"/>
        </w:rPr>
        <w:t> </w:t>
      </w:r>
      <w:r w:rsidRPr="00856C3F">
        <w:rPr>
          <w:rFonts w:cs="Arial"/>
          <w:color w:val="000000" w:themeColor="text1"/>
          <w:szCs w:val="22"/>
        </w:rPr>
        <w:t>3.</w:t>
      </w:r>
      <w:r w:rsidR="00AF76D7">
        <w:rPr>
          <w:rFonts w:cs="Arial"/>
          <w:color w:val="000000" w:themeColor="text1"/>
          <w:szCs w:val="22"/>
        </w:rPr>
        <w:t xml:space="preserve"> </w:t>
      </w:r>
      <w:r w:rsidRPr="00856C3F">
        <w:rPr>
          <w:rFonts w:cs="Arial"/>
          <w:color w:val="000000" w:themeColor="text1"/>
          <w:szCs w:val="22"/>
        </w:rPr>
        <w:t>2009, str. 109),</w:t>
      </w:r>
    </w:p>
    <w:p w:rsidR="00856C3F" w:rsidRPr="00856C3F" w:rsidRDefault="00856C3F" w:rsidP="00856C3F">
      <w:pPr>
        <w:pStyle w:val="Odstavekseznama"/>
        <w:numPr>
          <w:ilvl w:val="0"/>
          <w:numId w:val="3"/>
        </w:numPr>
        <w:tabs>
          <w:tab w:val="left" w:pos="567"/>
          <w:tab w:val="left" w:pos="993"/>
        </w:tabs>
        <w:spacing w:line="240" w:lineRule="auto"/>
        <w:rPr>
          <w:rFonts w:cs="Arial"/>
          <w:color w:val="000000" w:themeColor="text1"/>
          <w:szCs w:val="22"/>
        </w:rPr>
      </w:pPr>
      <w:r w:rsidRPr="00856C3F">
        <w:rPr>
          <w:rFonts w:cs="Arial"/>
          <w:color w:val="000000" w:themeColor="text1"/>
          <w:szCs w:val="22"/>
        </w:rPr>
        <w:t>Uredbe Sveta (ES) št. 1234/2007 z dne 22. oktobra 2007 o vzpostavitvi skupne ureditve kmetijskih trgov in o posebnih določbah za nekatere kmetijske proizvode (UL L št. 299 z dne 16.</w:t>
      </w:r>
      <w:r w:rsidR="00AF76D7">
        <w:rPr>
          <w:rFonts w:cs="Arial"/>
          <w:color w:val="000000" w:themeColor="text1"/>
          <w:szCs w:val="22"/>
        </w:rPr>
        <w:t xml:space="preserve"> </w:t>
      </w:r>
      <w:r w:rsidRPr="00856C3F">
        <w:rPr>
          <w:rFonts w:cs="Arial"/>
          <w:color w:val="000000" w:themeColor="text1"/>
          <w:szCs w:val="22"/>
        </w:rPr>
        <w:t>11.</w:t>
      </w:r>
      <w:r w:rsidR="00AF76D7">
        <w:rPr>
          <w:rFonts w:cs="Arial"/>
          <w:color w:val="000000" w:themeColor="text1"/>
          <w:szCs w:val="22"/>
        </w:rPr>
        <w:t xml:space="preserve"> </w:t>
      </w:r>
      <w:r w:rsidRPr="00856C3F">
        <w:rPr>
          <w:rFonts w:cs="Arial"/>
          <w:color w:val="000000" w:themeColor="text1"/>
          <w:szCs w:val="22"/>
        </w:rPr>
        <w:t>2007, str. 1),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w:t>
      </w:r>
      <w:r w:rsidR="00AF76D7">
        <w:rPr>
          <w:rFonts w:cs="Arial"/>
          <w:color w:val="000000" w:themeColor="text1"/>
          <w:szCs w:val="22"/>
        </w:rPr>
        <w:t xml:space="preserve"> </w:t>
      </w:r>
      <w:r w:rsidRPr="00856C3F">
        <w:rPr>
          <w:rFonts w:cs="Arial"/>
          <w:color w:val="000000" w:themeColor="text1"/>
          <w:szCs w:val="22"/>
        </w:rPr>
        <w:t>6.</w:t>
      </w:r>
      <w:r w:rsidR="00AF76D7">
        <w:rPr>
          <w:rFonts w:cs="Arial"/>
          <w:color w:val="000000" w:themeColor="text1"/>
          <w:szCs w:val="22"/>
        </w:rPr>
        <w:t xml:space="preserve"> </w:t>
      </w:r>
      <w:r w:rsidRPr="00856C3F">
        <w:rPr>
          <w:rFonts w:cs="Arial"/>
          <w:color w:val="000000" w:themeColor="text1"/>
          <w:szCs w:val="22"/>
        </w:rPr>
        <w:t>2013, str. 1), (v nadaljnjem besedilu: Uredba 1234/2007/ES) in</w:t>
      </w:r>
    </w:p>
    <w:p w:rsidR="00856C3F" w:rsidRPr="00856C3F" w:rsidRDefault="00856C3F" w:rsidP="00856C3F">
      <w:pPr>
        <w:pStyle w:val="Odstavekseznama"/>
        <w:numPr>
          <w:ilvl w:val="0"/>
          <w:numId w:val="3"/>
        </w:numPr>
        <w:tabs>
          <w:tab w:val="left" w:pos="567"/>
          <w:tab w:val="left" w:pos="993"/>
        </w:tabs>
        <w:spacing w:line="240" w:lineRule="auto"/>
        <w:rPr>
          <w:rFonts w:cs="Arial"/>
          <w:color w:val="000000" w:themeColor="text1"/>
          <w:szCs w:val="22"/>
        </w:rPr>
      </w:pPr>
      <w:r w:rsidRPr="00856C3F">
        <w:rPr>
          <w:rFonts w:cs="Arial"/>
          <w:color w:val="000000" w:themeColor="text1"/>
          <w:szCs w:val="22"/>
        </w:rPr>
        <w:t>Uredbe Komisije (ES) št. 436/2009 z dne 26. maja 2009 o podrobnih pravilih za uporabo Uredbe Sveta (ES) št. 479/2008 glede registra vinogradov, obveznih prijav ter zbiranja informacij za spremljanje trga, dokumentov, ki spremljajo prevoz proizvodov, in evidenc, ki se vodijo v vinskem sektorju (UL L št. 128 z dne 27.</w:t>
      </w:r>
      <w:r w:rsidR="00AF76D7">
        <w:rPr>
          <w:rFonts w:cs="Arial"/>
          <w:color w:val="000000" w:themeColor="text1"/>
          <w:szCs w:val="22"/>
        </w:rPr>
        <w:t> </w:t>
      </w:r>
      <w:r w:rsidRPr="00856C3F">
        <w:rPr>
          <w:rFonts w:cs="Arial"/>
          <w:color w:val="000000" w:themeColor="text1"/>
          <w:szCs w:val="22"/>
        </w:rPr>
        <w:t>5.</w:t>
      </w:r>
      <w:r w:rsidR="00AF76D7">
        <w:rPr>
          <w:rFonts w:cs="Arial"/>
          <w:color w:val="000000" w:themeColor="text1"/>
          <w:szCs w:val="22"/>
        </w:rPr>
        <w:t> 2</w:t>
      </w:r>
      <w:r w:rsidRPr="00856C3F">
        <w:rPr>
          <w:rFonts w:cs="Arial"/>
          <w:color w:val="000000" w:themeColor="text1"/>
          <w:szCs w:val="22"/>
        </w:rPr>
        <w:t xml:space="preserve">009, str. 15), zadnjič spremenjene z Uredbo Komisije (EU) št. 519/2013 z </w:t>
      </w:r>
      <w:r w:rsidRPr="00856C3F">
        <w:rPr>
          <w:rFonts w:cs="Arial"/>
          <w:color w:val="000000" w:themeColor="text1"/>
          <w:szCs w:val="22"/>
        </w:rPr>
        <w:lastRenderedPageBreak/>
        <w:t>dne 21. februarja 2013 o prilagoditvi nekaterih uredb ter odločb in sklepov na področjih prostega pretoka blaga, prostega gibanja oseb, pravice do ustanavljanja in svobode opravljanja storitev, prava družb, politike konkurence, kmetijstva, varnosti hrane, veterinarske in fitosanitarne politike, ribištva, prometne politike, energetike, obdavčitve, statistike, socialne politike in zaposlovanja, okolja, carinske unije, zunanjih odnosov ter zunanje, varnostne in obrambne politike zaradi pristopa Hrvaške (UL L št. 158 z dne 10.</w:t>
      </w:r>
      <w:r w:rsidR="00AF76D7">
        <w:rPr>
          <w:rFonts w:cs="Arial"/>
          <w:color w:val="000000" w:themeColor="text1"/>
          <w:szCs w:val="22"/>
        </w:rPr>
        <w:t xml:space="preserve"> </w:t>
      </w:r>
      <w:r w:rsidRPr="00856C3F">
        <w:rPr>
          <w:rFonts w:cs="Arial"/>
          <w:color w:val="000000" w:themeColor="text1"/>
          <w:szCs w:val="22"/>
        </w:rPr>
        <w:t>6.</w:t>
      </w:r>
      <w:r w:rsidR="00AF76D7">
        <w:rPr>
          <w:rFonts w:cs="Arial"/>
          <w:color w:val="000000" w:themeColor="text1"/>
          <w:szCs w:val="22"/>
        </w:rPr>
        <w:t xml:space="preserve"> </w:t>
      </w:r>
      <w:r w:rsidRPr="00856C3F">
        <w:rPr>
          <w:rFonts w:cs="Arial"/>
          <w:color w:val="000000" w:themeColor="text1"/>
          <w:szCs w:val="22"/>
        </w:rPr>
        <w:t>2013, str. 74), (v nadaljnjem besedilu: Uredba 436/2009/ES).«.</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2.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13. členu se doda nov šesti odstavek, ki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»(6) Minister predpiše pogoje glede strokovne usposobljenosti, prostorov in opreme iz prvega odstavka tega člena.«.</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3.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15. členu se četrti odstavek spremeni tako, da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»(4) Za spremljanje stanja vinogradništva in vinarstva ter za izvajanje ukrepov kmetijske politike ministrstvo na podlagi podatkov iz prvega odstavka tega člena vsako leto določi skupno pridelavo grozdja in vina v Republiki Sloveniji.«</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Doda se nov peti odstavek, ki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»(5) Minister podrobnejše predpiše vsebino vloge, dokumentacijo iz drugega in tretjega odstavka tega člena, roke in način sporočanja podatkov v register ter način določitve skupne pridelave grozdja in vina v Republiki Sloveniji.«. </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4.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Za 16. členom se doda </w:t>
      </w:r>
      <w:proofErr w:type="spellStart"/>
      <w:r w:rsidRPr="00856C3F">
        <w:rPr>
          <w:rFonts w:cs="Arial"/>
          <w:color w:val="000000" w:themeColor="text1"/>
          <w:szCs w:val="22"/>
        </w:rPr>
        <w:t>16.a</w:t>
      </w:r>
      <w:proofErr w:type="spellEnd"/>
      <w:r w:rsidRPr="00856C3F">
        <w:rPr>
          <w:rFonts w:cs="Arial"/>
          <w:color w:val="000000" w:themeColor="text1"/>
          <w:szCs w:val="22"/>
        </w:rPr>
        <w:t xml:space="preserve"> člen, ki se glasi:</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w:t>
      </w:r>
      <w:proofErr w:type="spellStart"/>
      <w:r w:rsidRPr="00856C3F">
        <w:rPr>
          <w:rFonts w:cs="Arial"/>
          <w:color w:val="000000" w:themeColor="text1"/>
          <w:szCs w:val="22"/>
        </w:rPr>
        <w:t>16.a</w:t>
      </w:r>
      <w:proofErr w:type="spellEnd"/>
      <w:r w:rsidRPr="00856C3F">
        <w:rPr>
          <w:rFonts w:cs="Arial"/>
          <w:color w:val="000000" w:themeColor="text1"/>
          <w:szCs w:val="22"/>
        </w:rPr>
        <w:t xml:space="preserve"> člen</w:t>
      </w: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(nadzor nad sporočanjem podatkov v register)</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(1) Ne glede na določbe prvega in drugega odstavka 50. člena tega zakona izvajajo nadzor nad sporočanjem podatkov v register tudi upravne enote, ki vodijo register, tako da odredijo prijavo manjkajočih podatkov.</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(2) Pred začetkom postopka po uradni dolžnosti zaradi neizpolnitve prijavne obveznosti upravna enota pisno opozori pridelovalca na zakonito obveznost.«.</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5.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19. členu se v tretjem odstavku besedilo »s pristopno pogodbo določeno vinogradniško pridelovalno cono« nadomesti z besedilom »vinorodno cono iz Dodatka k Prilogi </w:t>
      </w:r>
      <w:proofErr w:type="spellStart"/>
      <w:r w:rsidRPr="00856C3F">
        <w:rPr>
          <w:rFonts w:cs="Arial"/>
          <w:color w:val="000000" w:themeColor="text1"/>
          <w:szCs w:val="22"/>
        </w:rPr>
        <w:t>XIb</w:t>
      </w:r>
      <w:proofErr w:type="spellEnd"/>
      <w:r w:rsidRPr="00856C3F">
        <w:rPr>
          <w:rFonts w:cs="Arial"/>
          <w:color w:val="000000" w:themeColor="text1"/>
          <w:szCs w:val="22"/>
        </w:rPr>
        <w:t xml:space="preserve"> Uredbe 1234/2007/ES«.</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6.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20. členu se črta besedilo »pristopno pogodbo ali«.</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7.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21. členu se v drugem odstavku črta besedilo »pristopno pogodbo ali«.</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8.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24. členu se v četrtem odstavku besedilo »s 46. členom Uredbe 1493/1999/ES« nadomesti z besedilom »s </w:t>
      </w:r>
      <w:proofErr w:type="spellStart"/>
      <w:r w:rsidRPr="00856C3F">
        <w:rPr>
          <w:rFonts w:cs="Arial"/>
          <w:color w:val="000000" w:themeColor="text1"/>
          <w:szCs w:val="22"/>
        </w:rPr>
        <w:t>120.g</w:t>
      </w:r>
      <w:proofErr w:type="spellEnd"/>
      <w:r w:rsidRPr="00856C3F">
        <w:rPr>
          <w:rFonts w:cs="Arial"/>
          <w:color w:val="000000" w:themeColor="text1"/>
          <w:szCs w:val="22"/>
        </w:rPr>
        <w:t xml:space="preserve"> členom Uredbe 1234/2007/ES«.</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9.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40. členu se v tretjem odstavku besedilo »prilog </w:t>
      </w:r>
      <w:proofErr w:type="spellStart"/>
      <w:r w:rsidRPr="00856C3F">
        <w:rPr>
          <w:rFonts w:cs="Arial"/>
          <w:color w:val="000000" w:themeColor="text1"/>
          <w:szCs w:val="22"/>
        </w:rPr>
        <w:t>VII</w:t>
      </w:r>
      <w:proofErr w:type="spellEnd"/>
      <w:r w:rsidRPr="00856C3F">
        <w:rPr>
          <w:rFonts w:cs="Arial"/>
          <w:color w:val="000000" w:themeColor="text1"/>
          <w:szCs w:val="22"/>
        </w:rPr>
        <w:t xml:space="preserve"> in </w:t>
      </w:r>
      <w:proofErr w:type="spellStart"/>
      <w:r w:rsidRPr="00856C3F">
        <w:rPr>
          <w:rFonts w:cs="Arial"/>
          <w:color w:val="000000" w:themeColor="text1"/>
          <w:szCs w:val="22"/>
        </w:rPr>
        <w:t>VIII</w:t>
      </w:r>
      <w:proofErr w:type="spellEnd"/>
      <w:r w:rsidRPr="00856C3F">
        <w:rPr>
          <w:rFonts w:cs="Arial"/>
          <w:color w:val="000000" w:themeColor="text1"/>
          <w:szCs w:val="22"/>
        </w:rPr>
        <w:t xml:space="preserve"> k Uredbi 1493/1999/ES« nadomesti z besedilom »Oddelka I a in I b Poglavja I Naslova </w:t>
      </w:r>
      <w:proofErr w:type="spellStart"/>
      <w:r w:rsidRPr="00856C3F">
        <w:rPr>
          <w:rFonts w:cs="Arial"/>
          <w:color w:val="000000" w:themeColor="text1"/>
          <w:szCs w:val="22"/>
        </w:rPr>
        <w:t>II</w:t>
      </w:r>
      <w:proofErr w:type="spellEnd"/>
      <w:r w:rsidRPr="00856C3F">
        <w:rPr>
          <w:rFonts w:cs="Arial"/>
          <w:color w:val="000000" w:themeColor="text1"/>
          <w:szCs w:val="22"/>
        </w:rPr>
        <w:t xml:space="preserve"> Dela </w:t>
      </w:r>
      <w:proofErr w:type="spellStart"/>
      <w:r w:rsidRPr="00856C3F">
        <w:rPr>
          <w:rFonts w:cs="Arial"/>
          <w:color w:val="000000" w:themeColor="text1"/>
          <w:szCs w:val="22"/>
        </w:rPr>
        <w:t>II</w:t>
      </w:r>
      <w:proofErr w:type="spellEnd"/>
      <w:r w:rsidRPr="00856C3F">
        <w:rPr>
          <w:rFonts w:cs="Arial"/>
          <w:color w:val="000000" w:themeColor="text1"/>
          <w:szCs w:val="22"/>
        </w:rPr>
        <w:t xml:space="preserve"> Uredbe 1234/2007/ES«.</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10.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44. členu se drugi odstavek spremeni tako, da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»(2) Ne glede na določbe prejšnjega odstavka lahko vino, ki ni originalno polnjeno, dajejo v promet končnemu potrošniku le pridelovalci, ki:</w:t>
      </w:r>
    </w:p>
    <w:p w:rsidR="00856C3F" w:rsidRPr="00856C3F" w:rsidRDefault="00856C3F" w:rsidP="00856C3F">
      <w:pPr>
        <w:pStyle w:val="Odstavekseznama"/>
        <w:numPr>
          <w:ilvl w:val="0"/>
          <w:numId w:val="5"/>
        </w:numPr>
        <w:tabs>
          <w:tab w:val="left" w:pos="567"/>
          <w:tab w:val="left" w:pos="993"/>
        </w:tabs>
        <w:spacing w:line="240" w:lineRule="auto"/>
        <w:rPr>
          <w:rFonts w:cs="Arial"/>
          <w:color w:val="000000" w:themeColor="text1"/>
          <w:szCs w:val="22"/>
        </w:rPr>
      </w:pPr>
      <w:r w:rsidRPr="00856C3F">
        <w:rPr>
          <w:rFonts w:cs="Arial"/>
          <w:color w:val="000000" w:themeColor="text1"/>
          <w:szCs w:val="22"/>
        </w:rPr>
        <w:t xml:space="preserve">so v skladu s tem zakonom registrirani kot pridelovalci grozdja in vina in </w:t>
      </w:r>
    </w:p>
    <w:p w:rsidR="00856C3F" w:rsidRPr="00856C3F" w:rsidRDefault="00856C3F" w:rsidP="00856C3F">
      <w:pPr>
        <w:pStyle w:val="Odstavekseznama"/>
        <w:numPr>
          <w:ilvl w:val="0"/>
          <w:numId w:val="5"/>
        </w:numPr>
        <w:tabs>
          <w:tab w:val="left" w:pos="567"/>
          <w:tab w:val="left" w:pos="993"/>
        </w:tabs>
        <w:spacing w:line="240" w:lineRule="auto"/>
        <w:rPr>
          <w:rFonts w:cs="Arial"/>
          <w:color w:val="000000" w:themeColor="text1"/>
          <w:szCs w:val="22"/>
        </w:rPr>
      </w:pPr>
      <w:r w:rsidRPr="00856C3F">
        <w:rPr>
          <w:rFonts w:cs="Arial"/>
          <w:color w:val="000000" w:themeColor="text1"/>
          <w:szCs w:val="22"/>
        </w:rPr>
        <w:t>ponujajo vino iz lastne pridelave grozdja in vina v svojem proizvodnem obratu, vpisanem v register, razen vrhunskega vina ZGP in vina brez zaščitene označbe porekla ali geografske označbe.«.</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Peti odstavek se črta.</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šestem odstavku se črta naslednje besedilo »podrobnejše pogoje, ki jih morajo izpolnjevati gostinski obrati za točenje neoriginalno polnjenega vina«.</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11.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45. členu se drugi odstavek spremeni tako, da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»(2) Grozdje, mošt, vino in druge proizvode morajo v prometu spremljati predpisane listine, razen v primerih iz 25. člena Uredbe 436/2009/ES.«.</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12.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V 55. členu se v tretji alineji prvega odstavka na koncu pika nadomesti z vejico in doda naslednje besedilo »ali pravna oseba ali samostojni podjetnik posameznik, ki ni pridelovalec in izvaja promet z grozdjem, moštom ali vinom«.</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13. člen</w:t>
      </w:r>
    </w:p>
    <w:p w:rsidR="00856C3F" w:rsidRPr="00856C3F" w:rsidRDefault="00856C3F" w:rsidP="00856C3F">
      <w:pPr>
        <w:tabs>
          <w:tab w:val="left" w:pos="567"/>
          <w:tab w:val="left" w:pos="993"/>
        </w:tabs>
        <w:spacing w:line="240" w:lineRule="auto"/>
        <w:rPr>
          <w:rFonts w:cs="Arial"/>
          <w:color w:val="000000" w:themeColor="text1"/>
          <w:szCs w:val="22"/>
        </w:rPr>
      </w:pPr>
    </w:p>
    <w:p w:rsidR="00AF76D7" w:rsidRDefault="00AF76D7" w:rsidP="00AF76D7">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V 56. členu se v prvem odstavku besedilo »450.000 tolarjev do 15.000.000 tolarjev« nadomesti z besedilom »2.800 </w:t>
      </w:r>
      <w:proofErr w:type="spellStart"/>
      <w:r>
        <w:rPr>
          <w:rFonts w:cs="Arial"/>
          <w:color w:val="000000"/>
          <w:szCs w:val="22"/>
          <w:lang w:eastAsia="sl-SI"/>
        </w:rPr>
        <w:t>eurov</w:t>
      </w:r>
      <w:proofErr w:type="spellEnd"/>
      <w:r>
        <w:rPr>
          <w:rFonts w:cs="Arial"/>
          <w:color w:val="000000"/>
          <w:szCs w:val="22"/>
          <w:lang w:eastAsia="sl-SI"/>
        </w:rPr>
        <w:t xml:space="preserve"> do 28.000 </w:t>
      </w:r>
      <w:proofErr w:type="spellStart"/>
      <w:r>
        <w:rPr>
          <w:rFonts w:cs="Arial"/>
          <w:color w:val="000000"/>
          <w:szCs w:val="22"/>
          <w:lang w:eastAsia="sl-SI"/>
        </w:rPr>
        <w:t>eurov</w:t>
      </w:r>
      <w:proofErr w:type="spellEnd"/>
      <w:r>
        <w:rPr>
          <w:rFonts w:cs="Arial"/>
          <w:color w:val="000000"/>
          <w:szCs w:val="22"/>
          <w:lang w:eastAsia="sl-SI"/>
        </w:rPr>
        <w:t xml:space="preserve">«, v 5. točki se besedilo »ali ima posajeno« nadomesti z besedilom »za namen pridelave grozdja, namenjenega pridelavi mošta, vina ali drugih proizvodov, ki ni za lastno uporabo,«, v 8. točki pa se </w:t>
      </w:r>
      <w:r>
        <w:rPr>
          <w:rFonts w:cs="Arial"/>
          <w:color w:val="000000"/>
          <w:szCs w:val="22"/>
          <w:lang w:eastAsia="sl-SI"/>
        </w:rPr>
        <w:lastRenderedPageBreak/>
        <w:t>podpičje nadomesti z vejico in doda besedilo »razen če pridela grozdje, namenjeno pridelavi mošta, vina ali drugih proizvodov za lastno uporabo;«.</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drugem odstavku se besedilo »40.000 tolarjev do 500.000 tolarjev« nadomesti z besedilom »250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2.500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tretjem odstavku se besedilo »250.000 tolarjev do 300.000 tolarjev« nadomesti z besedilom »1.570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15.700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četrtem odstavku se besedilo »300.000 tolarjev do 10.000.000 tolarjev« nadomesti z besedilom »1.570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15.700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petem odstavku se besedilo »40.000 tolarjev do 400.000 tolarjev« nadomesti z besedilom »200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2.000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šestem odstavku se besedilo »200.000 tolarjev do 280.000 tolarjev« nadomesti z besedilom »1.125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11.250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sedmem odstavku se besedilo »100.000 tolarjev do 3.000.000 tolarjev« nadomesti z besedilom »1.125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11.250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osmem odstavku se besedilo »35.000 tolarjev do 250.000 tolarjev« nadomesti z besedilom »150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1.5</w:t>
      </w:r>
      <w:r w:rsidR="00AF76D7">
        <w:rPr>
          <w:rFonts w:cs="Arial"/>
          <w:color w:val="000000" w:themeColor="text1"/>
          <w:szCs w:val="22"/>
        </w:rPr>
        <w:t>0</w:t>
      </w:r>
      <w:r w:rsidRPr="00856C3F">
        <w:rPr>
          <w:rFonts w:cs="Arial"/>
          <w:color w:val="000000" w:themeColor="text1"/>
          <w:szCs w:val="22"/>
        </w:rPr>
        <w:t xml:space="preserve">0 </w:t>
      </w:r>
      <w:proofErr w:type="spellStart"/>
      <w:r w:rsidRPr="00856C3F">
        <w:rPr>
          <w:rFonts w:cs="Arial"/>
          <w:color w:val="000000" w:themeColor="text1"/>
          <w:szCs w:val="22"/>
        </w:rPr>
        <w:t>eurov</w:t>
      </w:r>
      <w:proofErr w:type="spellEnd"/>
      <w:r w:rsidRPr="00856C3F">
        <w:rPr>
          <w:rFonts w:cs="Arial"/>
          <w:color w:val="000000" w:themeColor="text1"/>
          <w:szCs w:val="22"/>
        </w:rPr>
        <w:t>« in se črta besedilo », ali manjši pridelovalec, ki prideluje grozdje, mošt, vino ali druge proizvode kot fizična oseba«.</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Doda se nov deveti odstavek, ki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»(9) Z globo od 650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6.500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se za prekršek iz prvega odstavka tega člena kaznuje manjši pridelovalec, ki prideluje grozdje, mošt, vino ali druge proizvode kot fizična oseba.«.</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14.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57. členu se v prvem odstavku besedilo »200.000 tolarjev do 12.000.000 tolarjev« nadomesti z besedilom »1.400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14.000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drugem odstavku se besedilo »35.000 tolarjev do 400.000 tolarjev« nadomesti z besedilom »125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1.250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tretjem odstavku se besedilo »200.000 tolarjev do 250.000 tolarjev« nadomesti z besedilom »785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7.850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AF76D7" w:rsidRDefault="00AF76D7" w:rsidP="00AF76D7">
      <w:pPr>
        <w:tabs>
          <w:tab w:val="left" w:pos="567"/>
          <w:tab w:val="left" w:pos="993"/>
        </w:tabs>
        <w:spacing w:line="240" w:lineRule="auto"/>
      </w:pPr>
      <w:r>
        <w:tab/>
      </w:r>
      <w:r>
        <w:tab/>
      </w:r>
      <w:r w:rsidRPr="00AF76D7">
        <w:t xml:space="preserve">V četrtem odstavku se besedilo »150.000 tolarjev do 7.000.000 tolarjev« nadomesti z besedilom »785 </w:t>
      </w:r>
      <w:proofErr w:type="spellStart"/>
      <w:r w:rsidRPr="00AF76D7">
        <w:t>eurov</w:t>
      </w:r>
      <w:proofErr w:type="spellEnd"/>
      <w:r w:rsidRPr="00AF76D7">
        <w:t xml:space="preserve"> do 7.850 </w:t>
      </w:r>
      <w:proofErr w:type="spellStart"/>
      <w:r w:rsidRPr="00AF76D7">
        <w:t>eurov</w:t>
      </w:r>
      <w:proofErr w:type="spellEnd"/>
      <w:r w:rsidRPr="00AF76D7">
        <w:t>«.</w:t>
      </w:r>
    </w:p>
    <w:p w:rsidR="00AF76D7" w:rsidRPr="00AF76D7" w:rsidRDefault="00AF76D7" w:rsidP="00AF76D7">
      <w:pPr>
        <w:tabs>
          <w:tab w:val="left" w:pos="567"/>
          <w:tab w:val="left" w:pos="993"/>
        </w:tabs>
        <w:spacing w:line="240" w:lineRule="auto"/>
      </w:pPr>
    </w:p>
    <w:p w:rsidR="00AF76D7" w:rsidRPr="00AF76D7" w:rsidRDefault="00AF76D7" w:rsidP="00AF76D7">
      <w:pPr>
        <w:tabs>
          <w:tab w:val="left" w:pos="567"/>
          <w:tab w:val="left" w:pos="993"/>
        </w:tabs>
        <w:spacing w:line="240" w:lineRule="auto"/>
      </w:pPr>
      <w:r>
        <w:tab/>
      </w:r>
      <w:r>
        <w:tab/>
      </w:r>
      <w:r w:rsidRPr="00AF76D7">
        <w:t xml:space="preserve">V petem odstavku se besedilo »30.000 tolarjev do 250.000 tolarjev« nadomesti z besedilom »100 </w:t>
      </w:r>
      <w:proofErr w:type="spellStart"/>
      <w:r w:rsidRPr="00AF76D7">
        <w:t>eurov</w:t>
      </w:r>
      <w:proofErr w:type="spellEnd"/>
      <w:r w:rsidRPr="00AF76D7">
        <w:t xml:space="preserve"> do 1.000 </w:t>
      </w:r>
      <w:proofErr w:type="spellStart"/>
      <w:r w:rsidRPr="00AF76D7">
        <w:t>eurov</w:t>
      </w:r>
      <w:proofErr w:type="spellEnd"/>
      <w:r w:rsidRPr="00AF76D7">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šestem odstavku se besedilo »100.000 tolarjev do 200.000 tolarjev« nadomesti z besedilom »562,50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5.625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V sedmem odstavku se besedilo »80.000 tolarjev do 2.000.000 tolarjev« nadomesti z besedilom »562,50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5.625 </w:t>
      </w:r>
      <w:proofErr w:type="spellStart"/>
      <w:r w:rsidRPr="00856C3F">
        <w:rPr>
          <w:rFonts w:cs="Arial"/>
          <w:color w:val="000000" w:themeColor="text1"/>
          <w:szCs w:val="22"/>
        </w:rPr>
        <w:t>eurov</w:t>
      </w:r>
      <w:proofErr w:type="spellEnd"/>
      <w:r w:rsidRPr="00856C3F">
        <w:rPr>
          <w:rFonts w:cs="Arial"/>
          <w:color w:val="000000" w:themeColor="text1"/>
          <w:szCs w:val="22"/>
        </w:rPr>
        <w:t>«.</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856C3F">
        <w:rPr>
          <w:rFonts w:cs="Arial"/>
          <w:color w:val="000000" w:themeColor="text1"/>
          <w:szCs w:val="22"/>
        </w:rPr>
        <w:t xml:space="preserve">V osmem odstavku se besedilo »25.000 tolarjev do 200.000 tolarjev« nadomesti z besedilom »75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750 </w:t>
      </w:r>
      <w:proofErr w:type="spellStart"/>
      <w:r w:rsidRPr="00856C3F">
        <w:rPr>
          <w:rFonts w:cs="Arial"/>
          <w:color w:val="000000" w:themeColor="text1"/>
          <w:szCs w:val="22"/>
        </w:rPr>
        <w:t>eurov</w:t>
      </w:r>
      <w:proofErr w:type="spellEnd"/>
      <w:r w:rsidRPr="00856C3F">
        <w:rPr>
          <w:rFonts w:cs="Arial"/>
          <w:color w:val="000000" w:themeColor="text1"/>
          <w:szCs w:val="22"/>
        </w:rPr>
        <w:t>« in se črta besedilo », ali manjši pridelovalec, ki prideluje grozdje, mošt, vino ali druge proizvode kot fizična oseba«.</w:t>
      </w: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Doda se nov deveti odstavek, ki se glasi:</w:t>
      </w: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»(9) Z globo od 325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do 3.250 </w:t>
      </w:r>
      <w:proofErr w:type="spellStart"/>
      <w:r w:rsidRPr="00856C3F">
        <w:rPr>
          <w:rFonts w:cs="Arial"/>
          <w:color w:val="000000" w:themeColor="text1"/>
          <w:szCs w:val="22"/>
        </w:rPr>
        <w:t>eurov</w:t>
      </w:r>
      <w:proofErr w:type="spellEnd"/>
      <w:r w:rsidRPr="00856C3F">
        <w:rPr>
          <w:rFonts w:cs="Arial"/>
          <w:color w:val="000000" w:themeColor="text1"/>
          <w:szCs w:val="22"/>
        </w:rPr>
        <w:t xml:space="preserve"> se za prekršek iz prvega odstavka tega člena kaznuje manjši pridelovalec, ki prideluje grozdje, mošt, vino ali druge proizvode kot fizična oseba.«.</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15.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Za 57. členom se doda </w:t>
      </w:r>
      <w:proofErr w:type="spellStart"/>
      <w:r w:rsidRPr="00856C3F">
        <w:rPr>
          <w:rFonts w:cs="Arial"/>
          <w:color w:val="000000" w:themeColor="text1"/>
          <w:szCs w:val="22"/>
        </w:rPr>
        <w:t>57.a</w:t>
      </w:r>
      <w:proofErr w:type="spellEnd"/>
      <w:r w:rsidRPr="00856C3F">
        <w:rPr>
          <w:rFonts w:cs="Arial"/>
          <w:color w:val="000000" w:themeColor="text1"/>
          <w:szCs w:val="22"/>
        </w:rPr>
        <w:t xml:space="preserve"> člen, ki se glasi:</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w:t>
      </w:r>
      <w:proofErr w:type="spellStart"/>
      <w:r w:rsidRPr="00856C3F">
        <w:rPr>
          <w:rFonts w:cs="Arial"/>
          <w:color w:val="000000" w:themeColor="text1"/>
          <w:szCs w:val="22"/>
        </w:rPr>
        <w:t>57.a</w:t>
      </w:r>
      <w:proofErr w:type="spellEnd"/>
      <w:r w:rsidRPr="00856C3F">
        <w:rPr>
          <w:rFonts w:cs="Arial"/>
          <w:color w:val="000000" w:themeColor="text1"/>
          <w:szCs w:val="22"/>
        </w:rPr>
        <w:t xml:space="preserve"> člen</w:t>
      </w: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(izrek globe)</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Za prekrške iz tega zakona se sme v hitrem postopku izreči globa tudi v znesku, ki je višji od najnižje predpisane globe, določene s tem zakonom.«.</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Prehodn</w:t>
      </w:r>
      <w:r w:rsidR="0006539D">
        <w:rPr>
          <w:rFonts w:cs="Arial"/>
          <w:color w:val="000000" w:themeColor="text1"/>
          <w:szCs w:val="22"/>
        </w:rPr>
        <w:t>a</w:t>
      </w:r>
      <w:r w:rsidRPr="00856C3F">
        <w:rPr>
          <w:rFonts w:cs="Arial"/>
          <w:color w:val="000000" w:themeColor="text1"/>
          <w:szCs w:val="22"/>
        </w:rPr>
        <w:t xml:space="preserve"> in končna določba</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w:t>
      </w:r>
      <w:r w:rsidR="00AF76D7">
        <w:rPr>
          <w:rFonts w:cs="Arial"/>
          <w:color w:val="000000" w:themeColor="text1"/>
          <w:szCs w:val="22"/>
        </w:rPr>
        <w:t>6</w:t>
      </w:r>
      <w:r w:rsidRPr="00856C3F">
        <w:rPr>
          <w:rFonts w:cs="Arial"/>
          <w:color w:val="000000" w:themeColor="text1"/>
          <w:szCs w:val="22"/>
        </w:rPr>
        <w:t>.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 xml:space="preserve">Z dnem uveljavitve tega zakona preneha veljati Pravilnik o minimalnih pogojih za promet z </w:t>
      </w:r>
      <w:proofErr w:type="spellStart"/>
      <w:r w:rsidRPr="00856C3F">
        <w:rPr>
          <w:rFonts w:cs="Arial"/>
          <w:color w:val="000000" w:themeColor="text1"/>
          <w:szCs w:val="22"/>
        </w:rPr>
        <w:t>nevstekleničenim</w:t>
      </w:r>
      <w:proofErr w:type="spellEnd"/>
      <w:r w:rsidRPr="00856C3F">
        <w:rPr>
          <w:rFonts w:cs="Arial"/>
          <w:color w:val="000000" w:themeColor="text1"/>
          <w:szCs w:val="22"/>
        </w:rPr>
        <w:t xml:space="preserve"> namiznim vinom z geografskim poreklom in vinskim moštom v gostinskih obratih (Uradni list SRS, št. 18/77 in 1/81).</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rPr>
          <w:rFonts w:cs="Arial"/>
          <w:color w:val="000000" w:themeColor="text1"/>
          <w:szCs w:val="22"/>
        </w:rPr>
      </w:pPr>
    </w:p>
    <w:p w:rsidR="00856C3F" w:rsidRPr="00856C3F" w:rsidRDefault="00856C3F" w:rsidP="00856C3F">
      <w:pPr>
        <w:tabs>
          <w:tab w:val="left" w:pos="567"/>
          <w:tab w:val="left" w:pos="993"/>
        </w:tabs>
        <w:spacing w:line="240" w:lineRule="auto"/>
        <w:jc w:val="center"/>
        <w:rPr>
          <w:rFonts w:cs="Arial"/>
          <w:color w:val="000000" w:themeColor="text1"/>
          <w:szCs w:val="22"/>
        </w:rPr>
      </w:pPr>
      <w:r w:rsidRPr="00856C3F">
        <w:rPr>
          <w:rFonts w:cs="Arial"/>
          <w:color w:val="000000" w:themeColor="text1"/>
          <w:szCs w:val="22"/>
        </w:rPr>
        <w:t>1</w:t>
      </w:r>
      <w:r w:rsidR="00AF76D7">
        <w:rPr>
          <w:rFonts w:cs="Arial"/>
          <w:color w:val="000000" w:themeColor="text1"/>
          <w:szCs w:val="22"/>
        </w:rPr>
        <w:t>7</w:t>
      </w:r>
      <w:r w:rsidRPr="00856C3F">
        <w:rPr>
          <w:rFonts w:cs="Arial"/>
          <w:color w:val="000000" w:themeColor="text1"/>
          <w:szCs w:val="22"/>
        </w:rPr>
        <w:t>. člen</w:t>
      </w:r>
    </w:p>
    <w:p w:rsidR="00856C3F" w:rsidRPr="00856C3F" w:rsidRDefault="00856C3F" w:rsidP="00856C3F">
      <w:pPr>
        <w:tabs>
          <w:tab w:val="left" w:pos="567"/>
          <w:tab w:val="left" w:pos="993"/>
        </w:tabs>
        <w:spacing w:line="240" w:lineRule="auto"/>
        <w:rPr>
          <w:rFonts w:cs="Arial"/>
          <w:color w:val="000000" w:themeColor="text1"/>
          <w:szCs w:val="22"/>
        </w:rPr>
      </w:pPr>
    </w:p>
    <w:p w:rsidR="00856C3F" w:rsidRDefault="00856C3F" w:rsidP="00856C3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56C3F">
        <w:rPr>
          <w:rFonts w:cs="Arial"/>
          <w:color w:val="000000" w:themeColor="text1"/>
          <w:szCs w:val="22"/>
        </w:rPr>
        <w:t>Ta zakon začne veljati petnajsti dan po objavi v Uradnem listu Republike Slovenije.</w:t>
      </w:r>
    </w:p>
    <w:p w:rsidR="009F5719" w:rsidRDefault="009F5719" w:rsidP="00856C3F">
      <w:pPr>
        <w:tabs>
          <w:tab w:val="left" w:pos="567"/>
          <w:tab w:val="left" w:pos="993"/>
        </w:tabs>
        <w:spacing w:line="240" w:lineRule="auto"/>
        <w:rPr>
          <w:rFonts w:cs="Arial"/>
          <w:color w:val="000000" w:themeColor="text1"/>
          <w:szCs w:val="22"/>
        </w:rPr>
      </w:pPr>
    </w:p>
    <w:p w:rsidR="009F5719" w:rsidRDefault="009F5719" w:rsidP="00856C3F">
      <w:pPr>
        <w:tabs>
          <w:tab w:val="left" w:pos="567"/>
          <w:tab w:val="left" w:pos="993"/>
        </w:tabs>
        <w:spacing w:line="240" w:lineRule="auto"/>
        <w:rPr>
          <w:rFonts w:cs="Arial"/>
          <w:color w:val="000000" w:themeColor="text1"/>
          <w:szCs w:val="22"/>
        </w:rPr>
      </w:pPr>
    </w:p>
    <w:p w:rsidR="009F5719" w:rsidRDefault="009F5719" w:rsidP="009F5719">
      <w:pPr>
        <w:tabs>
          <w:tab w:val="left" w:pos="567"/>
          <w:tab w:val="left" w:pos="993"/>
        </w:tabs>
        <w:spacing w:line="240" w:lineRule="auto"/>
        <w:rPr>
          <w:rFonts w:cs="Arial"/>
          <w:szCs w:val="22"/>
        </w:rPr>
      </w:pPr>
      <w:r>
        <w:rPr>
          <w:rFonts w:cs="Arial"/>
          <w:szCs w:val="22"/>
        </w:rPr>
        <w:t xml:space="preserve">Številka: </w:t>
      </w:r>
      <w:r w:rsidRPr="00856C3F">
        <w:rPr>
          <w:rFonts w:cs="Arial"/>
          <w:szCs w:val="22"/>
        </w:rPr>
        <w:t>322-05/13-2/</w:t>
      </w:r>
    </w:p>
    <w:p w:rsidR="009F5719" w:rsidRDefault="009F5719" w:rsidP="009F5719">
      <w:pPr>
        <w:tabs>
          <w:tab w:val="left" w:pos="567"/>
          <w:tab w:val="left" w:pos="993"/>
        </w:tabs>
        <w:spacing w:line="240" w:lineRule="auto"/>
        <w:rPr>
          <w:rFonts w:cs="Arial"/>
          <w:szCs w:val="22"/>
        </w:rPr>
      </w:pPr>
      <w:r>
        <w:rPr>
          <w:rFonts w:cs="Arial"/>
          <w:szCs w:val="22"/>
        </w:rPr>
        <w:t>Datum: 19. december 2013</w:t>
      </w:r>
    </w:p>
    <w:p w:rsidR="009F5719" w:rsidRDefault="009F5719" w:rsidP="009F5719">
      <w:pPr>
        <w:tabs>
          <w:tab w:val="left" w:pos="567"/>
          <w:tab w:val="left" w:pos="993"/>
        </w:tabs>
        <w:spacing w:line="240" w:lineRule="auto"/>
        <w:rPr>
          <w:rFonts w:cs="Arial"/>
          <w:szCs w:val="22"/>
        </w:rPr>
      </w:pPr>
      <w:r w:rsidRPr="00856C3F">
        <w:rPr>
          <w:rFonts w:cs="Arial"/>
          <w:szCs w:val="22"/>
        </w:rPr>
        <w:t>EPA 1552-VI</w:t>
      </w:r>
    </w:p>
    <w:p w:rsidR="009F5719" w:rsidRDefault="009F5719" w:rsidP="009F5719">
      <w:pPr>
        <w:tabs>
          <w:tab w:val="left" w:pos="567"/>
          <w:tab w:val="left" w:pos="993"/>
        </w:tabs>
        <w:spacing w:line="240" w:lineRule="auto"/>
        <w:rPr>
          <w:rFonts w:cs="Arial"/>
          <w:szCs w:val="22"/>
        </w:rPr>
      </w:pPr>
    </w:p>
    <w:p w:rsidR="009F5719" w:rsidRPr="00ED0A8E" w:rsidRDefault="009F5719" w:rsidP="009F5719">
      <w:pPr>
        <w:tabs>
          <w:tab w:val="left" w:pos="6521"/>
        </w:tabs>
        <w:rPr>
          <w:szCs w:val="22"/>
        </w:rPr>
      </w:pPr>
      <w:r w:rsidRPr="00ED0A8E">
        <w:rPr>
          <w:szCs w:val="22"/>
        </w:rPr>
        <w:tab/>
        <w:t>Državni zbor</w:t>
      </w:r>
    </w:p>
    <w:p w:rsidR="009F5719" w:rsidRDefault="009F5719" w:rsidP="009F5719">
      <w:pPr>
        <w:tabs>
          <w:tab w:val="left" w:pos="6521"/>
        </w:tabs>
        <w:rPr>
          <w:szCs w:val="22"/>
        </w:rPr>
      </w:pPr>
      <w:r w:rsidRPr="00ED0A8E">
        <w:rPr>
          <w:szCs w:val="22"/>
        </w:rPr>
        <w:tab/>
      </w:r>
      <w:r>
        <w:rPr>
          <w:szCs w:val="22"/>
        </w:rPr>
        <w:t>Janko Veber</w:t>
      </w:r>
    </w:p>
    <w:p w:rsidR="009F5719" w:rsidRPr="00ED0A8E" w:rsidRDefault="009F5719" w:rsidP="009F5719">
      <w:pPr>
        <w:tabs>
          <w:tab w:val="left" w:pos="6521"/>
        </w:tabs>
        <w:rPr>
          <w:szCs w:val="22"/>
        </w:rPr>
      </w:pPr>
      <w:r w:rsidRPr="00ED0A8E">
        <w:rPr>
          <w:szCs w:val="22"/>
        </w:rPr>
        <w:tab/>
        <w:t>predsednik</w:t>
      </w:r>
    </w:p>
    <w:p w:rsidR="009F5719" w:rsidRPr="00856C3F" w:rsidRDefault="009F5719" w:rsidP="00856C3F">
      <w:pPr>
        <w:tabs>
          <w:tab w:val="left" w:pos="567"/>
          <w:tab w:val="left" w:pos="993"/>
        </w:tabs>
        <w:spacing w:line="240" w:lineRule="auto"/>
        <w:rPr>
          <w:rFonts w:cs="Arial"/>
          <w:color w:val="000000" w:themeColor="text1"/>
          <w:szCs w:val="22"/>
        </w:rPr>
      </w:pPr>
    </w:p>
    <w:sectPr w:rsidR="009F5719" w:rsidRPr="00856C3F"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F5719">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155E8"/>
    <w:multiLevelType w:val="hybridMultilevel"/>
    <w:tmpl w:val="C9A449E0"/>
    <w:lvl w:ilvl="0" w:tplc="AD6803C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38090148"/>
    <w:multiLevelType w:val="hybridMultilevel"/>
    <w:tmpl w:val="CC4AEB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53461FD"/>
    <w:multiLevelType w:val="hybridMultilevel"/>
    <w:tmpl w:val="83F619DA"/>
    <w:lvl w:ilvl="0" w:tplc="B02629A8">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62D0226B"/>
    <w:multiLevelType w:val="hybridMultilevel"/>
    <w:tmpl w:val="31DAEA3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6539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3F"/>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F5719"/>
    <w:rsid w:val="00A059D4"/>
    <w:rsid w:val="00A20E80"/>
    <w:rsid w:val="00A418F5"/>
    <w:rsid w:val="00A4447F"/>
    <w:rsid w:val="00A530B4"/>
    <w:rsid w:val="00A60F7A"/>
    <w:rsid w:val="00A764EF"/>
    <w:rsid w:val="00A93C67"/>
    <w:rsid w:val="00A95EAF"/>
    <w:rsid w:val="00AA523A"/>
    <w:rsid w:val="00AB47E4"/>
    <w:rsid w:val="00AF06AA"/>
    <w:rsid w:val="00AF26FF"/>
    <w:rsid w:val="00AF76D7"/>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3388"/>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20</TotalTime>
  <Pages>5</Pages>
  <Words>1694</Words>
  <Characters>9397</Characters>
  <Application>Microsoft Office Word</Application>
  <DocSecurity>0</DocSecurity>
  <Lines>78</Lines>
  <Paragraphs>22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2013-12-12T11:34:00Z</dcterms:created>
  <dcterms:modified xsi:type="dcterms:W3CDTF">2013-12-20T11:31:00Z</dcterms:modified>
</cp:coreProperties>
</file>