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9BB" w:rsidRPr="003C19BB" w:rsidRDefault="003C19BB" w:rsidP="003C19BB">
      <w:pPr>
        <w:tabs>
          <w:tab w:val="left" w:pos="567"/>
          <w:tab w:val="left" w:pos="993"/>
        </w:tabs>
        <w:spacing w:line="240" w:lineRule="auto"/>
        <w:jc w:val="center"/>
        <w:rPr>
          <w:rFonts w:cs="Arial"/>
          <w:b/>
          <w:spacing w:val="58"/>
          <w:szCs w:val="22"/>
        </w:rPr>
      </w:pPr>
      <w:bookmarkStart w:id="0" w:name="_GoBack"/>
      <w:bookmarkEnd w:id="0"/>
      <w:r w:rsidRPr="003C19BB">
        <w:rPr>
          <w:rFonts w:cs="Arial"/>
          <w:b/>
          <w:spacing w:val="58"/>
          <w:szCs w:val="22"/>
        </w:rPr>
        <w:t>ZAKON</w:t>
      </w:r>
    </w:p>
    <w:p w:rsidR="003C19BB" w:rsidRDefault="003C19BB" w:rsidP="003C19BB">
      <w:pPr>
        <w:tabs>
          <w:tab w:val="left" w:pos="567"/>
          <w:tab w:val="left" w:pos="993"/>
        </w:tabs>
        <w:spacing w:line="240" w:lineRule="auto"/>
        <w:jc w:val="center"/>
        <w:rPr>
          <w:rFonts w:cs="Arial"/>
          <w:b/>
          <w:szCs w:val="22"/>
        </w:rPr>
      </w:pPr>
    </w:p>
    <w:p w:rsidR="003C19BB" w:rsidRDefault="003C19BB" w:rsidP="003C19BB">
      <w:pPr>
        <w:tabs>
          <w:tab w:val="left" w:pos="567"/>
          <w:tab w:val="left" w:pos="993"/>
        </w:tabs>
        <w:spacing w:line="240" w:lineRule="auto"/>
        <w:jc w:val="center"/>
        <w:rPr>
          <w:rFonts w:cs="Arial"/>
          <w:b/>
          <w:szCs w:val="22"/>
        </w:rPr>
      </w:pPr>
      <w:r w:rsidRPr="003C19BB">
        <w:rPr>
          <w:rFonts w:cs="Arial"/>
          <w:b/>
          <w:szCs w:val="22"/>
        </w:rPr>
        <w:t>O SPREMEMBI IN DOPOLNITVAH</w:t>
      </w:r>
    </w:p>
    <w:p w:rsidR="003C19BB" w:rsidRPr="003C19BB" w:rsidRDefault="003C19BB" w:rsidP="003C19BB">
      <w:pPr>
        <w:tabs>
          <w:tab w:val="left" w:pos="567"/>
          <w:tab w:val="left" w:pos="993"/>
        </w:tabs>
        <w:spacing w:line="240" w:lineRule="auto"/>
        <w:jc w:val="center"/>
        <w:rPr>
          <w:rFonts w:cs="Arial"/>
          <w:b/>
          <w:szCs w:val="22"/>
        </w:rPr>
      </w:pPr>
      <w:r w:rsidRPr="003C19BB">
        <w:rPr>
          <w:rFonts w:cs="Arial"/>
          <w:b/>
          <w:szCs w:val="22"/>
        </w:rPr>
        <w:t>ZAKONA O POKOJNINSKEM IN INVALIDSKEM ZAVAROVANJU (</w:t>
      </w:r>
      <w:r w:rsidRPr="003C19BB">
        <w:rPr>
          <w:b/>
        </w:rPr>
        <w:t>ZPIZ-2C)</w:t>
      </w:r>
    </w:p>
    <w:p w:rsid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jc w:val="center"/>
        <w:rPr>
          <w:rFonts w:cs="Arial"/>
          <w:szCs w:val="22"/>
        </w:rPr>
      </w:pPr>
      <w:r w:rsidRPr="003C19BB">
        <w:rPr>
          <w:rFonts w:cs="Arial"/>
          <w:szCs w:val="22"/>
        </w:rPr>
        <w:t>1.</w:t>
      </w:r>
      <w:r>
        <w:rPr>
          <w:rFonts w:cs="Arial"/>
          <w:szCs w:val="22"/>
        </w:rPr>
        <w:t xml:space="preserve"> </w:t>
      </w:r>
      <w:r w:rsidRPr="003C19BB">
        <w:rPr>
          <w:rFonts w:cs="Arial"/>
          <w:szCs w:val="22"/>
        </w:rPr>
        <w:t>člen</w:t>
      </w:r>
    </w:p>
    <w:p w:rsid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r>
        <w:rPr>
          <w:rFonts w:cs="Arial"/>
          <w:szCs w:val="22"/>
        </w:rPr>
        <w:tab/>
      </w:r>
      <w:r>
        <w:rPr>
          <w:rFonts w:cs="Arial"/>
          <w:szCs w:val="22"/>
        </w:rPr>
        <w:tab/>
      </w:r>
      <w:r w:rsidRPr="003C19BB">
        <w:rPr>
          <w:rFonts w:cs="Arial"/>
          <w:szCs w:val="22"/>
        </w:rPr>
        <w:t xml:space="preserve">V Zakonu o pokojninskem in invalidskem zavarovanju (Uradni list RS, št. 96/12, 39/13, 99/13 – </w:t>
      </w:r>
      <w:proofErr w:type="spellStart"/>
      <w:r w:rsidRPr="003C19BB">
        <w:rPr>
          <w:rFonts w:cs="Arial"/>
          <w:szCs w:val="22"/>
        </w:rPr>
        <w:t>ZSVarPre</w:t>
      </w:r>
      <w:proofErr w:type="spellEnd"/>
      <w:r w:rsidRPr="003C19BB">
        <w:rPr>
          <w:rFonts w:cs="Arial"/>
          <w:szCs w:val="22"/>
        </w:rPr>
        <w:t xml:space="preserve">-C, 101/13 – ZIPRS1415, 44/14 – ORZPIZ206, 85/14 – </w:t>
      </w:r>
      <w:proofErr w:type="spellStart"/>
      <w:r w:rsidRPr="003C19BB">
        <w:rPr>
          <w:rFonts w:cs="Arial"/>
          <w:szCs w:val="22"/>
        </w:rPr>
        <w:t>ZUJF</w:t>
      </w:r>
      <w:proofErr w:type="spellEnd"/>
      <w:r w:rsidRPr="003C19BB">
        <w:rPr>
          <w:rFonts w:cs="Arial"/>
          <w:szCs w:val="22"/>
        </w:rPr>
        <w:t xml:space="preserve">-B, 95/14 – </w:t>
      </w:r>
      <w:proofErr w:type="spellStart"/>
      <w:r w:rsidRPr="003C19BB">
        <w:rPr>
          <w:rFonts w:cs="Arial"/>
          <w:szCs w:val="22"/>
        </w:rPr>
        <w:t>ZUJF</w:t>
      </w:r>
      <w:proofErr w:type="spellEnd"/>
      <w:r w:rsidRPr="003C19BB">
        <w:rPr>
          <w:rFonts w:cs="Arial"/>
          <w:szCs w:val="22"/>
        </w:rPr>
        <w:t xml:space="preserve">-C, 90/15 – </w:t>
      </w:r>
      <w:proofErr w:type="spellStart"/>
      <w:r w:rsidRPr="003C19BB">
        <w:rPr>
          <w:rFonts w:cs="Arial"/>
          <w:szCs w:val="22"/>
        </w:rPr>
        <w:t>ZIUPTD</w:t>
      </w:r>
      <w:proofErr w:type="spellEnd"/>
      <w:r w:rsidRPr="003C19BB">
        <w:rPr>
          <w:rFonts w:cs="Arial"/>
          <w:szCs w:val="22"/>
        </w:rPr>
        <w:t xml:space="preserve"> in 102/15) se prvi odstavek 36. člena spremeni tako, da se glasi:</w:t>
      </w:r>
    </w:p>
    <w:p w:rsidR="003C19BB" w:rsidRPr="003C19BB" w:rsidRDefault="003C19BB" w:rsidP="003C19BB">
      <w:pPr>
        <w:tabs>
          <w:tab w:val="left" w:pos="567"/>
          <w:tab w:val="left" w:pos="993"/>
        </w:tabs>
        <w:spacing w:line="240" w:lineRule="auto"/>
        <w:rPr>
          <w:rFonts w:cs="Arial"/>
          <w:szCs w:val="22"/>
        </w:rPr>
      </w:pPr>
      <w:r w:rsidRPr="003C19BB">
        <w:rPr>
          <w:rFonts w:cs="Arial"/>
          <w:szCs w:val="22"/>
        </w:rPr>
        <w:t xml:space="preserve"> </w:t>
      </w:r>
      <w:r>
        <w:rPr>
          <w:rFonts w:cs="Arial"/>
          <w:szCs w:val="22"/>
        </w:rPr>
        <w:tab/>
      </w:r>
      <w:r>
        <w:rPr>
          <w:rFonts w:cs="Arial"/>
          <w:szCs w:val="22"/>
        </w:rPr>
        <w:tab/>
      </w:r>
      <w:r w:rsidRPr="003C19BB">
        <w:rPr>
          <w:rFonts w:cs="Arial"/>
          <w:szCs w:val="22"/>
        </w:rPr>
        <w:t>»(1) Najnižja pokojninska osnova se določi od 1. januarja posameznega koledarskega leta v višini 76,5</w:t>
      </w:r>
      <w:r>
        <w:rPr>
          <w:rFonts w:cs="Arial"/>
          <w:szCs w:val="22"/>
        </w:rPr>
        <w:t xml:space="preserve"> </w:t>
      </w:r>
      <w:r w:rsidRPr="003C19BB">
        <w:rPr>
          <w:rFonts w:cs="Arial"/>
          <w:szCs w:val="22"/>
        </w:rPr>
        <w:t>% povprečne mesečne plače, izplačane v Republiki Sloveniji v preteklem koledarskem letu, zmanjšane za davke in prispevke, ki se plačujejo od plače po povprečni stopnji v Republiki Sloveniji ter povečane za odstotek, s katerim so usklajene pokojnine od 1. januarja tekočega koledarskega leta. Višina najnižje pokojninske osnove se nato spreminja v višini in rokih, v katerih se izvajajo uskladitve pokojnin v tekočem koledarskem letu.«</w:t>
      </w:r>
      <w:r>
        <w:rPr>
          <w:rFonts w:cs="Arial"/>
          <w:szCs w:val="22"/>
        </w:rPr>
        <w:t>.</w:t>
      </w:r>
    </w:p>
    <w:p w:rsidR="003C19BB" w:rsidRP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jc w:val="center"/>
        <w:rPr>
          <w:rFonts w:cs="Arial"/>
          <w:szCs w:val="22"/>
        </w:rPr>
      </w:pPr>
      <w:r w:rsidRPr="003C19BB">
        <w:rPr>
          <w:rFonts w:cs="Arial"/>
          <w:szCs w:val="22"/>
        </w:rPr>
        <w:t>2.</w:t>
      </w:r>
      <w:r>
        <w:rPr>
          <w:rFonts w:cs="Arial"/>
          <w:szCs w:val="22"/>
        </w:rPr>
        <w:t xml:space="preserve"> </w:t>
      </w:r>
      <w:r w:rsidRPr="003C19BB">
        <w:rPr>
          <w:rFonts w:cs="Arial"/>
          <w:szCs w:val="22"/>
        </w:rPr>
        <w:t>člen</w:t>
      </w:r>
    </w:p>
    <w:p w:rsidR="003C19BB" w:rsidRP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r>
        <w:rPr>
          <w:rFonts w:cs="Arial"/>
          <w:szCs w:val="22"/>
        </w:rPr>
        <w:tab/>
      </w:r>
      <w:r>
        <w:rPr>
          <w:rFonts w:cs="Arial"/>
          <w:szCs w:val="22"/>
        </w:rPr>
        <w:tab/>
      </w:r>
      <w:r w:rsidRPr="003C19BB">
        <w:rPr>
          <w:rFonts w:cs="Arial"/>
          <w:szCs w:val="22"/>
        </w:rPr>
        <w:t>V 39. členu se za drugim odstavkom dodajo novi tretji, četrti, peti, šesti, sedmi in osmi odstavek, ki se glasijo:</w:t>
      </w:r>
    </w:p>
    <w:p w:rsidR="003C19BB" w:rsidRPr="003C19BB" w:rsidRDefault="003C19BB" w:rsidP="003C19BB">
      <w:pPr>
        <w:tabs>
          <w:tab w:val="left" w:pos="567"/>
          <w:tab w:val="left" w:pos="993"/>
        </w:tabs>
        <w:spacing w:line="240" w:lineRule="auto"/>
        <w:rPr>
          <w:rFonts w:cs="Arial"/>
          <w:szCs w:val="22"/>
        </w:rPr>
      </w:pPr>
      <w:r>
        <w:rPr>
          <w:rFonts w:cs="Arial"/>
          <w:szCs w:val="22"/>
        </w:rPr>
        <w:tab/>
      </w:r>
      <w:r>
        <w:rPr>
          <w:rFonts w:cs="Arial"/>
          <w:szCs w:val="22"/>
        </w:rPr>
        <w:tab/>
      </w:r>
      <w:r w:rsidRPr="003C19BB">
        <w:rPr>
          <w:rFonts w:cs="Arial"/>
          <w:szCs w:val="22"/>
        </w:rPr>
        <w:t xml:space="preserve">»(3) Ne glede na določbe tega zakona, ki urejajo odmero starostne in invalidske pokojnine, je zavarovancu (moškemu in ženski), ki je pridobil pravico do starostne ali invalidske pokojnine po določbah tega zakona in je dopolnil pokojninsko dobo v enaki višini, kot je predpisana višina pokojninske dobe brez dokupa za pridobitev pravice do starostne pokojnine pri najnižji starosti, zagotovljena pokojnina v višini 500 </w:t>
      </w:r>
      <w:proofErr w:type="spellStart"/>
      <w:r w:rsidRPr="003C19BB">
        <w:rPr>
          <w:rFonts w:cs="Arial"/>
          <w:szCs w:val="22"/>
        </w:rPr>
        <w:t>eurov</w:t>
      </w:r>
      <w:proofErr w:type="spellEnd"/>
      <w:r w:rsidRPr="003C19BB">
        <w:rPr>
          <w:rFonts w:cs="Arial"/>
          <w:szCs w:val="22"/>
        </w:rPr>
        <w:t>.</w:t>
      </w:r>
    </w:p>
    <w:p w:rsid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r>
        <w:rPr>
          <w:rFonts w:cs="Arial"/>
          <w:szCs w:val="22"/>
        </w:rPr>
        <w:tab/>
      </w:r>
      <w:r>
        <w:rPr>
          <w:rFonts w:cs="Arial"/>
          <w:szCs w:val="22"/>
        </w:rPr>
        <w:tab/>
      </w:r>
      <w:r w:rsidRPr="003C19BB">
        <w:rPr>
          <w:rFonts w:cs="Arial"/>
          <w:szCs w:val="22"/>
        </w:rPr>
        <w:t>(4) Zavarovancu iz prejšnjega odstavka, ki je pridobil pravico do starostne ali invalidske pokojnine v sorazmernem delu po mednarodnih pogodbah, je zagotovljen sorazmerni del zneska pokojnine iz prejšnjega odstavka.</w:t>
      </w:r>
    </w:p>
    <w:p w:rsid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r>
        <w:rPr>
          <w:rFonts w:cs="Arial"/>
          <w:szCs w:val="22"/>
        </w:rPr>
        <w:tab/>
      </w:r>
      <w:r>
        <w:rPr>
          <w:rFonts w:cs="Arial"/>
          <w:szCs w:val="22"/>
        </w:rPr>
        <w:tab/>
      </w:r>
      <w:r w:rsidRPr="003C19BB">
        <w:rPr>
          <w:rFonts w:cs="Arial"/>
          <w:szCs w:val="22"/>
        </w:rPr>
        <w:t>(5) Pri ugotavljanju pokojninske dobe iz tretjega odstavka tega člena se dodana doba ne upošteva.</w:t>
      </w:r>
    </w:p>
    <w:p w:rsid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r>
        <w:rPr>
          <w:rFonts w:cs="Arial"/>
          <w:szCs w:val="22"/>
        </w:rPr>
        <w:tab/>
      </w:r>
      <w:r>
        <w:rPr>
          <w:rFonts w:cs="Arial"/>
          <w:szCs w:val="22"/>
        </w:rPr>
        <w:tab/>
      </w:r>
      <w:r w:rsidRPr="003C19BB">
        <w:rPr>
          <w:rFonts w:cs="Arial"/>
          <w:szCs w:val="22"/>
        </w:rPr>
        <w:t xml:space="preserve">(6) Zneski pokojnin iz tretjega in četrtega odstavka tega člena se spreminjajo v višini in rokih, v katerih se izvajajo uskladitve pokojnin. </w:t>
      </w:r>
    </w:p>
    <w:p w:rsid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r>
        <w:rPr>
          <w:rFonts w:cs="Arial"/>
          <w:szCs w:val="22"/>
        </w:rPr>
        <w:tab/>
      </w:r>
      <w:r>
        <w:rPr>
          <w:rFonts w:cs="Arial"/>
          <w:szCs w:val="22"/>
        </w:rPr>
        <w:tab/>
      </w:r>
      <w:r w:rsidRPr="003C19BB">
        <w:rPr>
          <w:rFonts w:cs="Arial"/>
          <w:szCs w:val="22"/>
        </w:rPr>
        <w:t>(7) Znesek pokojnine iz tretjega in četrtega odstavka tega člena se ne upošteva pri določanju osnove za odmero vdovske oziroma družinske pokojnine in pri odmeri nadomestil iz invalidskega zavarovanja.</w:t>
      </w:r>
    </w:p>
    <w:p w:rsid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r>
        <w:rPr>
          <w:rFonts w:cs="Arial"/>
          <w:szCs w:val="22"/>
        </w:rPr>
        <w:tab/>
      </w:r>
      <w:r>
        <w:rPr>
          <w:rFonts w:cs="Arial"/>
          <w:szCs w:val="22"/>
        </w:rPr>
        <w:tab/>
      </w:r>
      <w:r w:rsidRPr="003C19BB">
        <w:rPr>
          <w:rFonts w:cs="Arial"/>
          <w:szCs w:val="22"/>
        </w:rPr>
        <w:t>(8) Znesek pokojnine iz tretjega in četrtega odstavka tega člena se ne zagotavlja zavarovancem iz prvega odstavka 401. člena tega zakona.«</w:t>
      </w:r>
      <w:r>
        <w:rPr>
          <w:rFonts w:cs="Arial"/>
          <w:szCs w:val="22"/>
        </w:rPr>
        <w:t>.</w:t>
      </w:r>
    </w:p>
    <w:p w:rsidR="003C19BB" w:rsidRP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jc w:val="center"/>
        <w:rPr>
          <w:rFonts w:cs="Arial"/>
          <w:szCs w:val="22"/>
        </w:rPr>
      </w:pPr>
      <w:r w:rsidRPr="003C19BB">
        <w:rPr>
          <w:rFonts w:cs="Arial"/>
          <w:szCs w:val="22"/>
        </w:rPr>
        <w:t>3.</w:t>
      </w:r>
      <w:r>
        <w:rPr>
          <w:rFonts w:cs="Arial"/>
          <w:szCs w:val="22"/>
        </w:rPr>
        <w:t xml:space="preserve"> </w:t>
      </w:r>
      <w:r w:rsidRPr="003C19BB">
        <w:rPr>
          <w:rFonts w:cs="Arial"/>
          <w:szCs w:val="22"/>
        </w:rPr>
        <w:t>člen</w:t>
      </w:r>
    </w:p>
    <w:p w:rsidR="003C19BB" w:rsidRP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r>
        <w:rPr>
          <w:rFonts w:cs="Arial"/>
          <w:szCs w:val="22"/>
        </w:rPr>
        <w:tab/>
      </w:r>
      <w:r>
        <w:rPr>
          <w:rFonts w:cs="Arial"/>
          <w:szCs w:val="22"/>
        </w:rPr>
        <w:tab/>
      </w:r>
      <w:r w:rsidRPr="003C19BB">
        <w:rPr>
          <w:rFonts w:cs="Arial"/>
          <w:szCs w:val="22"/>
        </w:rPr>
        <w:t>V prvem odstavku 161. člena se v osemintrideseti alineji pika nadomesti s podpičjem in doda nova devetintrideseta alineja, ki se glasi:</w:t>
      </w:r>
    </w:p>
    <w:p w:rsidR="003C19BB" w:rsidRPr="003C19BB" w:rsidRDefault="003C19BB" w:rsidP="003C19BB">
      <w:pPr>
        <w:tabs>
          <w:tab w:val="left" w:pos="567"/>
          <w:tab w:val="left" w:pos="993"/>
        </w:tabs>
        <w:spacing w:line="240" w:lineRule="auto"/>
        <w:rPr>
          <w:rFonts w:cs="Arial"/>
          <w:szCs w:val="22"/>
        </w:rPr>
      </w:pPr>
      <w:r w:rsidRPr="003C19BB">
        <w:rPr>
          <w:rFonts w:cs="Arial"/>
          <w:szCs w:val="22"/>
        </w:rPr>
        <w:lastRenderedPageBreak/>
        <w:t>»-</w:t>
      </w:r>
      <w:r>
        <w:rPr>
          <w:rFonts w:cs="Arial"/>
          <w:szCs w:val="22"/>
        </w:rPr>
        <w:tab/>
      </w:r>
      <w:r w:rsidRPr="003C19BB">
        <w:rPr>
          <w:rFonts w:cs="Arial"/>
          <w:szCs w:val="22"/>
        </w:rPr>
        <w:t xml:space="preserve">del pokojnine v višini razlike med pokojnino, ki bi bila zavarovancu odmerjena </w:t>
      </w:r>
      <w:r>
        <w:rPr>
          <w:rFonts w:cs="Arial"/>
          <w:szCs w:val="22"/>
        </w:rPr>
        <w:tab/>
      </w:r>
      <w:r w:rsidRPr="003C19BB">
        <w:rPr>
          <w:rFonts w:cs="Arial"/>
          <w:szCs w:val="22"/>
        </w:rPr>
        <w:t xml:space="preserve">glede na dopolnjeno pokojninsko dobo od najnižje pokojninske osnove ali </w:t>
      </w:r>
      <w:r>
        <w:rPr>
          <w:rFonts w:cs="Arial"/>
          <w:szCs w:val="22"/>
        </w:rPr>
        <w:tab/>
      </w:r>
      <w:r w:rsidRPr="003C19BB">
        <w:rPr>
          <w:rFonts w:cs="Arial"/>
          <w:szCs w:val="22"/>
        </w:rPr>
        <w:t xml:space="preserve">njegove dejanske pokojninske osnove in zneskom pokojnine določene v tretjem </w:t>
      </w:r>
      <w:r>
        <w:rPr>
          <w:rFonts w:cs="Arial"/>
          <w:szCs w:val="22"/>
        </w:rPr>
        <w:tab/>
      </w:r>
      <w:r w:rsidRPr="003C19BB">
        <w:rPr>
          <w:rFonts w:cs="Arial"/>
          <w:szCs w:val="22"/>
        </w:rPr>
        <w:t>oziroma četrtem odstavku 39. člena tega zakona.«</w:t>
      </w:r>
      <w:r>
        <w:rPr>
          <w:rFonts w:cs="Arial"/>
          <w:szCs w:val="22"/>
        </w:rPr>
        <w:t>.</w:t>
      </w:r>
    </w:p>
    <w:p w:rsidR="003C19BB" w:rsidRP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jc w:val="center"/>
        <w:rPr>
          <w:rFonts w:cs="Arial"/>
          <w:szCs w:val="22"/>
        </w:rPr>
      </w:pPr>
      <w:r w:rsidRPr="003C19BB">
        <w:rPr>
          <w:rFonts w:cs="Arial"/>
          <w:szCs w:val="22"/>
        </w:rPr>
        <w:t>Prehodna in končna določba</w:t>
      </w:r>
    </w:p>
    <w:p w:rsidR="003C19BB" w:rsidRPr="003C19BB" w:rsidRDefault="003C19BB" w:rsidP="003C19BB">
      <w:pPr>
        <w:tabs>
          <w:tab w:val="left" w:pos="567"/>
          <w:tab w:val="left" w:pos="993"/>
        </w:tabs>
        <w:spacing w:line="240" w:lineRule="auto"/>
        <w:jc w:val="center"/>
        <w:rPr>
          <w:rFonts w:cs="Arial"/>
          <w:szCs w:val="22"/>
        </w:rPr>
      </w:pPr>
    </w:p>
    <w:p w:rsidR="003C19BB" w:rsidRPr="003C19BB" w:rsidRDefault="003C19BB" w:rsidP="003C19BB">
      <w:pPr>
        <w:tabs>
          <w:tab w:val="left" w:pos="567"/>
          <w:tab w:val="left" w:pos="993"/>
        </w:tabs>
        <w:spacing w:line="240" w:lineRule="auto"/>
        <w:jc w:val="center"/>
        <w:rPr>
          <w:rFonts w:cs="Arial"/>
          <w:szCs w:val="22"/>
        </w:rPr>
      </w:pPr>
      <w:r w:rsidRPr="003C19BB">
        <w:rPr>
          <w:rFonts w:cs="Arial"/>
          <w:szCs w:val="22"/>
        </w:rPr>
        <w:t>4.</w:t>
      </w:r>
      <w:r>
        <w:rPr>
          <w:rFonts w:cs="Arial"/>
          <w:szCs w:val="22"/>
        </w:rPr>
        <w:t xml:space="preserve"> </w:t>
      </w:r>
      <w:r w:rsidRPr="003C19BB">
        <w:rPr>
          <w:rFonts w:cs="Arial"/>
          <w:szCs w:val="22"/>
        </w:rPr>
        <w:t>člen</w:t>
      </w:r>
    </w:p>
    <w:p w:rsidR="003C19BB" w:rsidRP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r>
        <w:rPr>
          <w:rFonts w:cs="Arial"/>
          <w:szCs w:val="22"/>
        </w:rPr>
        <w:tab/>
      </w:r>
      <w:r>
        <w:rPr>
          <w:rFonts w:cs="Arial"/>
          <w:szCs w:val="22"/>
        </w:rPr>
        <w:tab/>
      </w:r>
      <w:r w:rsidRPr="003C19BB">
        <w:rPr>
          <w:rFonts w:cs="Arial"/>
          <w:szCs w:val="22"/>
        </w:rPr>
        <w:t>(1) Uživalcem, ki so uveljavili pravico do starostne ali invalidske pokojnine po predhodno veljavnih predpisih o pokojninskem in invalidskem zavarovanju in so dopolnili pogoj pokojninske dobe, kot je bil po takrat veljavnem predpisu predpisan za pridobitev pravice do starostne pokojnine pri najnižji starosti ali brez pogoja starosti, če ta ni bil predpisan, je zagotovljena najnižja pokojnina iz tretjega odstavka 39. člena zakona, brez izdaje posamičnega akta.</w:t>
      </w:r>
    </w:p>
    <w:p w:rsidR="003C19BB" w:rsidRP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r>
        <w:rPr>
          <w:rFonts w:cs="Arial"/>
          <w:szCs w:val="22"/>
        </w:rPr>
        <w:tab/>
      </w:r>
      <w:r>
        <w:rPr>
          <w:rFonts w:cs="Arial"/>
          <w:szCs w:val="22"/>
        </w:rPr>
        <w:tab/>
      </w:r>
      <w:r w:rsidRPr="003C19BB">
        <w:rPr>
          <w:rFonts w:cs="Arial"/>
          <w:szCs w:val="22"/>
        </w:rPr>
        <w:t>(2) Zavarovancem, ki jim je bila starostna pokojnina zmanjšana na podlagi prvega odstavka 53. člena ZPIZ-1 in uživalcem, ki jim je bila pokojnina odmerjena za ožji obseg pravic, ni zagotovljen znesek pokojnine iz novega tretjega oziroma četrt</w:t>
      </w:r>
      <w:r>
        <w:rPr>
          <w:rFonts w:cs="Arial"/>
          <w:szCs w:val="22"/>
        </w:rPr>
        <w:t>ega odstavka 39. člena zakona.</w:t>
      </w:r>
    </w:p>
    <w:p w:rsidR="003C19BB" w:rsidRP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rPr>
          <w:rFonts w:cs="Arial"/>
          <w:szCs w:val="22"/>
        </w:rPr>
      </w:pPr>
    </w:p>
    <w:p w:rsidR="003C19BB" w:rsidRPr="003C19BB" w:rsidRDefault="003C19BB" w:rsidP="003C19BB">
      <w:pPr>
        <w:tabs>
          <w:tab w:val="left" w:pos="567"/>
          <w:tab w:val="left" w:pos="993"/>
        </w:tabs>
        <w:spacing w:line="240" w:lineRule="auto"/>
        <w:jc w:val="center"/>
        <w:rPr>
          <w:rFonts w:cs="Arial"/>
          <w:szCs w:val="22"/>
        </w:rPr>
      </w:pPr>
      <w:r w:rsidRPr="003C19BB">
        <w:rPr>
          <w:rFonts w:cs="Arial"/>
          <w:szCs w:val="22"/>
        </w:rPr>
        <w:t>5.</w:t>
      </w:r>
      <w:r>
        <w:rPr>
          <w:rFonts w:cs="Arial"/>
          <w:szCs w:val="22"/>
        </w:rPr>
        <w:t xml:space="preserve"> </w:t>
      </w:r>
      <w:r w:rsidRPr="003C19BB">
        <w:rPr>
          <w:rFonts w:cs="Arial"/>
          <w:szCs w:val="22"/>
        </w:rPr>
        <w:t>člen</w:t>
      </w:r>
    </w:p>
    <w:p w:rsidR="003C19BB" w:rsidRPr="003C19BB" w:rsidRDefault="003C19BB" w:rsidP="003C19BB">
      <w:pPr>
        <w:tabs>
          <w:tab w:val="left" w:pos="567"/>
          <w:tab w:val="left" w:pos="993"/>
        </w:tabs>
        <w:spacing w:line="240" w:lineRule="auto"/>
        <w:rPr>
          <w:rFonts w:cs="Arial"/>
          <w:szCs w:val="22"/>
        </w:rPr>
      </w:pPr>
    </w:p>
    <w:p w:rsidR="003C19BB" w:rsidRDefault="003C19BB" w:rsidP="003C19BB">
      <w:pPr>
        <w:tabs>
          <w:tab w:val="left" w:pos="567"/>
          <w:tab w:val="left" w:pos="993"/>
        </w:tabs>
        <w:spacing w:line="240" w:lineRule="auto"/>
        <w:rPr>
          <w:rFonts w:cs="Arial"/>
          <w:szCs w:val="22"/>
        </w:rPr>
      </w:pPr>
      <w:r>
        <w:rPr>
          <w:rFonts w:cs="Arial"/>
          <w:szCs w:val="22"/>
        </w:rPr>
        <w:tab/>
      </w:r>
      <w:r>
        <w:rPr>
          <w:rFonts w:cs="Arial"/>
          <w:szCs w:val="22"/>
        </w:rPr>
        <w:tab/>
      </w:r>
      <w:r w:rsidRPr="003C19BB">
        <w:rPr>
          <w:rFonts w:cs="Arial"/>
          <w:szCs w:val="22"/>
        </w:rPr>
        <w:t>Ta zakon začne veljati 1. oktobra 2017.</w:t>
      </w:r>
    </w:p>
    <w:p w:rsidR="003C19BB" w:rsidRDefault="003C19BB" w:rsidP="003C19BB">
      <w:pPr>
        <w:tabs>
          <w:tab w:val="left" w:pos="567"/>
          <w:tab w:val="left" w:pos="993"/>
        </w:tabs>
        <w:spacing w:line="240" w:lineRule="auto"/>
        <w:rPr>
          <w:rFonts w:cs="Arial"/>
          <w:szCs w:val="22"/>
        </w:rPr>
      </w:pPr>
    </w:p>
    <w:p w:rsidR="00A42C13" w:rsidRDefault="00A42C13" w:rsidP="003C19BB">
      <w:pPr>
        <w:tabs>
          <w:tab w:val="left" w:pos="567"/>
          <w:tab w:val="left" w:pos="993"/>
        </w:tabs>
        <w:spacing w:line="240" w:lineRule="auto"/>
        <w:rPr>
          <w:rFonts w:cs="Arial"/>
          <w:szCs w:val="22"/>
        </w:rPr>
      </w:pPr>
    </w:p>
    <w:p w:rsidR="00A42C13" w:rsidRDefault="00A42C13" w:rsidP="003C19BB">
      <w:pPr>
        <w:tabs>
          <w:tab w:val="left" w:pos="567"/>
          <w:tab w:val="left" w:pos="993"/>
        </w:tabs>
        <w:spacing w:line="240" w:lineRule="auto"/>
        <w:rPr>
          <w:rFonts w:cs="Arial"/>
          <w:szCs w:val="22"/>
        </w:rPr>
      </w:pPr>
    </w:p>
    <w:p w:rsidR="00A42C13" w:rsidRDefault="00A42C13" w:rsidP="00A42C13">
      <w:pPr>
        <w:tabs>
          <w:tab w:val="left" w:pos="567"/>
          <w:tab w:val="left" w:pos="993"/>
        </w:tabs>
        <w:spacing w:line="240" w:lineRule="auto"/>
      </w:pPr>
      <w:r>
        <w:t>Š</w:t>
      </w:r>
      <w:r w:rsidRPr="003C19BB">
        <w:t>tevilka</w:t>
      </w:r>
      <w:r>
        <w:t xml:space="preserve">: </w:t>
      </w:r>
      <w:r w:rsidRPr="003C19BB">
        <w:t>172-01/16-28/</w:t>
      </w:r>
    </w:p>
    <w:p w:rsidR="00A42C13" w:rsidRDefault="00A42C13" w:rsidP="00A42C13">
      <w:pPr>
        <w:tabs>
          <w:tab w:val="left" w:pos="567"/>
          <w:tab w:val="left" w:pos="993"/>
        </w:tabs>
        <w:spacing w:line="240" w:lineRule="auto"/>
      </w:pPr>
      <w:r>
        <w:t>Datum: 25. april 2017</w:t>
      </w:r>
    </w:p>
    <w:p w:rsidR="00A42C13" w:rsidRDefault="00A42C13" w:rsidP="00A42C13">
      <w:pPr>
        <w:tabs>
          <w:tab w:val="left" w:pos="567"/>
          <w:tab w:val="left" w:pos="993"/>
        </w:tabs>
        <w:spacing w:line="240" w:lineRule="auto"/>
      </w:pPr>
      <w:r w:rsidRPr="003C19BB">
        <w:t>EPA</w:t>
      </w:r>
      <w:r>
        <w:t xml:space="preserve"> </w:t>
      </w:r>
      <w:r w:rsidRPr="003C19BB">
        <w:t>1690-</w:t>
      </w:r>
      <w:proofErr w:type="spellStart"/>
      <w:r w:rsidRPr="003C19BB">
        <w:t>VII</w:t>
      </w:r>
      <w:proofErr w:type="spellEnd"/>
    </w:p>
    <w:p w:rsidR="00A42C13" w:rsidRPr="00ED0A8E" w:rsidRDefault="00A42C13" w:rsidP="00A42C13">
      <w:pPr>
        <w:tabs>
          <w:tab w:val="left" w:pos="6521"/>
        </w:tabs>
        <w:rPr>
          <w:szCs w:val="22"/>
        </w:rPr>
      </w:pPr>
      <w:r w:rsidRPr="00ED0A8E">
        <w:rPr>
          <w:szCs w:val="22"/>
        </w:rPr>
        <w:tab/>
        <w:t>Državni zbor</w:t>
      </w:r>
    </w:p>
    <w:p w:rsidR="00A42C13" w:rsidRDefault="00A42C13" w:rsidP="00A42C13">
      <w:pPr>
        <w:tabs>
          <w:tab w:val="left" w:pos="6521"/>
        </w:tabs>
        <w:rPr>
          <w:szCs w:val="22"/>
        </w:rPr>
      </w:pPr>
      <w:r w:rsidRPr="00ED0A8E">
        <w:rPr>
          <w:szCs w:val="22"/>
        </w:rPr>
        <w:tab/>
      </w:r>
      <w:r>
        <w:rPr>
          <w:szCs w:val="22"/>
        </w:rPr>
        <w:t>dr. Milan Brglez</w:t>
      </w:r>
    </w:p>
    <w:p w:rsidR="00A42C13" w:rsidRPr="00ED0A8E" w:rsidRDefault="00A42C13" w:rsidP="00A42C13">
      <w:pPr>
        <w:tabs>
          <w:tab w:val="left" w:pos="6521"/>
        </w:tabs>
        <w:rPr>
          <w:szCs w:val="22"/>
        </w:rPr>
      </w:pPr>
      <w:r w:rsidRPr="00ED0A8E">
        <w:rPr>
          <w:szCs w:val="22"/>
        </w:rPr>
        <w:tab/>
        <w:t>predsednik</w:t>
      </w:r>
    </w:p>
    <w:p w:rsidR="00A42C13" w:rsidRPr="00BE26D1" w:rsidRDefault="00A42C13" w:rsidP="003C19BB">
      <w:pPr>
        <w:tabs>
          <w:tab w:val="left" w:pos="567"/>
          <w:tab w:val="left" w:pos="993"/>
        </w:tabs>
        <w:spacing w:line="240" w:lineRule="auto"/>
        <w:rPr>
          <w:rFonts w:cs="Arial"/>
          <w:szCs w:val="22"/>
        </w:rPr>
      </w:pPr>
    </w:p>
    <w:sectPr w:rsidR="00A42C13" w:rsidRPr="00BE26D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A42C13">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4C0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C19BB"/>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A2657"/>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2C13"/>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TotalTime>
  <Pages>2</Pages>
  <Words>530</Words>
  <Characters>3115</Characters>
  <Application>Microsoft Office Word</Application>
  <DocSecurity>0</DocSecurity>
  <Lines>25</Lines>
  <Paragraphs>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2017-04-28T07:45:00Z</cp:lastPrinted>
  <dcterms:created xsi:type="dcterms:W3CDTF">2017-04-12T12:12:00Z</dcterms:created>
  <dcterms:modified xsi:type="dcterms:W3CDTF">2017-04-28T07:45:00Z</dcterms:modified>
</cp:coreProperties>
</file>