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F44" w:rsidRPr="00B93F44" w:rsidRDefault="00B93F44" w:rsidP="00B93F44">
      <w:pPr>
        <w:tabs>
          <w:tab w:val="left" w:pos="567"/>
          <w:tab w:val="left" w:pos="993"/>
        </w:tabs>
        <w:spacing w:line="240" w:lineRule="auto"/>
        <w:jc w:val="center"/>
        <w:rPr>
          <w:rFonts w:cs="Arial"/>
          <w:b/>
          <w:spacing w:val="54"/>
          <w:szCs w:val="22"/>
        </w:rPr>
      </w:pPr>
      <w:bookmarkStart w:id="0" w:name="_GoBack"/>
      <w:bookmarkEnd w:id="0"/>
      <w:r w:rsidRPr="00B93F44">
        <w:rPr>
          <w:rFonts w:cs="Arial"/>
          <w:b/>
          <w:spacing w:val="54"/>
          <w:szCs w:val="22"/>
        </w:rPr>
        <w:t>ZAKON</w:t>
      </w:r>
    </w:p>
    <w:p w:rsidR="00B93F44" w:rsidRDefault="00B93F44" w:rsidP="00B93F44">
      <w:pPr>
        <w:tabs>
          <w:tab w:val="left" w:pos="567"/>
          <w:tab w:val="left" w:pos="993"/>
        </w:tabs>
        <w:spacing w:line="240" w:lineRule="auto"/>
        <w:jc w:val="center"/>
        <w:rPr>
          <w:rFonts w:cs="Arial"/>
          <w:b/>
          <w:szCs w:val="22"/>
        </w:rPr>
      </w:pPr>
    </w:p>
    <w:p w:rsidR="00B93F44" w:rsidRDefault="00B93F44" w:rsidP="00B93F44">
      <w:pPr>
        <w:tabs>
          <w:tab w:val="left" w:pos="567"/>
          <w:tab w:val="left" w:pos="993"/>
        </w:tabs>
        <w:spacing w:line="240" w:lineRule="auto"/>
        <w:jc w:val="center"/>
        <w:rPr>
          <w:rFonts w:cs="Arial"/>
          <w:b/>
          <w:szCs w:val="22"/>
        </w:rPr>
      </w:pPr>
      <w:r w:rsidRPr="00B93F44">
        <w:rPr>
          <w:rFonts w:cs="Arial"/>
          <w:b/>
          <w:szCs w:val="22"/>
        </w:rPr>
        <w:t>O SPREMEMBAH IN DOPOLNITVAH ZAKONA O IZVRŠEVANJU</w:t>
      </w:r>
    </w:p>
    <w:p w:rsidR="00B93F44" w:rsidRPr="00B93F44" w:rsidRDefault="00B93F44" w:rsidP="00B93F44">
      <w:pPr>
        <w:tabs>
          <w:tab w:val="left" w:pos="567"/>
          <w:tab w:val="left" w:pos="993"/>
        </w:tabs>
        <w:spacing w:line="240" w:lineRule="auto"/>
        <w:jc w:val="center"/>
        <w:rPr>
          <w:rFonts w:cs="Arial"/>
          <w:b/>
          <w:szCs w:val="22"/>
        </w:rPr>
      </w:pPr>
      <w:r w:rsidRPr="00B93F44">
        <w:rPr>
          <w:rFonts w:cs="Arial"/>
          <w:b/>
          <w:szCs w:val="22"/>
        </w:rPr>
        <w:t>PRORAČUNOV REPUBLIKE SLOVENIJE ZA LETI 2014 IN 2015 (ZIPRS1415-E)</w:t>
      </w:r>
    </w:p>
    <w:p w:rsidR="00B93F44" w:rsidRDefault="00B93F44" w:rsidP="00B93F44">
      <w:pPr>
        <w:tabs>
          <w:tab w:val="left" w:pos="567"/>
          <w:tab w:val="left" w:pos="993"/>
        </w:tabs>
        <w:spacing w:line="240" w:lineRule="auto"/>
        <w:rPr>
          <w:rFonts w:cs="Arial"/>
          <w:szCs w:val="22"/>
        </w:rPr>
      </w:pPr>
    </w:p>
    <w:p w:rsidR="00B93F44" w:rsidRPr="00B93F44" w:rsidRDefault="00B93F44" w:rsidP="00B93F44">
      <w:pPr>
        <w:tabs>
          <w:tab w:val="left" w:pos="567"/>
          <w:tab w:val="left" w:pos="993"/>
        </w:tabs>
        <w:spacing w:line="240" w:lineRule="auto"/>
        <w:rPr>
          <w:rFonts w:cs="Arial"/>
          <w:szCs w:val="22"/>
        </w:rPr>
      </w:pPr>
    </w:p>
    <w:p w:rsidR="00B93F44" w:rsidRPr="00B93F44" w:rsidRDefault="00B93F44" w:rsidP="00B93F44">
      <w:pPr>
        <w:tabs>
          <w:tab w:val="left" w:pos="567"/>
          <w:tab w:val="left" w:pos="993"/>
        </w:tabs>
        <w:spacing w:line="240" w:lineRule="auto"/>
        <w:jc w:val="center"/>
        <w:rPr>
          <w:rFonts w:cs="Arial"/>
          <w:bCs/>
          <w:szCs w:val="22"/>
          <w:lang w:eastAsia="sl-SI"/>
        </w:rPr>
      </w:pPr>
      <w:r w:rsidRPr="00B93F44">
        <w:rPr>
          <w:rFonts w:cs="Arial"/>
          <w:bCs/>
          <w:szCs w:val="22"/>
          <w:lang w:eastAsia="sl-SI"/>
        </w:rPr>
        <w:t>1. člen</w:t>
      </w: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spacing w:line="240" w:lineRule="auto"/>
        <w:rPr>
          <w:rFonts w:cs="Arial"/>
          <w:szCs w:val="22"/>
        </w:rPr>
      </w:pPr>
      <w:r>
        <w:rPr>
          <w:rFonts w:cs="Arial"/>
          <w:bCs/>
          <w:szCs w:val="22"/>
          <w:lang w:eastAsia="sl-SI"/>
        </w:rPr>
        <w:tab/>
      </w:r>
      <w:r>
        <w:rPr>
          <w:rFonts w:cs="Arial"/>
          <w:bCs/>
          <w:szCs w:val="22"/>
          <w:lang w:eastAsia="sl-SI"/>
        </w:rPr>
        <w:tab/>
      </w:r>
      <w:r w:rsidRPr="00B93F44">
        <w:rPr>
          <w:rFonts w:cs="Arial"/>
          <w:bCs/>
          <w:szCs w:val="22"/>
          <w:lang w:eastAsia="sl-SI"/>
        </w:rPr>
        <w:t xml:space="preserve">V Zakonu o izvrševanju proračunov Republike Slovenije za leti 2014 in 2015 (Uradni list RS, št. 101/13, 9/14 – ZRTVS-1A, 25/14 – </w:t>
      </w:r>
      <w:proofErr w:type="spellStart"/>
      <w:r w:rsidRPr="00B93F44">
        <w:rPr>
          <w:rFonts w:cs="Arial"/>
          <w:bCs/>
          <w:szCs w:val="22"/>
          <w:lang w:eastAsia="sl-SI"/>
        </w:rPr>
        <w:t>ZSDH</w:t>
      </w:r>
      <w:proofErr w:type="spellEnd"/>
      <w:r w:rsidRPr="00B93F44">
        <w:rPr>
          <w:rFonts w:cs="Arial"/>
          <w:bCs/>
          <w:szCs w:val="22"/>
          <w:lang w:eastAsia="sl-SI"/>
        </w:rPr>
        <w:t xml:space="preserve">-1, 38/14, 84/14, 95/14 – </w:t>
      </w:r>
      <w:proofErr w:type="spellStart"/>
      <w:r w:rsidRPr="00B93F44">
        <w:rPr>
          <w:rFonts w:cs="Arial"/>
          <w:bCs/>
          <w:szCs w:val="22"/>
          <w:lang w:eastAsia="sl-SI"/>
        </w:rPr>
        <w:t>ZUJF</w:t>
      </w:r>
      <w:proofErr w:type="spellEnd"/>
      <w:r w:rsidRPr="00B93F44">
        <w:rPr>
          <w:rFonts w:cs="Arial"/>
          <w:bCs/>
          <w:szCs w:val="22"/>
          <w:lang w:eastAsia="sl-SI"/>
        </w:rPr>
        <w:t>-C, 95/14 in 14/15) se v prvem odstavku 1. člena za besedilom »posebnosti njunega izvrševanja« doda vejica in besedilo »poraba sredstev kohezijske politike v programskem obdobju 2014–2020«.</w:t>
      </w:r>
    </w:p>
    <w:p w:rsidR="00B93F44" w:rsidRPr="00B93F44" w:rsidRDefault="00B93F44" w:rsidP="00B93F44">
      <w:pPr>
        <w:tabs>
          <w:tab w:val="left" w:pos="567"/>
          <w:tab w:val="left" w:pos="993"/>
        </w:tabs>
        <w:spacing w:line="240" w:lineRule="auto"/>
        <w:rPr>
          <w:rFonts w:cs="Arial"/>
          <w:szCs w:val="22"/>
          <w:u w:val="single"/>
        </w:rPr>
      </w:pPr>
    </w:p>
    <w:p w:rsidR="00B93F44" w:rsidRPr="00B93F44" w:rsidRDefault="00B93F44" w:rsidP="00B93F44">
      <w:pPr>
        <w:tabs>
          <w:tab w:val="left" w:pos="567"/>
          <w:tab w:val="left" w:pos="993"/>
        </w:tabs>
        <w:spacing w:line="240" w:lineRule="auto"/>
        <w:rPr>
          <w:rFonts w:cs="Arial"/>
          <w:szCs w:val="22"/>
          <w:u w:val="single"/>
        </w:rPr>
      </w:pPr>
    </w:p>
    <w:p w:rsidR="00B93F44" w:rsidRPr="00B93F44" w:rsidRDefault="00B93F44" w:rsidP="00B93F44">
      <w:pPr>
        <w:tabs>
          <w:tab w:val="left" w:pos="567"/>
          <w:tab w:val="left" w:pos="993"/>
        </w:tabs>
        <w:spacing w:line="240" w:lineRule="auto"/>
        <w:jc w:val="center"/>
        <w:rPr>
          <w:rFonts w:cs="Arial"/>
          <w:szCs w:val="22"/>
        </w:rPr>
      </w:pPr>
      <w:r w:rsidRPr="00B93F44">
        <w:rPr>
          <w:rFonts w:cs="Arial"/>
          <w:szCs w:val="22"/>
        </w:rPr>
        <w:t>2. člen</w:t>
      </w: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V drugem odstavku 2. člena se za 16. točko doda nova </w:t>
      </w:r>
      <w:proofErr w:type="spellStart"/>
      <w:r w:rsidRPr="00B93F44">
        <w:rPr>
          <w:rFonts w:cs="Arial"/>
          <w:color w:val="000000"/>
          <w:szCs w:val="22"/>
          <w:lang w:eastAsia="sl-SI"/>
        </w:rPr>
        <w:t>16.a</w:t>
      </w:r>
      <w:proofErr w:type="spellEnd"/>
      <w:r w:rsidRPr="00B93F44">
        <w:rPr>
          <w:rFonts w:cs="Arial"/>
          <w:color w:val="000000"/>
          <w:szCs w:val="22"/>
          <w:lang w:eastAsia="sl-SI"/>
        </w:rPr>
        <w:t xml:space="preserve"> točka, ki se glasi:</w:t>
      </w:r>
    </w:p>
    <w:p w:rsidR="00B93F44" w:rsidRPr="00B93F44" w:rsidRDefault="001B7C54" w:rsidP="00C32AAF">
      <w:pPr>
        <w:tabs>
          <w:tab w:val="left" w:pos="709"/>
          <w:tab w:val="left" w:pos="993"/>
        </w:tabs>
        <w:autoSpaceDE w:val="0"/>
        <w:spacing w:line="240" w:lineRule="auto"/>
        <w:rPr>
          <w:rFonts w:cs="Arial"/>
          <w:color w:val="000000"/>
          <w:szCs w:val="22"/>
          <w:lang w:eastAsia="sl-SI"/>
        </w:rPr>
      </w:pPr>
      <w:r>
        <w:rPr>
          <w:rFonts w:cs="Arial"/>
          <w:color w:val="000000"/>
          <w:szCs w:val="22"/>
          <w:lang w:eastAsia="sl-SI"/>
        </w:rPr>
        <w:t>»</w:t>
      </w:r>
      <w:proofErr w:type="spellStart"/>
      <w:r w:rsidR="00B93F44" w:rsidRPr="00B93F44">
        <w:rPr>
          <w:rFonts w:cs="Arial"/>
          <w:color w:val="000000"/>
          <w:szCs w:val="22"/>
          <w:lang w:eastAsia="sl-SI"/>
        </w:rPr>
        <w:t>16.a</w:t>
      </w:r>
      <w:proofErr w:type="spellEnd"/>
      <w:r w:rsidR="00B93F44">
        <w:rPr>
          <w:rFonts w:cs="Arial"/>
          <w:color w:val="000000"/>
          <w:szCs w:val="22"/>
          <w:lang w:eastAsia="sl-SI"/>
        </w:rPr>
        <w:tab/>
      </w:r>
      <w:r w:rsidR="00B93F44" w:rsidRPr="00B93F44">
        <w:rPr>
          <w:rFonts w:cs="Arial"/>
          <w:color w:val="000000"/>
          <w:szCs w:val="22"/>
          <w:lang w:eastAsia="sl-SI"/>
        </w:rPr>
        <w:t xml:space="preserve">»sredstva kohezijske politike« so sredstva proračuna EU in namenska sredstva </w:t>
      </w:r>
      <w:r w:rsidR="00B93F44">
        <w:rPr>
          <w:rFonts w:cs="Arial"/>
          <w:color w:val="000000"/>
          <w:szCs w:val="22"/>
          <w:lang w:eastAsia="sl-SI"/>
        </w:rPr>
        <w:tab/>
      </w:r>
      <w:r w:rsidR="00B93F44" w:rsidRPr="00B93F44">
        <w:rPr>
          <w:rFonts w:cs="Arial"/>
          <w:color w:val="000000"/>
          <w:szCs w:val="22"/>
          <w:lang w:eastAsia="sl-SI"/>
        </w:rPr>
        <w:t>proračuna za slovensko udeležbo, namenjena za izvajanje kohezijske politike;</w:t>
      </w:r>
      <w:r>
        <w:rPr>
          <w:rFonts w:cs="Arial"/>
          <w:color w:val="000000"/>
          <w:szCs w:val="22"/>
          <w:lang w:eastAsia="sl-SI"/>
        </w:rPr>
        <w:t>«</w:t>
      </w:r>
      <w:r w:rsidR="00B93F44">
        <w:rPr>
          <w:rFonts w:cs="Arial"/>
          <w:color w:val="000000"/>
          <w:szCs w:val="22"/>
          <w:lang w:eastAsia="sl-SI"/>
        </w:rPr>
        <w:t>.</w:t>
      </w:r>
    </w:p>
    <w:p w:rsidR="00B93F44" w:rsidRPr="00B93F44" w:rsidRDefault="00B93F44" w:rsidP="00C32AAF">
      <w:pPr>
        <w:tabs>
          <w:tab w:val="left" w:pos="709"/>
          <w:tab w:val="left" w:pos="993"/>
        </w:tabs>
        <w:autoSpaceDE w:val="0"/>
        <w:spacing w:line="240" w:lineRule="auto"/>
        <w:rPr>
          <w:rFonts w:cs="Arial"/>
          <w:color w:val="000000"/>
          <w:szCs w:val="22"/>
          <w:lang w:eastAsia="sl-SI"/>
        </w:rPr>
      </w:pPr>
    </w:p>
    <w:p w:rsidR="00B93F44" w:rsidRPr="00B93F44" w:rsidRDefault="00B93F44" w:rsidP="00C32AAF">
      <w:pPr>
        <w:tabs>
          <w:tab w:val="left" w:pos="709"/>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Za 17. točko se doda nova </w:t>
      </w:r>
      <w:proofErr w:type="spellStart"/>
      <w:r w:rsidRPr="00B93F44">
        <w:rPr>
          <w:rFonts w:cs="Arial"/>
          <w:color w:val="000000"/>
          <w:szCs w:val="22"/>
          <w:lang w:eastAsia="sl-SI"/>
        </w:rPr>
        <w:t>17.a</w:t>
      </w:r>
      <w:proofErr w:type="spellEnd"/>
      <w:r w:rsidRPr="00B93F44">
        <w:rPr>
          <w:rFonts w:cs="Arial"/>
          <w:color w:val="000000"/>
          <w:szCs w:val="22"/>
          <w:lang w:eastAsia="sl-SI"/>
        </w:rPr>
        <w:t xml:space="preserve"> točka, ki se glasi:</w:t>
      </w:r>
    </w:p>
    <w:p w:rsidR="00B93F44" w:rsidRPr="00B93F44" w:rsidRDefault="001B7C54" w:rsidP="00C32AAF">
      <w:pPr>
        <w:tabs>
          <w:tab w:val="left" w:pos="709"/>
          <w:tab w:val="left" w:pos="993"/>
        </w:tabs>
        <w:autoSpaceDE w:val="0"/>
        <w:spacing w:line="240" w:lineRule="auto"/>
        <w:rPr>
          <w:rFonts w:cs="Arial"/>
          <w:color w:val="000000"/>
          <w:szCs w:val="22"/>
          <w:lang w:eastAsia="sl-SI"/>
        </w:rPr>
      </w:pPr>
      <w:r>
        <w:rPr>
          <w:rFonts w:cs="Arial"/>
          <w:color w:val="000000"/>
          <w:szCs w:val="22"/>
          <w:lang w:eastAsia="sl-SI"/>
        </w:rPr>
        <w:t>»</w:t>
      </w:r>
      <w:proofErr w:type="spellStart"/>
      <w:r w:rsidR="00B93F44" w:rsidRPr="00B93F44">
        <w:rPr>
          <w:rFonts w:cs="Arial"/>
          <w:color w:val="000000"/>
          <w:szCs w:val="22"/>
          <w:lang w:eastAsia="sl-SI"/>
        </w:rPr>
        <w:t>17.a</w:t>
      </w:r>
      <w:proofErr w:type="spellEnd"/>
      <w:r w:rsidR="00B93F44">
        <w:rPr>
          <w:rFonts w:cs="Arial"/>
          <w:color w:val="000000"/>
          <w:szCs w:val="22"/>
          <w:lang w:eastAsia="sl-SI"/>
        </w:rPr>
        <w:tab/>
      </w:r>
      <w:r w:rsidR="00B93F44" w:rsidRPr="00B93F44">
        <w:rPr>
          <w:rFonts w:cs="Arial"/>
          <w:color w:val="000000"/>
          <w:szCs w:val="22"/>
          <w:lang w:eastAsia="sl-SI"/>
        </w:rPr>
        <w:t xml:space="preserve">»postavke kohezijske politike« so tiste, na katerih se v programskem obdobju </w:t>
      </w:r>
      <w:r w:rsidR="00B93F44">
        <w:rPr>
          <w:rFonts w:cs="Arial"/>
          <w:color w:val="000000"/>
          <w:szCs w:val="22"/>
          <w:lang w:eastAsia="sl-SI"/>
        </w:rPr>
        <w:tab/>
      </w:r>
      <w:r w:rsidR="00B93F44" w:rsidRPr="00B93F44">
        <w:rPr>
          <w:rFonts w:cs="Arial"/>
          <w:color w:val="000000"/>
          <w:szCs w:val="22"/>
          <w:lang w:eastAsia="sl-SI"/>
        </w:rPr>
        <w:t xml:space="preserve">2014–2020 zagotavljajo pravice porabe za financiranje kohezijske politike in </w:t>
      </w:r>
      <w:r w:rsidR="00C32AAF">
        <w:rPr>
          <w:rFonts w:cs="Arial"/>
          <w:color w:val="000000"/>
          <w:szCs w:val="22"/>
          <w:lang w:eastAsia="sl-SI"/>
        </w:rPr>
        <w:tab/>
      </w:r>
      <w:r w:rsidR="00B93F44" w:rsidRPr="00B93F44">
        <w:rPr>
          <w:rFonts w:cs="Arial"/>
          <w:color w:val="000000"/>
          <w:szCs w:val="22"/>
          <w:lang w:eastAsia="sl-SI"/>
        </w:rPr>
        <w:t xml:space="preserve">tiste postavke slovenske udeležbe, na katerih se zagotavljajo pravice porabe za </w:t>
      </w:r>
      <w:r w:rsidR="00B93F44">
        <w:rPr>
          <w:rFonts w:cs="Arial"/>
          <w:color w:val="000000"/>
          <w:szCs w:val="22"/>
          <w:lang w:eastAsia="sl-SI"/>
        </w:rPr>
        <w:tab/>
      </w:r>
      <w:r w:rsidR="00B93F44" w:rsidRPr="00B93F44">
        <w:rPr>
          <w:rFonts w:cs="Arial"/>
          <w:color w:val="000000"/>
          <w:szCs w:val="22"/>
          <w:lang w:eastAsia="sl-SI"/>
        </w:rPr>
        <w:t>sofinanciranje kohezijske politike;</w:t>
      </w:r>
      <w:r>
        <w:rPr>
          <w:rFonts w:cs="Arial"/>
          <w:color w:val="000000"/>
          <w:szCs w:val="22"/>
          <w:lang w:eastAsia="sl-SI"/>
        </w:rPr>
        <w:t>«</w:t>
      </w:r>
      <w:r w:rsidR="00B93F44">
        <w:rPr>
          <w:rFonts w:cs="Arial"/>
          <w:color w:val="000000"/>
          <w:szCs w:val="22"/>
          <w:lang w:eastAsia="sl-SI"/>
        </w:rPr>
        <w:t>.</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Besedilo 27. točke se spremeni tako, da se glasi:</w:t>
      </w:r>
    </w:p>
    <w:p w:rsidR="00B93F44" w:rsidRPr="00B93F44" w:rsidRDefault="001B7C54" w:rsidP="00C32AAF">
      <w:pPr>
        <w:tabs>
          <w:tab w:val="left" w:pos="709"/>
          <w:tab w:val="left" w:pos="993"/>
        </w:tabs>
        <w:autoSpaceDE w:val="0"/>
        <w:spacing w:line="240" w:lineRule="auto"/>
        <w:rPr>
          <w:rFonts w:cs="Arial"/>
          <w:color w:val="000000"/>
          <w:szCs w:val="22"/>
          <w:lang w:eastAsia="sl-SI"/>
        </w:rPr>
      </w:pPr>
      <w:r>
        <w:rPr>
          <w:rFonts w:cs="Arial"/>
          <w:color w:val="000000"/>
          <w:szCs w:val="22"/>
          <w:lang w:eastAsia="sl-SI"/>
        </w:rPr>
        <w:t>»</w:t>
      </w:r>
      <w:r w:rsidR="00B93F44" w:rsidRPr="00B93F44">
        <w:rPr>
          <w:rFonts w:cs="Arial"/>
          <w:color w:val="000000"/>
          <w:szCs w:val="22"/>
          <w:lang w:eastAsia="sl-SI"/>
        </w:rPr>
        <w:t>27.</w:t>
      </w:r>
      <w:r w:rsidR="00B93F44">
        <w:rPr>
          <w:rFonts w:cs="Arial"/>
          <w:color w:val="000000"/>
          <w:szCs w:val="22"/>
          <w:lang w:eastAsia="sl-SI"/>
        </w:rPr>
        <w:tab/>
      </w:r>
      <w:r w:rsidR="00B93F44" w:rsidRPr="00B93F44">
        <w:rPr>
          <w:rFonts w:cs="Arial"/>
          <w:color w:val="000000"/>
          <w:szCs w:val="22"/>
          <w:lang w:eastAsia="sl-SI"/>
        </w:rPr>
        <w:t xml:space="preserve">»organ upravljanja« je tisti neposredni uporabnik, ki je odgovoren za področje </w:t>
      </w:r>
      <w:r w:rsidR="00B93F44">
        <w:rPr>
          <w:rFonts w:cs="Arial"/>
          <w:color w:val="000000"/>
          <w:szCs w:val="22"/>
          <w:lang w:eastAsia="sl-SI"/>
        </w:rPr>
        <w:tab/>
      </w:r>
      <w:r w:rsidR="00B93F44" w:rsidRPr="00B93F44">
        <w:rPr>
          <w:rFonts w:cs="Arial"/>
          <w:color w:val="000000"/>
          <w:szCs w:val="22"/>
          <w:lang w:eastAsia="sl-SI"/>
        </w:rPr>
        <w:t xml:space="preserve">kohezijske politike ali za področje sklada za evropsko pomoč najbolj </w:t>
      </w:r>
      <w:r>
        <w:rPr>
          <w:rFonts w:cs="Arial"/>
          <w:color w:val="000000"/>
          <w:szCs w:val="22"/>
          <w:lang w:eastAsia="sl-SI"/>
        </w:rPr>
        <w:tab/>
      </w:r>
      <w:r w:rsidR="00B93F44" w:rsidRPr="00B93F44">
        <w:rPr>
          <w:rFonts w:cs="Arial"/>
          <w:color w:val="000000"/>
          <w:szCs w:val="22"/>
          <w:lang w:eastAsia="sl-SI"/>
        </w:rPr>
        <w:t>ogroženim;</w:t>
      </w:r>
      <w:r>
        <w:rPr>
          <w:rFonts w:cs="Arial"/>
          <w:color w:val="000000"/>
          <w:szCs w:val="22"/>
          <w:lang w:eastAsia="sl-SI"/>
        </w:rPr>
        <w:t>«</w:t>
      </w:r>
      <w:r w:rsidR="00B93F44">
        <w:rPr>
          <w:rFonts w:cs="Arial"/>
          <w:color w:val="000000"/>
          <w:szCs w:val="22"/>
          <w:lang w:eastAsia="sl-SI"/>
        </w:rPr>
        <w:t>.</w:t>
      </w: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spacing w:line="240" w:lineRule="auto"/>
        <w:jc w:val="center"/>
        <w:rPr>
          <w:rFonts w:cs="Arial"/>
          <w:szCs w:val="22"/>
        </w:rPr>
      </w:pPr>
      <w:r w:rsidRPr="00B93F44">
        <w:rPr>
          <w:rFonts w:cs="Arial"/>
          <w:szCs w:val="22"/>
        </w:rPr>
        <w:t>3. člen</w:t>
      </w: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rPr>
          <w:rFonts w:eastAsia="SimSun" w:cs="Arial"/>
          <w:kern w:val="3"/>
          <w:szCs w:val="22"/>
          <w:lang w:eastAsia="hi-IN" w:bidi="hi-IN"/>
        </w:rPr>
      </w:pPr>
      <w:r>
        <w:rPr>
          <w:rFonts w:eastAsia="SimSun" w:cs="Arial"/>
          <w:kern w:val="3"/>
          <w:szCs w:val="22"/>
          <w:lang w:eastAsia="hi-IN" w:bidi="hi-IN"/>
        </w:rPr>
        <w:tab/>
      </w:r>
      <w:r>
        <w:rPr>
          <w:rFonts w:eastAsia="SimSun" w:cs="Arial"/>
          <w:kern w:val="3"/>
          <w:szCs w:val="22"/>
          <w:lang w:eastAsia="hi-IN" w:bidi="hi-IN"/>
        </w:rPr>
        <w:tab/>
      </w:r>
      <w:r w:rsidRPr="00B93F44">
        <w:rPr>
          <w:rFonts w:eastAsia="SimSun" w:cs="Arial"/>
          <w:kern w:val="3"/>
          <w:szCs w:val="22"/>
          <w:lang w:eastAsia="hi-IN" w:bidi="hi-IN"/>
        </w:rPr>
        <w:t>V 10. členu se doda nov drugi odstavek, ki se glasi:</w:t>
      </w:r>
    </w:p>
    <w:p w:rsidR="00B93F44" w:rsidRPr="00B93F44" w:rsidRDefault="00B93F44" w:rsidP="00B93F44">
      <w:pPr>
        <w:tabs>
          <w:tab w:val="left" w:pos="567"/>
          <w:tab w:val="left" w:pos="993"/>
        </w:tabs>
        <w:spacing w:line="240" w:lineRule="auto"/>
        <w:rPr>
          <w:rFonts w:eastAsia="SimSun" w:cs="Arial"/>
          <w:kern w:val="3"/>
          <w:szCs w:val="22"/>
          <w:lang w:eastAsia="hi-IN" w:bidi="hi-IN"/>
        </w:rPr>
      </w:pPr>
      <w:r>
        <w:rPr>
          <w:rFonts w:eastAsia="SimSun" w:cs="Arial"/>
          <w:kern w:val="3"/>
          <w:szCs w:val="22"/>
          <w:lang w:eastAsia="hi-IN" w:bidi="hi-IN"/>
        </w:rPr>
        <w:tab/>
      </w:r>
      <w:r>
        <w:rPr>
          <w:rFonts w:eastAsia="SimSun" w:cs="Arial"/>
          <w:kern w:val="3"/>
          <w:szCs w:val="22"/>
          <w:lang w:eastAsia="hi-IN" w:bidi="hi-IN"/>
        </w:rPr>
        <w:tab/>
      </w:r>
      <w:r w:rsidRPr="00B93F44">
        <w:rPr>
          <w:rFonts w:eastAsia="SimSun" w:cs="Arial"/>
          <w:kern w:val="3"/>
          <w:szCs w:val="22"/>
          <w:lang w:eastAsia="hi-IN" w:bidi="hi-IN"/>
        </w:rPr>
        <w:t>»(2) Ne glede na prejšnji odstavek lahko ministrstvo, pristojno za finance, za izvajanje projektov, ki se financirajo iz sredstev kohezijske politike v programskem obdobju 2014–2020, na predlog neposrednega uporabnika in ob predhodnem soglasju organa upravljanja, med letom odpre proračunske postavke, če se pravice porabe na navedenih postavkah zagotovijo s prerazporeditvami.«.</w:t>
      </w: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spacing w:line="240" w:lineRule="auto"/>
        <w:rPr>
          <w:rFonts w:cs="Arial"/>
          <w:bCs/>
          <w:szCs w:val="22"/>
          <w:lang w:eastAsia="sl-SI"/>
        </w:rPr>
      </w:pPr>
    </w:p>
    <w:p w:rsidR="00B93F44" w:rsidRPr="00B93F44" w:rsidRDefault="00B93F44" w:rsidP="00B93F44">
      <w:pPr>
        <w:tabs>
          <w:tab w:val="left" w:pos="567"/>
          <w:tab w:val="left" w:pos="993"/>
        </w:tabs>
        <w:spacing w:line="240" w:lineRule="auto"/>
        <w:jc w:val="center"/>
        <w:rPr>
          <w:rFonts w:cs="Arial"/>
          <w:szCs w:val="22"/>
        </w:rPr>
      </w:pPr>
      <w:r w:rsidRPr="00B93F44">
        <w:rPr>
          <w:rFonts w:cs="Arial"/>
          <w:szCs w:val="22"/>
        </w:rPr>
        <w:t>4. člen</w:t>
      </w:r>
    </w:p>
    <w:p w:rsidR="00B93F44" w:rsidRPr="00B93F44" w:rsidRDefault="00B93F44" w:rsidP="00B93F44">
      <w:pPr>
        <w:tabs>
          <w:tab w:val="left" w:pos="567"/>
          <w:tab w:val="left" w:pos="993"/>
        </w:tabs>
        <w:spacing w:line="240" w:lineRule="auto"/>
        <w:rPr>
          <w:rFonts w:cs="Arial"/>
          <w:szCs w:val="22"/>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Za 13. členom se doda naslov novega podpoglavja in nov </w:t>
      </w:r>
      <w:proofErr w:type="spellStart"/>
      <w:r w:rsidRPr="00B93F44">
        <w:rPr>
          <w:rFonts w:cs="Arial"/>
          <w:color w:val="000000"/>
          <w:szCs w:val="22"/>
          <w:lang w:eastAsia="sl-SI"/>
        </w:rPr>
        <w:t>13.a</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13.b</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13.c</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13.č</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13.d</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13.e</w:t>
      </w:r>
      <w:proofErr w:type="spellEnd"/>
      <w:r w:rsidRPr="00B93F44">
        <w:rPr>
          <w:rFonts w:cs="Arial"/>
          <w:color w:val="000000"/>
          <w:szCs w:val="22"/>
          <w:lang w:eastAsia="sl-SI"/>
        </w:rPr>
        <w:t xml:space="preserve">, </w:t>
      </w:r>
      <w:proofErr w:type="spellStart"/>
      <w:r w:rsidRPr="00B93F44">
        <w:rPr>
          <w:rFonts w:cs="Arial"/>
          <w:color w:val="000000"/>
          <w:szCs w:val="22"/>
          <w:lang w:eastAsia="sl-SI"/>
        </w:rPr>
        <w:t>13.f</w:t>
      </w:r>
      <w:proofErr w:type="spellEnd"/>
      <w:r w:rsidRPr="00B93F44">
        <w:rPr>
          <w:rFonts w:cs="Arial"/>
          <w:color w:val="000000"/>
          <w:szCs w:val="22"/>
          <w:lang w:eastAsia="sl-SI"/>
        </w:rPr>
        <w:t xml:space="preserve"> in </w:t>
      </w:r>
      <w:proofErr w:type="spellStart"/>
      <w:r w:rsidRPr="00B93F44">
        <w:rPr>
          <w:rFonts w:cs="Arial"/>
          <w:color w:val="000000"/>
          <w:szCs w:val="22"/>
          <w:lang w:eastAsia="sl-SI"/>
        </w:rPr>
        <w:t>13.g</w:t>
      </w:r>
      <w:proofErr w:type="spellEnd"/>
      <w:r w:rsidRPr="00B93F44">
        <w:rPr>
          <w:rFonts w:cs="Arial"/>
          <w:color w:val="000000"/>
          <w:szCs w:val="22"/>
          <w:lang w:eastAsia="sl-SI"/>
        </w:rPr>
        <w:t xml:space="preserve"> člen, ki se glasijo: </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C32AAF">
      <w:pPr>
        <w:tabs>
          <w:tab w:val="left" w:pos="709"/>
          <w:tab w:val="left" w:pos="993"/>
        </w:tabs>
        <w:autoSpaceDE w:val="0"/>
        <w:spacing w:line="240" w:lineRule="auto"/>
        <w:rPr>
          <w:rFonts w:cs="Arial"/>
          <w:bCs/>
          <w:color w:val="000000"/>
          <w:szCs w:val="22"/>
          <w:lang w:eastAsia="sl-SI"/>
        </w:rPr>
      </w:pPr>
      <w:r w:rsidRPr="00B93F44">
        <w:rPr>
          <w:rFonts w:cs="Arial"/>
          <w:bCs/>
          <w:color w:val="000000"/>
          <w:szCs w:val="22"/>
          <w:lang w:eastAsia="sl-SI"/>
        </w:rPr>
        <w:t>3.1.1.</w:t>
      </w:r>
      <w:r>
        <w:rPr>
          <w:rFonts w:cs="Arial"/>
          <w:bCs/>
          <w:color w:val="000000"/>
          <w:szCs w:val="22"/>
          <w:lang w:eastAsia="sl-SI"/>
        </w:rPr>
        <w:tab/>
      </w:r>
      <w:r w:rsidRPr="00B93F44">
        <w:rPr>
          <w:rFonts w:cs="Arial"/>
          <w:bCs/>
          <w:color w:val="000000"/>
          <w:szCs w:val="22"/>
          <w:lang w:eastAsia="sl-SI"/>
        </w:rPr>
        <w:t>Poraba sredstev evropske kohezijske politike v programskem obdobju 2014–</w:t>
      </w:r>
      <w:r>
        <w:rPr>
          <w:rFonts w:cs="Arial"/>
          <w:bCs/>
          <w:color w:val="000000"/>
          <w:szCs w:val="22"/>
          <w:lang w:eastAsia="sl-SI"/>
        </w:rPr>
        <w:tab/>
      </w:r>
      <w:r w:rsidRPr="00B93F44">
        <w:rPr>
          <w:rFonts w:cs="Arial"/>
          <w:bCs/>
          <w:color w:val="000000"/>
          <w:szCs w:val="22"/>
          <w:lang w:eastAsia="sl-SI"/>
        </w:rPr>
        <w:t>2020</w:t>
      </w:r>
    </w:p>
    <w:p w:rsidR="00B93F44" w:rsidRPr="00B93F44" w:rsidRDefault="00B93F44" w:rsidP="00B93F44">
      <w:pPr>
        <w:tabs>
          <w:tab w:val="left" w:pos="567"/>
          <w:tab w:val="left" w:pos="993"/>
        </w:tabs>
        <w:autoSpaceDE w:val="0"/>
        <w:spacing w:line="240" w:lineRule="auto"/>
        <w:rPr>
          <w:rFonts w:cs="Arial"/>
          <w:bCs/>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13.a</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(pristojnost organa upravljanja in organa za potrjevanje)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Pr="00B93F44">
        <w:rPr>
          <w:rFonts w:cs="Arial"/>
          <w:color w:val="000000"/>
          <w:szCs w:val="22"/>
          <w:lang w:eastAsia="sl-SI"/>
        </w:rPr>
        <w:t>(1)</w:t>
      </w:r>
      <w:r>
        <w:rPr>
          <w:rFonts w:cs="Arial"/>
          <w:color w:val="000000"/>
          <w:szCs w:val="22"/>
          <w:lang w:eastAsia="sl-SI"/>
        </w:rPr>
        <w:t xml:space="preserve"> </w:t>
      </w:r>
      <w:r w:rsidRPr="00B93F44">
        <w:rPr>
          <w:rFonts w:cs="Arial"/>
          <w:color w:val="000000"/>
          <w:szCs w:val="22"/>
          <w:lang w:eastAsia="sl-SI"/>
        </w:rPr>
        <w:t>Organ upravljanja je poleg pristojnosti, določenih v Uredbi (EU) 1303/2013 Evropskega parlamenta in Sveta z dne 17. decembra 2013 o skupnih določbah o Evropskem skladu za regionalni razvoj, Evropskem socialnem skladu, Kohezijskem skladu, Evropskem kmetijskem skladu za razvoj podeželja in Evropskem skladu za pomorstvo in ribištvo, o splošnih določbah o Evropskem skladu za regionalni razvoj, Evropskem socialnem skladu, Kohezijskem skladu in Evropskem skladu za pomorstvo in ribištvo ter o razveljavitvi Uredbe Sveta (ES) št. 1083/2006 (UL L št. 347 z dne 20. 12. 2013, str. 320; v nadaljnjem besedilu: Uredba 1303/2013/EU), pristojen tudi za nadzor nad upravljanjem in izvajanjem programov, sofinanciranih s sredstvi kohezijske politike. Če ugotovi nepravilnosti, organ upravljanja naloži popravljalne ukrepe posredniškemu organu, zahteva zadržanje izplačil s postavk kohezijske politike pri posameznem posredniškem organu ter predlaga vladi, da odloči o prerazporeditvah pravic porabe s postavk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(2) Organ za potrjevanje je poleg pristojnosti, določenih v Uredbi 1303/2013/EU, pristojen tudi za spremljanje in nadzor nad vračili sredstev kohezijske politike. Organ za potrjevanje o prejetih vračilih poroča organu upravljanja štirikrat letno, najkasneje do 10. dne v mesecu, ki sledi obdobju poročanja.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13.b</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(sredstva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(1) Prejeta sredstva kohezijske politike v programskem obdobju 2014–2020 so prihodki, ki jih država prejme iz proračuna EU za izvajanje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(2) Prihodki, ki jih država prejme iz proračuna EU za izvajanje kohezijske politike, se pridobivajo kot povračila za predhodno plačane upravičene izdatke iz proračuna.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13.c</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(izplačila iz proračuna)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(1)</w:t>
      </w:r>
      <w:r>
        <w:rPr>
          <w:rFonts w:cs="Arial"/>
          <w:color w:val="000000"/>
          <w:szCs w:val="22"/>
          <w:lang w:eastAsia="sl-SI"/>
        </w:rPr>
        <w:t xml:space="preserve"> </w:t>
      </w:r>
      <w:r w:rsidRPr="00B93F44">
        <w:rPr>
          <w:rFonts w:cs="Arial"/>
          <w:color w:val="000000"/>
          <w:szCs w:val="22"/>
          <w:lang w:eastAsia="sl-SI"/>
        </w:rPr>
        <w:t>Upravičencu do sredstev kohezijske politike se izplačilo iz proračuna izvrši na podlagi zahtevka za izplačilo, ki je pripravljen na podlagi računa ali druge enakovredne knjigovodske listine in druge dokumentacije (v nadaljnjem besedilu: dokazila), ki je bila zahtevana za pridobitev sredstev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(2) Ne glede na prejšnji odstavek se v skladu z 2. točko prvega odstavka 27. člena tega zakona izplačilo sredstev kohezijske politike iz proračuna lahko izvede brez dokazil, če se upravičenec do sredstev kohezijske politike zaveže, da bo zahtevek za izplačilo posredoval najkasneje v 120 dneh po prejemu sredstev.</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(3) Ne glede na prvi odstavek tega člena se za izvajanje kohezijske politike izplačilo iz proračuna lahko izvede na podlagi dokazil, ki ne vsebujejo računa ali druge enakovredne knjigovodske listine, en dan pred dnevom plačila izvajalcu, če:</w:t>
      </w:r>
    </w:p>
    <w:p w:rsidR="00B93F44" w:rsidRPr="00B93F44" w:rsidRDefault="00B93F44" w:rsidP="00B93F44">
      <w:pPr>
        <w:pStyle w:val="Odstavekseznama"/>
        <w:numPr>
          <w:ilvl w:val="0"/>
          <w:numId w:val="4"/>
        </w:numPr>
        <w:tabs>
          <w:tab w:val="left" w:pos="567"/>
          <w:tab w:val="left" w:pos="993"/>
        </w:tabs>
        <w:autoSpaceDE w:val="0"/>
        <w:spacing w:line="240" w:lineRule="auto"/>
        <w:rPr>
          <w:rFonts w:cs="Arial"/>
          <w:color w:val="000000"/>
          <w:szCs w:val="22"/>
          <w:lang w:eastAsia="sl-SI"/>
        </w:rPr>
      </w:pPr>
      <w:r w:rsidRPr="00B93F44">
        <w:rPr>
          <w:rFonts w:cs="Arial"/>
          <w:color w:val="000000"/>
          <w:szCs w:val="22"/>
          <w:lang w:eastAsia="sl-SI"/>
        </w:rPr>
        <w:t xml:space="preserve">je upravičenec občina, posredni uporabnik proračuna ali nosilec javnih pooblastil, </w:t>
      </w:r>
    </w:p>
    <w:p w:rsidR="00B93F44" w:rsidRPr="00B93F44" w:rsidRDefault="00B93F44" w:rsidP="00B93F44">
      <w:pPr>
        <w:pStyle w:val="Odstavekseznama"/>
        <w:numPr>
          <w:ilvl w:val="0"/>
          <w:numId w:val="4"/>
        </w:numPr>
        <w:tabs>
          <w:tab w:val="left" w:pos="567"/>
          <w:tab w:val="left" w:pos="993"/>
        </w:tabs>
        <w:autoSpaceDE w:val="0"/>
        <w:spacing w:line="240" w:lineRule="auto"/>
        <w:rPr>
          <w:rFonts w:cs="Arial"/>
          <w:color w:val="000000"/>
          <w:szCs w:val="22"/>
          <w:lang w:eastAsia="sl-SI"/>
        </w:rPr>
      </w:pPr>
      <w:r w:rsidRPr="00B93F44">
        <w:rPr>
          <w:rFonts w:cs="Arial"/>
          <w:color w:val="000000"/>
          <w:szCs w:val="22"/>
          <w:lang w:eastAsia="sl-SI"/>
        </w:rPr>
        <w:t>predloži drugo dokumentacijo za izplačilo iz proračuna 25 dni pred dnevom plačila izvajalcu in</w:t>
      </w:r>
    </w:p>
    <w:p w:rsidR="00B93F44" w:rsidRPr="00B93F44" w:rsidRDefault="00B93F44" w:rsidP="00B93F44">
      <w:pPr>
        <w:pStyle w:val="Odstavekseznama"/>
        <w:numPr>
          <w:ilvl w:val="0"/>
          <w:numId w:val="4"/>
        </w:numPr>
        <w:tabs>
          <w:tab w:val="left" w:pos="567"/>
          <w:tab w:val="left" w:pos="993"/>
        </w:tabs>
        <w:autoSpaceDE w:val="0"/>
        <w:spacing w:line="240" w:lineRule="auto"/>
        <w:rPr>
          <w:rFonts w:cs="Arial"/>
          <w:color w:val="000000"/>
          <w:szCs w:val="22"/>
          <w:lang w:eastAsia="sl-SI"/>
        </w:rPr>
      </w:pPr>
      <w:r w:rsidRPr="00B93F44">
        <w:rPr>
          <w:rFonts w:cs="Arial"/>
          <w:color w:val="000000"/>
          <w:szCs w:val="22"/>
          <w:lang w:eastAsia="sl-SI"/>
        </w:rPr>
        <w:t xml:space="preserve">se zaveže, da bo račun ali drugo enakovredno knjigovodsko listino posredoval posredniškemu organu najkasneje v </w:t>
      </w:r>
      <w:r w:rsidR="00746F79">
        <w:rPr>
          <w:rFonts w:cs="Arial"/>
          <w:color w:val="000000"/>
          <w:szCs w:val="22"/>
          <w:lang w:eastAsia="sl-SI"/>
        </w:rPr>
        <w:t>osmih</w:t>
      </w:r>
      <w:r w:rsidRPr="00B93F44">
        <w:rPr>
          <w:rFonts w:cs="Arial"/>
          <w:color w:val="000000"/>
          <w:szCs w:val="22"/>
          <w:lang w:eastAsia="sl-SI"/>
        </w:rPr>
        <w:t xml:space="preserve"> dneh po prejemu sredstev.</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(4) Če upravičenec dokazil ne predloži v roku iz drugega odstavka tega člena oziroma če upravičenec računa ali druge enakovredne knjigovodske listine ne predloži </w:t>
      </w:r>
      <w:r w:rsidRPr="00B93F44">
        <w:rPr>
          <w:rFonts w:cs="Arial"/>
          <w:color w:val="000000"/>
          <w:szCs w:val="22"/>
          <w:lang w:eastAsia="sl-SI"/>
        </w:rPr>
        <w:lastRenderedPageBreak/>
        <w:t>v roku iz tretje alineje prejšnjega odstavka, se mu zadržijo nadaljnja izplačila s postavk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13.č</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(neupravičena poraba sredstev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(1) Če organ upravljanja ugotovi, da so bila sredstva kohezijske politike neupravičeno porabljena, najkasneje v 15 dneh od ugotovljene neupravičene porabe sredstev zahteva, da posredniški organ zahteva plačilo od upravičenca. Organ upravljanja zahtevo za plačilo predloži posredniškemu organu in z njo sočasno seznani organ za potrjevanje in revizijski organ.</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(2) Če je neupravičena poraba sredstev kohezijske politike ugotovljena pri posredniškem organu, ki je v vlogi upravičenca, organ upravljanja najkasneje v 15 dneh od ugotovljene neupravičene porabe sredstev zahteva, da organ za potrjevanje zahteva plačilo od posredniškega organa in z zahtevo sočasno seznani revizijski organ. </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(3) Posredniški organ oziroma organ za potrjevanje najkasneje v </w:t>
      </w:r>
      <w:r w:rsidR="00C32AAF">
        <w:rPr>
          <w:rFonts w:cs="Arial"/>
          <w:color w:val="000000"/>
          <w:szCs w:val="22"/>
          <w:lang w:eastAsia="sl-SI"/>
        </w:rPr>
        <w:t>osmih</w:t>
      </w:r>
      <w:r w:rsidRPr="00B93F44">
        <w:rPr>
          <w:rFonts w:cs="Arial"/>
          <w:color w:val="000000"/>
          <w:szCs w:val="22"/>
          <w:lang w:eastAsia="sl-SI"/>
        </w:rPr>
        <w:t xml:space="preserve"> dneh po prejemu zahteve iz prvega oziroma drugega odstavka tega člena zahteva plačilo od upravičenca oziroma od posredniškega organa.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(4) Če je neupravičeno porabo sredstev povzročilo pomanjkljivo delovanje sistema pri organu upravljanja, posredniškemu organu ali izvajalskem organu ali v primeru iz drugega odstavka tega člena mora vračilo sredstev na način, kot je določen v 34. členu tega zakona, zagotoviti organ, pri katerem je bila ugotovljena neupravičena poraba sredstev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13.d</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(zadržanje izvajanja)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(1) Če organ upravljanja ugotovi, da posredniški organ ne izvaja kohezijske politike v skladu z izvedbenim načrtom operativnega programa, ki ga je sprejela vlada, ga pozove, da najkasneje v 30 dneh odpravi neskladnost.</w:t>
      </w: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(2) Če posredniški organ neskladnosti ne odpravi v roku iz prejšnjega odstavka, organ upravljanja zahteva, da ministrstvo, pristojno za finance, za največ tri mesece zadrži nadaljnja izplačila s posameznih postavk kohezijske politike posredniškega organa.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(3) Če je organ upravljanja naložil popravljalne ukrepe posredniškemu organu</w:t>
      </w:r>
      <w:r w:rsidR="00C32AAF">
        <w:rPr>
          <w:rFonts w:cs="Arial"/>
          <w:color w:val="000000"/>
          <w:szCs w:val="22"/>
          <w:lang w:eastAsia="sl-SI"/>
        </w:rPr>
        <w:t>,</w:t>
      </w:r>
      <w:r w:rsidRPr="00B93F44">
        <w:rPr>
          <w:rFonts w:cs="Arial"/>
          <w:color w:val="000000"/>
          <w:szCs w:val="22"/>
          <w:lang w:eastAsia="sl-SI"/>
        </w:rPr>
        <w:t xml:space="preserve"> ki se ne nanašajo na odpravo neskladnosti po prvem odstavku, in jih ta ni izvedel v roku 60 dni od njihovega prejema, organ upravljanja zahteva, da ministrstvo, pristojno za finance, za največ tri mesece zadrži nadaljnja izplačila s posameznih postavk kohezijske politike posredniškega organa.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(4) Če posredniški organ v primeru neupravičene porabe sredstev ne zahteva plačila od upravičenca v roku iz tretjega odstavka </w:t>
      </w:r>
      <w:proofErr w:type="spellStart"/>
      <w:r w:rsidRPr="00B93F44">
        <w:rPr>
          <w:rFonts w:cs="Arial"/>
          <w:color w:val="000000"/>
          <w:szCs w:val="22"/>
          <w:lang w:eastAsia="sl-SI"/>
        </w:rPr>
        <w:t>13.č</w:t>
      </w:r>
      <w:proofErr w:type="spellEnd"/>
      <w:r w:rsidRPr="00B93F44">
        <w:rPr>
          <w:rFonts w:cs="Arial"/>
          <w:color w:val="000000"/>
          <w:szCs w:val="22"/>
          <w:lang w:eastAsia="sl-SI"/>
        </w:rPr>
        <w:t xml:space="preserve"> člena tega zakona, organ upravljanja zahteva, da ministrstvo, pristojno za finance, za največ tri mesece zadrži nadaljnja izplačila s posameznih postavk kohezijske politike posredniškega organa.</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Pr="00B93F44">
        <w:rPr>
          <w:rFonts w:cs="Arial"/>
          <w:color w:val="000000"/>
          <w:szCs w:val="22"/>
          <w:lang w:eastAsia="sl-SI"/>
        </w:rPr>
        <w:t>(5) Ko posredniški organ odpravi pomanjkljivosti, s tem seznani organ upravljanja, ki takoj pozove ministrstvo, pristojno za finance, da odpravi zadržanje izplačil s posameznih postavk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(6) Organ upravljanja o izvedenih zadržanjih iz drugega, tretjega in četrtega</w:t>
      </w:r>
      <w:r w:rsidR="001B7C54">
        <w:rPr>
          <w:rFonts w:cs="Arial"/>
          <w:color w:val="000000"/>
          <w:szCs w:val="22"/>
          <w:lang w:eastAsia="sl-SI"/>
        </w:rPr>
        <w:t xml:space="preserve"> </w:t>
      </w:r>
      <w:r w:rsidRPr="00B93F44">
        <w:rPr>
          <w:rFonts w:cs="Arial"/>
          <w:color w:val="000000"/>
          <w:szCs w:val="22"/>
          <w:lang w:eastAsia="sl-SI"/>
        </w:rPr>
        <w:t>odstavka tega člena četrtletno seznanja vlado.</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13.e</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(prerazporejanje pravic porabe na postavkah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(1) Če posredniški organ 15 dni pred iztekom obdobja</w:t>
      </w:r>
      <w:r w:rsidR="00C32AAF">
        <w:rPr>
          <w:rFonts w:cs="Arial"/>
          <w:color w:val="000000"/>
          <w:szCs w:val="22"/>
          <w:lang w:eastAsia="sl-SI"/>
        </w:rPr>
        <w:t>,</w:t>
      </w:r>
      <w:r w:rsidRPr="00B93F44">
        <w:rPr>
          <w:rFonts w:cs="Arial"/>
          <w:color w:val="000000"/>
          <w:szCs w:val="22"/>
          <w:lang w:eastAsia="sl-SI"/>
        </w:rPr>
        <w:t xml:space="preserve"> za katerega so zadržana izplačila iz drugega, tretjega in četrtega odstavka prejšnjega člena, ne ravna skladno z zahtevami organa upravljanja, ta</w:t>
      </w:r>
      <w:r w:rsidR="001B7C54">
        <w:rPr>
          <w:rFonts w:cs="Arial"/>
          <w:color w:val="000000"/>
          <w:szCs w:val="22"/>
          <w:lang w:eastAsia="sl-SI"/>
        </w:rPr>
        <w:t xml:space="preserve"> </w:t>
      </w:r>
      <w:r w:rsidRPr="00B93F44">
        <w:rPr>
          <w:rFonts w:cs="Arial"/>
          <w:color w:val="000000"/>
          <w:szCs w:val="22"/>
          <w:lang w:eastAsia="sl-SI"/>
        </w:rPr>
        <w:t>predlaga vladi, da odloči o prerazporeditvah pravic porabe s postavk kohezijske politike.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(2) Organ upravljanja predlaga vladi prerazporeditve pravic porabe s postavk kohezijske politike v okviru sprejetega operativnega programa za izvajanje evropske kohezijske politike v obdobju 2014–2020. </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(3) Pred posredovanjem predloga prerazporeditve pravic porabe iz prejšnjega odstavka organ upravljanja o tem pisno obvesti tisti posredniški organ, kateremu se pravice porabe na postavkah kohezijske politike zmanjšujejo.</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(4) Po opravljeni prerazporeditvi pravic porabe organ upravljanja spremeni izvedbeni načrt v obsegu izvedene prerazporeditve.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13.f</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 xml:space="preserve">(dopustnost </w:t>
      </w:r>
      <w:proofErr w:type="spellStart"/>
      <w:r w:rsidRPr="00B93F44">
        <w:rPr>
          <w:rFonts w:cs="Arial"/>
          <w:color w:val="000000"/>
          <w:szCs w:val="22"/>
          <w:lang w:eastAsia="sl-SI"/>
        </w:rPr>
        <w:t>neizterjave</w:t>
      </w:r>
      <w:proofErr w:type="spellEnd"/>
      <w:r w:rsidRPr="00B93F44">
        <w:rPr>
          <w:rFonts w:cs="Arial"/>
          <w:color w:val="000000"/>
          <w:szCs w:val="22"/>
          <w:lang w:eastAsia="sl-SI"/>
        </w:rPr>
        <w:t>)</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Postopkov izterjave za zneske, ki brez obresti ne presegajo 250 </w:t>
      </w:r>
      <w:proofErr w:type="spellStart"/>
      <w:r w:rsidRPr="00B93F44">
        <w:rPr>
          <w:rFonts w:cs="Arial"/>
          <w:color w:val="000000"/>
          <w:szCs w:val="22"/>
          <w:lang w:eastAsia="sl-SI"/>
        </w:rPr>
        <w:t>eurov</w:t>
      </w:r>
      <w:proofErr w:type="spellEnd"/>
      <w:r w:rsidRPr="00B93F44">
        <w:rPr>
          <w:rFonts w:cs="Arial"/>
          <w:color w:val="000000"/>
          <w:szCs w:val="22"/>
          <w:lang w:eastAsia="sl-SI"/>
        </w:rPr>
        <w:t>, ni treba izvesti za sredstva kohezijske politike, kadar predpisi EU, ki se uporabljajo neposredno, to omogočajo.</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proofErr w:type="spellStart"/>
      <w:r w:rsidRPr="00B93F44">
        <w:rPr>
          <w:rFonts w:cs="Arial"/>
          <w:color w:val="000000"/>
          <w:szCs w:val="22"/>
          <w:lang w:eastAsia="sl-SI"/>
        </w:rPr>
        <w:t>13.g</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(uporaba pravil)</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Določbe </w:t>
      </w:r>
      <w:proofErr w:type="spellStart"/>
      <w:r w:rsidRPr="00B93F44">
        <w:rPr>
          <w:rFonts w:cs="Arial"/>
          <w:color w:val="000000"/>
          <w:szCs w:val="22"/>
          <w:lang w:eastAsia="sl-SI"/>
        </w:rPr>
        <w:t>13.a</w:t>
      </w:r>
      <w:proofErr w:type="spellEnd"/>
      <w:r w:rsidRPr="00B93F44">
        <w:rPr>
          <w:rFonts w:cs="Arial"/>
          <w:color w:val="000000"/>
          <w:szCs w:val="22"/>
          <w:lang w:eastAsia="sl-SI"/>
        </w:rPr>
        <w:t xml:space="preserve"> do </w:t>
      </w:r>
      <w:proofErr w:type="spellStart"/>
      <w:r w:rsidRPr="00B93F44">
        <w:rPr>
          <w:rFonts w:cs="Arial"/>
          <w:color w:val="000000"/>
          <w:szCs w:val="22"/>
          <w:lang w:eastAsia="sl-SI"/>
        </w:rPr>
        <w:t>13.f</w:t>
      </w:r>
      <w:proofErr w:type="spellEnd"/>
      <w:r w:rsidRPr="00B93F44">
        <w:rPr>
          <w:rFonts w:cs="Arial"/>
          <w:color w:val="000000"/>
          <w:szCs w:val="22"/>
          <w:lang w:eastAsia="sl-SI"/>
        </w:rPr>
        <w:t xml:space="preserve"> člena tega zakona se uporabljajo tudi za porabo sredstev sklada za evropsko pomoč najbolj ogroženim.</w:t>
      </w:r>
      <w:r>
        <w:rPr>
          <w:rFonts w:cs="Arial"/>
          <w:color w:val="000000"/>
          <w:szCs w:val="22"/>
          <w:lang w:eastAsia="sl-SI"/>
        </w:rPr>
        <w:t>«.</w:t>
      </w: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jc w:val="center"/>
        <w:rPr>
          <w:rFonts w:eastAsia="SimSun" w:cs="Arial"/>
          <w:kern w:val="3"/>
          <w:szCs w:val="22"/>
          <w:lang w:eastAsia="hi-IN" w:bidi="hi-IN"/>
        </w:rPr>
      </w:pPr>
      <w:r w:rsidRPr="00B93F44">
        <w:rPr>
          <w:rFonts w:eastAsia="SimSun" w:cs="Arial"/>
          <w:kern w:val="3"/>
          <w:szCs w:val="22"/>
          <w:lang w:eastAsia="hi-IN" w:bidi="hi-IN"/>
        </w:rPr>
        <w:t>5. člen</w:t>
      </w: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rPr>
          <w:rFonts w:eastAsia="SimSun" w:cs="Arial"/>
          <w:kern w:val="3"/>
          <w:szCs w:val="22"/>
          <w:lang w:eastAsia="hi-IN" w:bidi="hi-IN"/>
        </w:rPr>
      </w:pPr>
      <w:r>
        <w:rPr>
          <w:rFonts w:eastAsia="SimSun" w:cs="Arial"/>
          <w:kern w:val="3"/>
          <w:szCs w:val="22"/>
          <w:lang w:eastAsia="hi-IN" w:bidi="hi-IN"/>
        </w:rPr>
        <w:tab/>
      </w:r>
      <w:r>
        <w:rPr>
          <w:rFonts w:eastAsia="SimSun" w:cs="Arial"/>
          <w:kern w:val="3"/>
          <w:szCs w:val="22"/>
          <w:lang w:eastAsia="hi-IN" w:bidi="hi-IN"/>
        </w:rPr>
        <w:tab/>
      </w:r>
      <w:r w:rsidRPr="00B93F44">
        <w:rPr>
          <w:rFonts w:eastAsia="SimSun" w:cs="Arial"/>
          <w:kern w:val="3"/>
          <w:szCs w:val="22"/>
          <w:lang w:eastAsia="hi-IN" w:bidi="hi-IN"/>
        </w:rPr>
        <w:t>Drugi odstavek 20. člena se črta.</w:t>
      </w: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rPr>
          <w:rFonts w:eastAsia="SimSun" w:cs="Arial"/>
          <w:kern w:val="3"/>
          <w:szCs w:val="22"/>
          <w:lang w:eastAsia="hi-IN" w:bidi="hi-IN"/>
        </w:rPr>
      </w:pPr>
      <w:r>
        <w:rPr>
          <w:rFonts w:eastAsia="SimSun" w:cs="Arial"/>
          <w:kern w:val="3"/>
          <w:szCs w:val="22"/>
          <w:lang w:eastAsia="hi-IN" w:bidi="hi-IN"/>
        </w:rPr>
        <w:tab/>
      </w:r>
      <w:r>
        <w:rPr>
          <w:rFonts w:eastAsia="SimSun" w:cs="Arial"/>
          <w:kern w:val="3"/>
          <w:szCs w:val="22"/>
          <w:lang w:eastAsia="hi-IN" w:bidi="hi-IN"/>
        </w:rPr>
        <w:tab/>
      </w:r>
      <w:r w:rsidRPr="00B93F44">
        <w:rPr>
          <w:rFonts w:eastAsia="SimSun" w:cs="Arial"/>
          <w:kern w:val="3"/>
          <w:szCs w:val="22"/>
          <w:lang w:eastAsia="hi-IN" w:bidi="hi-IN"/>
        </w:rPr>
        <w:t>Dosedanji tretji in četrti odstavek postaneta drugi in tretji odstavek.</w:t>
      </w: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rPr>
          <w:rFonts w:cs="Arial"/>
          <w:szCs w:val="22"/>
          <w:lang w:eastAsia="sl-SI"/>
        </w:rPr>
      </w:pPr>
    </w:p>
    <w:p w:rsidR="00B93F44" w:rsidRPr="00B93F44" w:rsidRDefault="00B93F44" w:rsidP="00B93F44">
      <w:pPr>
        <w:tabs>
          <w:tab w:val="left" w:pos="567"/>
          <w:tab w:val="left" w:pos="993"/>
        </w:tabs>
        <w:spacing w:line="240" w:lineRule="auto"/>
        <w:jc w:val="center"/>
        <w:rPr>
          <w:rFonts w:eastAsia="SimSun" w:cs="Arial"/>
          <w:kern w:val="3"/>
          <w:szCs w:val="22"/>
          <w:lang w:eastAsia="hi-IN" w:bidi="hi-IN"/>
        </w:rPr>
      </w:pPr>
      <w:r w:rsidRPr="00B93F44">
        <w:rPr>
          <w:rFonts w:eastAsia="SimSun" w:cs="Arial"/>
          <w:kern w:val="3"/>
          <w:szCs w:val="22"/>
          <w:lang w:eastAsia="hi-IN" w:bidi="hi-IN"/>
        </w:rPr>
        <w:t>6. člen</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Za 39. členom se doda nov </w:t>
      </w:r>
      <w:proofErr w:type="spellStart"/>
      <w:r w:rsidRPr="00B93F44">
        <w:rPr>
          <w:rFonts w:cs="Arial"/>
          <w:color w:val="000000"/>
          <w:szCs w:val="22"/>
          <w:lang w:eastAsia="sl-SI"/>
        </w:rPr>
        <w:t>39.a</w:t>
      </w:r>
      <w:proofErr w:type="spellEnd"/>
      <w:r w:rsidRPr="00B93F44">
        <w:rPr>
          <w:rFonts w:cs="Arial"/>
          <w:color w:val="000000"/>
          <w:szCs w:val="22"/>
          <w:lang w:eastAsia="sl-SI"/>
        </w:rPr>
        <w:t xml:space="preserve"> člen, ki se glasi:</w:t>
      </w:r>
    </w:p>
    <w:p w:rsidR="00B93F44" w:rsidRDefault="00B93F44" w:rsidP="00B93F44">
      <w:pPr>
        <w:tabs>
          <w:tab w:val="left" w:pos="567"/>
          <w:tab w:val="left" w:pos="993"/>
        </w:tabs>
        <w:autoSpaceDE w:val="0"/>
        <w:spacing w:line="240" w:lineRule="auto"/>
        <w:rPr>
          <w:rFonts w:cs="Arial"/>
          <w:color w:val="000000"/>
          <w:szCs w:val="22"/>
          <w:lang w:eastAsia="sl-SI"/>
        </w:rPr>
      </w:pPr>
    </w:p>
    <w:p w:rsidR="00C540EF" w:rsidRPr="00B93F44" w:rsidRDefault="00C540EF"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lastRenderedPageBreak/>
        <w:t>»</w:t>
      </w:r>
      <w:proofErr w:type="spellStart"/>
      <w:r w:rsidRPr="00B93F44">
        <w:rPr>
          <w:rFonts w:cs="Arial"/>
          <w:color w:val="000000"/>
          <w:szCs w:val="22"/>
          <w:lang w:eastAsia="sl-SI"/>
        </w:rPr>
        <w:t>39.a</w:t>
      </w:r>
      <w:proofErr w:type="spellEnd"/>
      <w:r w:rsidRPr="00B93F44">
        <w:rPr>
          <w:rFonts w:cs="Arial"/>
          <w:color w:val="000000"/>
          <w:szCs w:val="22"/>
          <w:lang w:eastAsia="sl-SI"/>
        </w:rPr>
        <w:t xml:space="preserve"> člen</w:t>
      </w:r>
    </w:p>
    <w:p w:rsidR="00B93F44" w:rsidRPr="00B93F44" w:rsidRDefault="00B93F44" w:rsidP="00B93F44">
      <w:pPr>
        <w:tabs>
          <w:tab w:val="left" w:pos="567"/>
          <w:tab w:val="left" w:pos="993"/>
        </w:tabs>
        <w:autoSpaceDE w:val="0"/>
        <w:spacing w:line="240" w:lineRule="auto"/>
        <w:jc w:val="center"/>
        <w:rPr>
          <w:rFonts w:cs="Arial"/>
          <w:color w:val="000000"/>
          <w:szCs w:val="22"/>
          <w:lang w:eastAsia="sl-SI"/>
        </w:rPr>
      </w:pPr>
      <w:r w:rsidRPr="00B93F44">
        <w:rPr>
          <w:rFonts w:cs="Arial"/>
          <w:color w:val="000000"/>
          <w:szCs w:val="22"/>
          <w:lang w:eastAsia="sl-SI"/>
        </w:rPr>
        <w:t>(zagotavljanje sredstev za pridobivanje kapitalskih naložb države)</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(1) Slovenski državni holding (v nadaljnjem besedilu: </w:t>
      </w:r>
      <w:proofErr w:type="spellStart"/>
      <w:r w:rsidRPr="00B93F44">
        <w:rPr>
          <w:rFonts w:cs="Arial"/>
          <w:color w:val="000000"/>
          <w:szCs w:val="22"/>
          <w:lang w:eastAsia="sl-SI"/>
        </w:rPr>
        <w:t>SDH</w:t>
      </w:r>
      <w:proofErr w:type="spellEnd"/>
      <w:r w:rsidRPr="00B93F44">
        <w:rPr>
          <w:rFonts w:cs="Arial"/>
          <w:color w:val="000000"/>
          <w:szCs w:val="22"/>
          <w:lang w:eastAsia="sl-SI"/>
        </w:rPr>
        <w:t>) mora pred odločitvijo o odplačni pridobitvi kapitalske naložbe v last Republike Slovenije pridobiti potrditev ministrstva, pristojnega za finance, da so v tekočem letu v proračunu zagotovljene pravice porabe v zadostni višini.</w:t>
      </w:r>
    </w:p>
    <w:p w:rsidR="00B93F44" w:rsidRPr="00B93F44" w:rsidRDefault="00B93F44" w:rsidP="00B93F44">
      <w:pPr>
        <w:tabs>
          <w:tab w:val="left" w:pos="567"/>
          <w:tab w:val="left" w:pos="993"/>
        </w:tabs>
        <w:autoSpaceDE w:val="0"/>
        <w:spacing w:line="240" w:lineRule="auto"/>
        <w:rPr>
          <w:rFonts w:cs="Arial"/>
          <w:color w:val="000000"/>
          <w:szCs w:val="22"/>
          <w:lang w:eastAsia="sl-SI"/>
        </w:rPr>
      </w:pPr>
    </w:p>
    <w:p w:rsidR="00B93F44" w:rsidRPr="00B93F44" w:rsidRDefault="00B93F44" w:rsidP="00B93F44">
      <w:pPr>
        <w:tabs>
          <w:tab w:val="left" w:pos="567"/>
          <w:tab w:val="left" w:pos="993"/>
        </w:tabs>
        <w:autoSpaceDE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3F44">
        <w:rPr>
          <w:rFonts w:cs="Arial"/>
          <w:color w:val="000000"/>
          <w:szCs w:val="22"/>
          <w:lang w:eastAsia="sl-SI"/>
        </w:rPr>
        <w:t xml:space="preserve">(2) Ministrstvo, pristojno za finance, na podlagi sklepa </w:t>
      </w:r>
      <w:proofErr w:type="spellStart"/>
      <w:r w:rsidRPr="00B93F44">
        <w:rPr>
          <w:rFonts w:cs="Arial"/>
          <w:color w:val="000000"/>
          <w:szCs w:val="22"/>
          <w:lang w:eastAsia="sl-SI"/>
        </w:rPr>
        <w:t>SDH</w:t>
      </w:r>
      <w:proofErr w:type="spellEnd"/>
      <w:r w:rsidRPr="00B93F44">
        <w:rPr>
          <w:rFonts w:cs="Arial"/>
          <w:color w:val="000000"/>
          <w:szCs w:val="22"/>
          <w:lang w:eastAsia="sl-SI"/>
        </w:rPr>
        <w:t xml:space="preserve"> o odplačni pridobitvi kapitalske naložbe v last Republike Slovenije, družbi, v kateri bo Republika Slovenija pridobila naložbo, izvede izplačilo iz proračuna v roku, ki je za plačila obveznosti neposrednih uporabnikov proračuna določen v prvem odstavku 26. člena tega zakona.«.</w:t>
      </w:r>
    </w:p>
    <w:p w:rsidR="00B93F44" w:rsidRPr="00B93F44" w:rsidRDefault="00B93F44" w:rsidP="00B93F44">
      <w:pPr>
        <w:tabs>
          <w:tab w:val="left" w:pos="567"/>
          <w:tab w:val="left" w:pos="993"/>
        </w:tabs>
        <w:spacing w:line="240" w:lineRule="auto"/>
        <w:rPr>
          <w:rFonts w:cs="Arial"/>
          <w:szCs w:val="22"/>
          <w:shd w:val="clear" w:color="auto" w:fill="FFFF00"/>
        </w:rPr>
      </w:pPr>
    </w:p>
    <w:p w:rsidR="00B93F44" w:rsidRPr="00B93F44" w:rsidRDefault="00B93F44" w:rsidP="00B93F44">
      <w:pPr>
        <w:tabs>
          <w:tab w:val="left" w:pos="567"/>
          <w:tab w:val="left" w:pos="993"/>
        </w:tabs>
        <w:spacing w:line="240" w:lineRule="auto"/>
        <w:rPr>
          <w:rFonts w:eastAsia="SimSun" w:cs="Arial"/>
          <w:kern w:val="3"/>
          <w:szCs w:val="22"/>
          <w:lang w:eastAsia="hi-IN" w:bidi="hi-IN"/>
        </w:rPr>
      </w:pPr>
    </w:p>
    <w:p w:rsidR="00B93F44" w:rsidRPr="00B93F44" w:rsidRDefault="00B93F44" w:rsidP="00B93F44">
      <w:pPr>
        <w:tabs>
          <w:tab w:val="left" w:pos="567"/>
          <w:tab w:val="left" w:pos="993"/>
        </w:tabs>
        <w:spacing w:line="240" w:lineRule="auto"/>
        <w:jc w:val="center"/>
        <w:rPr>
          <w:rFonts w:eastAsia="SimSun" w:cs="Arial"/>
          <w:kern w:val="3"/>
          <w:szCs w:val="22"/>
          <w:lang w:eastAsia="hi-IN" w:bidi="hi-IN"/>
        </w:rPr>
      </w:pPr>
      <w:r w:rsidRPr="00B93F44">
        <w:rPr>
          <w:rFonts w:eastAsia="SimSun" w:cs="Arial"/>
          <w:kern w:val="3"/>
          <w:szCs w:val="22"/>
          <w:lang w:eastAsia="hi-IN" w:bidi="hi-IN"/>
        </w:rPr>
        <w:t>7. člen</w:t>
      </w:r>
    </w:p>
    <w:p w:rsidR="00B93F44" w:rsidRPr="00B93F44" w:rsidRDefault="00B93F44" w:rsidP="00B93F44">
      <w:pPr>
        <w:tabs>
          <w:tab w:val="left" w:pos="567"/>
          <w:tab w:val="left" w:pos="993"/>
        </w:tabs>
        <w:spacing w:line="240" w:lineRule="auto"/>
        <w:rPr>
          <w:rFonts w:cs="Arial"/>
          <w:bCs/>
          <w:szCs w:val="22"/>
          <w:lang w:eastAsia="sl-SI"/>
        </w:rPr>
      </w:pPr>
    </w:p>
    <w:p w:rsidR="00B0618D" w:rsidRDefault="00B93F44" w:rsidP="00B93F44">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B93F44">
        <w:rPr>
          <w:rFonts w:cs="Arial"/>
          <w:bCs/>
          <w:szCs w:val="22"/>
          <w:lang w:eastAsia="sl-SI"/>
        </w:rPr>
        <w:t>Ta zakon začne veljati naslednji dan po objavi v Uradnem listu Republike Slovenije.</w:t>
      </w:r>
    </w:p>
    <w:p w:rsidR="00B93F44" w:rsidRDefault="00B93F44" w:rsidP="00B93F44">
      <w:pPr>
        <w:tabs>
          <w:tab w:val="left" w:pos="567"/>
          <w:tab w:val="left" w:pos="993"/>
        </w:tabs>
        <w:spacing w:line="240" w:lineRule="auto"/>
        <w:rPr>
          <w:rFonts w:cs="Arial"/>
          <w:bCs/>
          <w:szCs w:val="22"/>
          <w:lang w:eastAsia="sl-SI"/>
        </w:rPr>
      </w:pPr>
    </w:p>
    <w:p w:rsidR="00C540EF" w:rsidRDefault="00C540EF" w:rsidP="00B93F44">
      <w:pPr>
        <w:tabs>
          <w:tab w:val="left" w:pos="567"/>
          <w:tab w:val="left" w:pos="993"/>
        </w:tabs>
        <w:spacing w:line="240" w:lineRule="auto"/>
        <w:rPr>
          <w:rFonts w:cs="Arial"/>
          <w:bCs/>
          <w:szCs w:val="22"/>
          <w:lang w:eastAsia="sl-SI"/>
        </w:rPr>
      </w:pPr>
    </w:p>
    <w:p w:rsidR="00746F79" w:rsidRDefault="00746F79" w:rsidP="00C540EF">
      <w:pPr>
        <w:tabs>
          <w:tab w:val="left" w:pos="567"/>
          <w:tab w:val="left" w:pos="993"/>
        </w:tabs>
        <w:spacing w:line="240" w:lineRule="auto"/>
        <w:rPr>
          <w:rFonts w:cs="Arial"/>
          <w:szCs w:val="22"/>
        </w:rPr>
      </w:pPr>
    </w:p>
    <w:p w:rsidR="00C540EF" w:rsidRDefault="00C540EF" w:rsidP="00C540EF">
      <w:pPr>
        <w:tabs>
          <w:tab w:val="left" w:pos="567"/>
          <w:tab w:val="left" w:pos="993"/>
        </w:tabs>
        <w:spacing w:line="240" w:lineRule="auto"/>
        <w:rPr>
          <w:rFonts w:cs="Arial"/>
          <w:szCs w:val="22"/>
        </w:rPr>
      </w:pPr>
      <w:r>
        <w:rPr>
          <w:rFonts w:cs="Arial"/>
          <w:szCs w:val="22"/>
        </w:rPr>
        <w:t>Š</w:t>
      </w:r>
      <w:r w:rsidRPr="00B93F44">
        <w:rPr>
          <w:rFonts w:cs="Arial"/>
          <w:szCs w:val="22"/>
        </w:rPr>
        <w:t>tevilka:</w:t>
      </w:r>
      <w:r>
        <w:rPr>
          <w:rFonts w:cs="Arial"/>
          <w:szCs w:val="22"/>
        </w:rPr>
        <w:t xml:space="preserve"> </w:t>
      </w:r>
      <w:r w:rsidRPr="00B93F44">
        <w:rPr>
          <w:rFonts w:cs="Arial"/>
          <w:szCs w:val="22"/>
        </w:rPr>
        <w:t>411-02/15-7/</w:t>
      </w:r>
    </w:p>
    <w:p w:rsidR="00C540EF" w:rsidRDefault="00C540EF" w:rsidP="00C540EF">
      <w:pPr>
        <w:tabs>
          <w:tab w:val="left" w:pos="567"/>
          <w:tab w:val="left" w:pos="993"/>
        </w:tabs>
        <w:spacing w:line="240" w:lineRule="auto"/>
        <w:rPr>
          <w:rFonts w:cs="Arial"/>
          <w:szCs w:val="22"/>
        </w:rPr>
      </w:pPr>
      <w:r>
        <w:rPr>
          <w:rFonts w:cs="Arial"/>
          <w:szCs w:val="22"/>
        </w:rPr>
        <w:t>Datum: 18. junij 2015</w:t>
      </w:r>
    </w:p>
    <w:p w:rsidR="00C540EF" w:rsidRDefault="00C540EF" w:rsidP="00C540EF">
      <w:pPr>
        <w:tabs>
          <w:tab w:val="left" w:pos="567"/>
          <w:tab w:val="left" w:pos="993"/>
        </w:tabs>
        <w:spacing w:line="240" w:lineRule="auto"/>
        <w:rPr>
          <w:rFonts w:cs="Arial"/>
          <w:szCs w:val="22"/>
        </w:rPr>
      </w:pPr>
      <w:r w:rsidRPr="00B93F44">
        <w:rPr>
          <w:rFonts w:cs="Arial"/>
          <w:szCs w:val="22"/>
        </w:rPr>
        <w:t>EPA</w:t>
      </w:r>
      <w:r>
        <w:rPr>
          <w:rFonts w:cs="Arial"/>
          <w:szCs w:val="22"/>
        </w:rPr>
        <w:t xml:space="preserve"> </w:t>
      </w:r>
      <w:r w:rsidRPr="00B93F44">
        <w:rPr>
          <w:rFonts w:cs="Arial"/>
          <w:szCs w:val="22"/>
        </w:rPr>
        <w:t>505-</w:t>
      </w:r>
      <w:proofErr w:type="spellStart"/>
      <w:r w:rsidRPr="00B93F44">
        <w:rPr>
          <w:rFonts w:cs="Arial"/>
          <w:szCs w:val="22"/>
        </w:rPr>
        <w:t>VII</w:t>
      </w:r>
      <w:proofErr w:type="spellEnd"/>
    </w:p>
    <w:p w:rsidR="00C540EF" w:rsidRDefault="00C540EF" w:rsidP="00B93F44">
      <w:pPr>
        <w:tabs>
          <w:tab w:val="left" w:pos="567"/>
          <w:tab w:val="left" w:pos="993"/>
        </w:tabs>
        <w:spacing w:line="240" w:lineRule="auto"/>
        <w:rPr>
          <w:rFonts w:cs="Arial"/>
          <w:bCs/>
          <w:szCs w:val="22"/>
          <w:lang w:eastAsia="sl-SI"/>
        </w:rPr>
      </w:pPr>
    </w:p>
    <w:p w:rsidR="00746F79" w:rsidRPr="00ED0A8E" w:rsidRDefault="00746F79" w:rsidP="00746F79">
      <w:pPr>
        <w:tabs>
          <w:tab w:val="left" w:pos="6237"/>
        </w:tabs>
        <w:rPr>
          <w:szCs w:val="22"/>
        </w:rPr>
      </w:pPr>
      <w:r w:rsidRPr="00ED0A8E">
        <w:rPr>
          <w:szCs w:val="22"/>
        </w:rPr>
        <w:tab/>
        <w:t>Državni zbor</w:t>
      </w:r>
    </w:p>
    <w:p w:rsidR="00746F79" w:rsidRPr="00ED0A8E" w:rsidRDefault="00746F79" w:rsidP="00746F79">
      <w:pPr>
        <w:tabs>
          <w:tab w:val="left" w:pos="6237"/>
        </w:tabs>
        <w:rPr>
          <w:szCs w:val="22"/>
        </w:rPr>
      </w:pPr>
      <w:r w:rsidRPr="00ED0A8E">
        <w:rPr>
          <w:szCs w:val="22"/>
        </w:rPr>
        <w:tab/>
      </w:r>
      <w:r>
        <w:rPr>
          <w:szCs w:val="22"/>
        </w:rPr>
        <w:t>mag. Bojana Muršič</w:t>
      </w:r>
    </w:p>
    <w:p w:rsidR="00746F79" w:rsidRPr="00ED0A8E" w:rsidRDefault="00746F79" w:rsidP="00746F79">
      <w:pPr>
        <w:tabs>
          <w:tab w:val="left" w:pos="6237"/>
        </w:tabs>
        <w:rPr>
          <w:szCs w:val="22"/>
        </w:rPr>
      </w:pPr>
      <w:r w:rsidRPr="00ED0A8E">
        <w:rPr>
          <w:szCs w:val="22"/>
        </w:rPr>
        <w:tab/>
        <w:t>podpredsedni</w:t>
      </w:r>
      <w:r>
        <w:rPr>
          <w:szCs w:val="22"/>
        </w:rPr>
        <w:t>ca</w:t>
      </w:r>
    </w:p>
    <w:p w:rsidR="00C540EF" w:rsidRDefault="00C540EF" w:rsidP="00B93F44">
      <w:pPr>
        <w:tabs>
          <w:tab w:val="left" w:pos="567"/>
          <w:tab w:val="left" w:pos="993"/>
        </w:tabs>
        <w:spacing w:line="240" w:lineRule="auto"/>
        <w:rPr>
          <w:rFonts w:cs="Arial"/>
          <w:bCs/>
          <w:szCs w:val="22"/>
          <w:lang w:eastAsia="sl-SI"/>
        </w:rPr>
      </w:pPr>
    </w:p>
    <w:sectPr w:rsidR="00C540EF"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D0795" w:rsidRDefault="007C78F0"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746F79">
      <w:rPr>
        <w:rStyle w:val="tevilkastrani"/>
        <w:noProof/>
        <w:szCs w:val="22"/>
      </w:rPr>
      <w:t>5</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574425B3"/>
    <w:multiLevelType w:val="hybridMultilevel"/>
    <w:tmpl w:val="8B244CC6"/>
    <w:lvl w:ilvl="0" w:tplc="EDEE8876">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689A3AC2"/>
    <w:multiLevelType w:val="hybridMultilevel"/>
    <w:tmpl w:val="A3429A8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B7C54"/>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46F79"/>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93F44"/>
    <w:rsid w:val="00BB2393"/>
    <w:rsid w:val="00BE54BF"/>
    <w:rsid w:val="00C05F5D"/>
    <w:rsid w:val="00C15BF9"/>
    <w:rsid w:val="00C25582"/>
    <w:rsid w:val="00C32AAF"/>
    <w:rsid w:val="00C34089"/>
    <w:rsid w:val="00C34621"/>
    <w:rsid w:val="00C510F9"/>
    <w:rsid w:val="00C540EF"/>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41A1D"/>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87488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D8DC5-75D6-4B37-8E71-1C77A7D16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63</TotalTime>
  <Pages>5</Pages>
  <Words>1478</Words>
  <Characters>9092</Characters>
  <Application>Microsoft Office Word</Application>
  <DocSecurity>0</DocSecurity>
  <Lines>75</Lines>
  <Paragraphs>21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2015-06-09T11:32:00Z</dcterms:created>
  <dcterms:modified xsi:type="dcterms:W3CDTF">2015-06-24T07:11:00Z</dcterms:modified>
</cp:coreProperties>
</file>