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6599" w:rsidRDefault="00626599" w:rsidP="00067BAC">
      <w:pPr>
        <w:tabs>
          <w:tab w:val="left" w:pos="567"/>
          <w:tab w:val="left" w:pos="993"/>
        </w:tabs>
        <w:spacing w:line="240" w:lineRule="auto"/>
        <w:jc w:val="center"/>
        <w:rPr>
          <w:rFonts w:cs="Arial"/>
          <w:b/>
          <w:spacing w:val="58"/>
          <w:szCs w:val="22"/>
        </w:rPr>
      </w:pPr>
    </w:p>
    <w:p w:rsidR="00067BAC" w:rsidRPr="00067BAC" w:rsidRDefault="00067BAC" w:rsidP="00067BAC">
      <w:pPr>
        <w:tabs>
          <w:tab w:val="left" w:pos="567"/>
          <w:tab w:val="left" w:pos="993"/>
        </w:tabs>
        <w:spacing w:line="240" w:lineRule="auto"/>
        <w:jc w:val="center"/>
        <w:rPr>
          <w:rFonts w:cs="Arial"/>
          <w:b/>
          <w:spacing w:val="58"/>
          <w:szCs w:val="22"/>
        </w:rPr>
      </w:pPr>
      <w:r w:rsidRPr="00067BAC">
        <w:rPr>
          <w:rFonts w:cs="Arial"/>
          <w:b/>
          <w:spacing w:val="58"/>
          <w:szCs w:val="22"/>
        </w:rPr>
        <w:t>ZAKON</w:t>
      </w:r>
    </w:p>
    <w:p w:rsidR="00067BAC" w:rsidRDefault="00067BAC" w:rsidP="00067BAC">
      <w:pPr>
        <w:tabs>
          <w:tab w:val="left" w:pos="567"/>
          <w:tab w:val="left" w:pos="993"/>
        </w:tabs>
        <w:spacing w:line="240" w:lineRule="auto"/>
        <w:jc w:val="center"/>
        <w:rPr>
          <w:rFonts w:cs="Arial"/>
          <w:b/>
          <w:szCs w:val="22"/>
        </w:rPr>
      </w:pPr>
    </w:p>
    <w:p w:rsidR="00067BAC" w:rsidRPr="00067BAC" w:rsidRDefault="00067BAC" w:rsidP="00067BAC">
      <w:pPr>
        <w:tabs>
          <w:tab w:val="left" w:pos="567"/>
          <w:tab w:val="left" w:pos="993"/>
        </w:tabs>
        <w:spacing w:line="240" w:lineRule="auto"/>
        <w:jc w:val="center"/>
        <w:rPr>
          <w:rFonts w:cs="Arial"/>
          <w:b/>
          <w:szCs w:val="22"/>
        </w:rPr>
      </w:pPr>
      <w:r w:rsidRPr="00067BAC">
        <w:rPr>
          <w:rFonts w:cs="Arial"/>
          <w:b/>
          <w:szCs w:val="22"/>
        </w:rPr>
        <w:t>O SPREMEMBAH IN DOPOLNITVAH ZAKONA O IZVRŠEVANJU PRORAČUNOV REPUBLIKE SLOVENIJE ZA LETI 2014 IN 2015 (ZIPRS1415-D)</w:t>
      </w:r>
    </w:p>
    <w:p w:rsidR="00067BAC" w:rsidRDefault="00067BAC" w:rsidP="00067BAC">
      <w:pPr>
        <w:tabs>
          <w:tab w:val="left" w:pos="567"/>
          <w:tab w:val="left" w:pos="993"/>
        </w:tabs>
        <w:spacing w:line="240" w:lineRule="auto"/>
        <w:rPr>
          <w:rFonts w:cs="Arial"/>
          <w:szCs w:val="22"/>
        </w:rPr>
      </w:pPr>
    </w:p>
    <w:p w:rsidR="00626599" w:rsidRPr="00067BAC" w:rsidRDefault="00626599"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jc w:val="center"/>
        <w:rPr>
          <w:rFonts w:cs="Arial"/>
          <w:szCs w:val="22"/>
        </w:rPr>
      </w:pPr>
      <w:r w:rsidRPr="00067BAC">
        <w:rPr>
          <w:rFonts w:cs="Arial"/>
          <w:szCs w:val="22"/>
        </w:rPr>
        <w:t>1. člen</w:t>
      </w: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rPr>
          <w:rFonts w:cs="Arial"/>
          <w:szCs w:val="22"/>
        </w:rPr>
      </w:pPr>
      <w:r>
        <w:rPr>
          <w:rFonts w:cs="Arial"/>
          <w:szCs w:val="22"/>
        </w:rPr>
        <w:tab/>
      </w:r>
      <w:r>
        <w:rPr>
          <w:rFonts w:cs="Arial"/>
          <w:szCs w:val="22"/>
        </w:rPr>
        <w:tab/>
      </w:r>
      <w:r w:rsidRPr="00067BAC">
        <w:rPr>
          <w:rFonts w:cs="Arial"/>
          <w:szCs w:val="22"/>
        </w:rPr>
        <w:t xml:space="preserve">V Zakonu o izvrševanju proračunov Republike Slovenije za leti 2014 in 2015 (Uradni list RS, št. 101/13, 9/14 </w:t>
      </w:r>
      <w:r>
        <w:rPr>
          <w:rFonts w:cs="Arial"/>
          <w:szCs w:val="22"/>
        </w:rPr>
        <w:t>–</w:t>
      </w:r>
      <w:r w:rsidRPr="00067BAC">
        <w:rPr>
          <w:rFonts w:cs="Arial"/>
          <w:szCs w:val="22"/>
        </w:rPr>
        <w:t xml:space="preserve"> ZRTVS-1A, 25/14 </w:t>
      </w:r>
      <w:r>
        <w:rPr>
          <w:rFonts w:cs="Arial"/>
          <w:szCs w:val="22"/>
        </w:rPr>
        <w:t>–</w:t>
      </w:r>
      <w:r w:rsidRPr="00067BAC">
        <w:rPr>
          <w:rFonts w:cs="Arial"/>
          <w:szCs w:val="22"/>
        </w:rPr>
        <w:t xml:space="preserve"> ZSDH-1, 38/14, 84/14, 95/14 </w:t>
      </w:r>
      <w:r>
        <w:rPr>
          <w:rFonts w:cs="Arial"/>
          <w:szCs w:val="22"/>
        </w:rPr>
        <w:t>–</w:t>
      </w:r>
      <w:r w:rsidRPr="00067BAC">
        <w:rPr>
          <w:rFonts w:cs="Arial"/>
          <w:szCs w:val="22"/>
        </w:rPr>
        <w:t xml:space="preserve"> ZUJF-C in 95/14) se v prvem odstavku 12. člena črtata 1. in 2. točka. Dosedanje 3., 4., 5., 6. in 7. točka postanejo 1., 2., 3., 4. in 5. točka.</w:t>
      </w: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rPr>
          <w:rFonts w:cs="Arial"/>
          <w:szCs w:val="22"/>
        </w:rPr>
      </w:pPr>
      <w:r>
        <w:rPr>
          <w:rFonts w:cs="Arial"/>
          <w:szCs w:val="22"/>
        </w:rPr>
        <w:tab/>
      </w:r>
      <w:r>
        <w:rPr>
          <w:rFonts w:cs="Arial"/>
          <w:szCs w:val="22"/>
        </w:rPr>
        <w:tab/>
      </w:r>
      <w:r w:rsidRPr="00067BAC">
        <w:rPr>
          <w:rFonts w:cs="Arial"/>
          <w:szCs w:val="22"/>
        </w:rPr>
        <w:t>V drugem odstavku se v 2. točki besedilo »iz 1., 2., 3. ali 4. točke« nadomesti z besedilom »iz 1. ali 2. točke</w:t>
      </w:r>
      <w:r w:rsidR="00083995">
        <w:rPr>
          <w:rFonts w:cs="Arial"/>
          <w:szCs w:val="22"/>
        </w:rPr>
        <w:t>«</w:t>
      </w:r>
      <w:r w:rsidRPr="00067BAC">
        <w:rPr>
          <w:rFonts w:cs="Arial"/>
          <w:szCs w:val="22"/>
        </w:rPr>
        <w:t>.</w:t>
      </w: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rPr>
          <w:rFonts w:cs="Arial"/>
          <w:szCs w:val="22"/>
        </w:rPr>
      </w:pPr>
      <w:r>
        <w:rPr>
          <w:rFonts w:cs="Arial"/>
          <w:szCs w:val="22"/>
        </w:rPr>
        <w:tab/>
      </w:r>
      <w:r>
        <w:rPr>
          <w:rFonts w:cs="Arial"/>
          <w:szCs w:val="22"/>
        </w:rPr>
        <w:tab/>
      </w:r>
      <w:r w:rsidRPr="00067BAC">
        <w:rPr>
          <w:rFonts w:cs="Arial"/>
          <w:szCs w:val="22"/>
        </w:rPr>
        <w:t xml:space="preserve">V četrtem odstavku se število »4« nadomesti s številom »2«. </w:t>
      </w: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jc w:val="center"/>
        <w:rPr>
          <w:rFonts w:cs="Arial"/>
          <w:szCs w:val="22"/>
        </w:rPr>
      </w:pPr>
      <w:r w:rsidRPr="00067BAC">
        <w:rPr>
          <w:rFonts w:cs="Arial"/>
          <w:szCs w:val="22"/>
        </w:rPr>
        <w:t>2. člen</w:t>
      </w: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rPr>
          <w:rFonts w:cs="Arial"/>
          <w:szCs w:val="22"/>
        </w:rPr>
      </w:pPr>
      <w:r>
        <w:rPr>
          <w:rFonts w:cs="Arial"/>
          <w:szCs w:val="22"/>
        </w:rPr>
        <w:tab/>
      </w:r>
      <w:r>
        <w:rPr>
          <w:rFonts w:cs="Arial"/>
          <w:szCs w:val="22"/>
        </w:rPr>
        <w:tab/>
      </w:r>
      <w:r w:rsidRPr="00067BAC">
        <w:rPr>
          <w:rFonts w:cs="Arial"/>
          <w:szCs w:val="22"/>
        </w:rPr>
        <w:t>Za tretjim odstavkom 20. člena se doda nov četrti odstavek, ki se glasi:</w:t>
      </w:r>
    </w:p>
    <w:p w:rsidR="00067BAC" w:rsidRPr="00067BAC" w:rsidRDefault="00067BAC" w:rsidP="00067BAC">
      <w:pPr>
        <w:tabs>
          <w:tab w:val="left" w:pos="567"/>
          <w:tab w:val="left" w:pos="993"/>
        </w:tabs>
        <w:spacing w:line="240" w:lineRule="auto"/>
        <w:rPr>
          <w:rFonts w:cs="Arial"/>
          <w:szCs w:val="22"/>
        </w:rPr>
      </w:pPr>
      <w:r>
        <w:rPr>
          <w:rFonts w:cs="Arial"/>
          <w:szCs w:val="22"/>
        </w:rPr>
        <w:tab/>
      </w:r>
      <w:r>
        <w:rPr>
          <w:rFonts w:cs="Arial"/>
          <w:szCs w:val="22"/>
        </w:rPr>
        <w:tab/>
      </w:r>
      <w:r w:rsidRPr="00067BAC">
        <w:rPr>
          <w:rFonts w:cs="Arial"/>
          <w:szCs w:val="22"/>
        </w:rPr>
        <w:t>»(4) Ne glede na prvi odstavek tega člena v letu 2015 o prerazporeditvah med postavkami slovenske udeležbe in med postavkami namenskih sredstev EU na področju kohezijske politike za obdobje 2014–2020 odloča organ upravljanja brez omejitev.«.</w:t>
      </w: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jc w:val="center"/>
        <w:rPr>
          <w:rFonts w:cs="Arial"/>
          <w:szCs w:val="22"/>
        </w:rPr>
      </w:pPr>
      <w:r w:rsidRPr="00067BAC">
        <w:rPr>
          <w:rFonts w:cs="Arial"/>
          <w:szCs w:val="22"/>
        </w:rPr>
        <w:t>3. člen</w:t>
      </w: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rPr>
          <w:rFonts w:cs="Arial"/>
          <w:szCs w:val="22"/>
        </w:rPr>
      </w:pPr>
      <w:r>
        <w:rPr>
          <w:rFonts w:cs="Arial"/>
          <w:szCs w:val="22"/>
        </w:rPr>
        <w:tab/>
      </w:r>
      <w:r>
        <w:rPr>
          <w:rFonts w:cs="Arial"/>
          <w:szCs w:val="22"/>
        </w:rPr>
        <w:tab/>
      </w:r>
      <w:r w:rsidRPr="00067BAC">
        <w:rPr>
          <w:rFonts w:cs="Arial"/>
          <w:szCs w:val="22"/>
        </w:rPr>
        <w:t>Na koncu tretjega odstavka 24. člena se doda besedilo, ki se glasi:</w:t>
      </w:r>
      <w:r>
        <w:rPr>
          <w:rFonts w:cs="Arial"/>
          <w:szCs w:val="22"/>
        </w:rPr>
        <w:t xml:space="preserve"> </w:t>
      </w:r>
      <w:r w:rsidRPr="00067BAC">
        <w:rPr>
          <w:rFonts w:cs="Arial"/>
          <w:szCs w:val="22"/>
        </w:rPr>
        <w:t>»Neposredni uporabnik v breme proračunov prihodnjih let ne sme prevzemati obveznosti brez odložnega pogoja, s katerim se izvajanje pogodbenih obveznosti odloži, dokler za ta namen nima zagotovljenih pravic porabe v posebnem delu proračuna.«.</w:t>
      </w:r>
    </w:p>
    <w:p w:rsidR="00067BAC" w:rsidRPr="00067BAC" w:rsidRDefault="00067BAC" w:rsidP="00067BAC">
      <w:pPr>
        <w:tabs>
          <w:tab w:val="left" w:pos="567"/>
          <w:tab w:val="left" w:pos="993"/>
        </w:tabs>
        <w:spacing w:line="240" w:lineRule="auto"/>
        <w:rPr>
          <w:rFonts w:cs="Arial"/>
          <w:szCs w:val="22"/>
        </w:rPr>
      </w:pPr>
    </w:p>
    <w:p w:rsid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jc w:val="center"/>
        <w:rPr>
          <w:rFonts w:cs="Arial"/>
          <w:szCs w:val="22"/>
        </w:rPr>
      </w:pPr>
      <w:r w:rsidRPr="00067BAC">
        <w:rPr>
          <w:rFonts w:cs="Arial"/>
          <w:szCs w:val="22"/>
        </w:rPr>
        <w:t>4. člen</w:t>
      </w: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rPr>
          <w:rFonts w:cs="Arial"/>
          <w:szCs w:val="22"/>
        </w:rPr>
      </w:pPr>
      <w:r>
        <w:rPr>
          <w:rFonts w:cs="Arial"/>
          <w:szCs w:val="22"/>
        </w:rPr>
        <w:tab/>
      </w:r>
      <w:r>
        <w:rPr>
          <w:rFonts w:cs="Arial"/>
          <w:szCs w:val="22"/>
        </w:rPr>
        <w:tab/>
      </w:r>
      <w:r w:rsidRPr="00067BAC">
        <w:rPr>
          <w:rFonts w:cs="Arial"/>
          <w:szCs w:val="22"/>
        </w:rPr>
        <w:t>Trinajsti odstavek 25. člena se spremeni tako, da se glasi:</w:t>
      </w:r>
    </w:p>
    <w:p w:rsidR="00067BAC" w:rsidRPr="00067BAC" w:rsidRDefault="00067BAC" w:rsidP="00067BAC">
      <w:pPr>
        <w:tabs>
          <w:tab w:val="left" w:pos="567"/>
          <w:tab w:val="left" w:pos="993"/>
        </w:tabs>
        <w:spacing w:line="240" w:lineRule="auto"/>
        <w:rPr>
          <w:rFonts w:cs="Arial"/>
          <w:szCs w:val="22"/>
        </w:rPr>
      </w:pPr>
      <w:r>
        <w:rPr>
          <w:rFonts w:cs="Arial"/>
          <w:szCs w:val="22"/>
        </w:rPr>
        <w:tab/>
      </w:r>
      <w:r>
        <w:rPr>
          <w:rFonts w:cs="Arial"/>
          <w:szCs w:val="22"/>
        </w:rPr>
        <w:tab/>
      </w:r>
      <w:r w:rsidRPr="00067BAC">
        <w:rPr>
          <w:rFonts w:cs="Arial"/>
          <w:szCs w:val="22"/>
        </w:rPr>
        <w:t>»(13) Spremembe proračunskih virov v veljavnem NRP za prihodnja leta se lahko usklajujejo znotraj politike sprejetega NRP posameznega predlagatelja finančnega načrta za posamezno leto, pri čemer povečanje ali zmanjšanje posameznega glavnega programa ne sme presegati 10 % tega glavnega programa pri posameznem predlagatelju finančnega načrta za posamezno leto.«.</w:t>
      </w: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rPr>
          <w:rFonts w:cs="Arial"/>
          <w:szCs w:val="22"/>
        </w:rPr>
      </w:pPr>
      <w:r>
        <w:rPr>
          <w:rFonts w:cs="Arial"/>
          <w:szCs w:val="22"/>
        </w:rPr>
        <w:tab/>
      </w:r>
      <w:r>
        <w:rPr>
          <w:rFonts w:cs="Arial"/>
          <w:szCs w:val="22"/>
        </w:rPr>
        <w:tab/>
      </w:r>
      <w:r w:rsidRPr="00067BAC">
        <w:rPr>
          <w:rFonts w:cs="Arial"/>
          <w:szCs w:val="22"/>
        </w:rPr>
        <w:t>Za trinajstim odstavkom se doda nov štirinajsti odstavek, ki se glasi:</w:t>
      </w:r>
    </w:p>
    <w:p w:rsidR="00067BAC" w:rsidRPr="00067BAC" w:rsidRDefault="00067BAC" w:rsidP="00067BAC">
      <w:pPr>
        <w:tabs>
          <w:tab w:val="left" w:pos="567"/>
          <w:tab w:val="left" w:pos="993"/>
        </w:tabs>
        <w:spacing w:line="240" w:lineRule="auto"/>
        <w:rPr>
          <w:rFonts w:cs="Arial"/>
          <w:szCs w:val="22"/>
        </w:rPr>
      </w:pPr>
      <w:r>
        <w:rPr>
          <w:rFonts w:cs="Arial"/>
          <w:szCs w:val="22"/>
        </w:rPr>
        <w:tab/>
      </w:r>
      <w:r>
        <w:rPr>
          <w:rFonts w:cs="Arial"/>
          <w:szCs w:val="22"/>
        </w:rPr>
        <w:tab/>
      </w:r>
      <w:r w:rsidRPr="00067BAC">
        <w:rPr>
          <w:rFonts w:cs="Arial"/>
          <w:szCs w:val="22"/>
        </w:rPr>
        <w:t>»(14) Ne glede na prejšnji odstavek se lahko spremembe proračunskih virov na proračunskih postavkah s področja evropske kohezijske politike za finančno perspektivo 2014</w:t>
      </w:r>
      <w:r>
        <w:rPr>
          <w:rFonts w:cs="Arial"/>
          <w:szCs w:val="22"/>
        </w:rPr>
        <w:t>–</w:t>
      </w:r>
      <w:r w:rsidRPr="00067BAC">
        <w:rPr>
          <w:rFonts w:cs="Arial"/>
          <w:szCs w:val="22"/>
        </w:rPr>
        <w:t xml:space="preserve">2020 v veljavnem NRP za prihodnja leta usklajujejo brez omejitev znotraj skupne višine sprejetega NRP na teh proračunskih postavkah za posamezno leto.«. </w:t>
      </w: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jc w:val="center"/>
        <w:rPr>
          <w:rFonts w:cs="Arial"/>
          <w:szCs w:val="22"/>
        </w:rPr>
      </w:pPr>
      <w:r w:rsidRPr="00067BAC">
        <w:rPr>
          <w:rFonts w:cs="Arial"/>
          <w:szCs w:val="22"/>
        </w:rPr>
        <w:lastRenderedPageBreak/>
        <w:t>5. člen</w:t>
      </w: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rPr>
          <w:rFonts w:cs="Arial"/>
          <w:szCs w:val="22"/>
        </w:rPr>
      </w:pPr>
      <w:r>
        <w:rPr>
          <w:rFonts w:cs="Arial"/>
          <w:szCs w:val="22"/>
        </w:rPr>
        <w:tab/>
      </w:r>
      <w:r>
        <w:rPr>
          <w:rFonts w:cs="Arial"/>
          <w:szCs w:val="22"/>
        </w:rPr>
        <w:tab/>
      </w:r>
      <w:r w:rsidRPr="00067BAC">
        <w:rPr>
          <w:rFonts w:cs="Arial"/>
          <w:szCs w:val="22"/>
        </w:rPr>
        <w:t>Na koncu prvega odstavka 34. člena se doda besedilo, ki se glasi:</w:t>
      </w:r>
      <w:r w:rsidR="00626599">
        <w:rPr>
          <w:rFonts w:cs="Arial"/>
          <w:szCs w:val="22"/>
        </w:rPr>
        <w:t xml:space="preserve"> </w:t>
      </w:r>
      <w:r w:rsidRPr="00067BAC">
        <w:rPr>
          <w:rFonts w:cs="Arial"/>
          <w:szCs w:val="22"/>
        </w:rPr>
        <w:t>»Če za plačilo teh obveznosti neposredni uporabnik nima načrtovanih pravic porabe, lahko za ta namen tudi med letom odpre novo proračunsko vrstico, na katero v okviru svojega finančnega načrta in v skladu s predpisanimi postopki prerazporedi pravice porabe.«.</w:t>
      </w: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jc w:val="center"/>
        <w:rPr>
          <w:rFonts w:cs="Arial"/>
          <w:szCs w:val="22"/>
        </w:rPr>
      </w:pPr>
      <w:r w:rsidRPr="00067BAC">
        <w:rPr>
          <w:rFonts w:cs="Arial"/>
          <w:szCs w:val="22"/>
        </w:rPr>
        <w:t>6. člen</w:t>
      </w: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rPr>
          <w:rFonts w:cs="Arial"/>
          <w:szCs w:val="22"/>
        </w:rPr>
      </w:pPr>
      <w:r>
        <w:rPr>
          <w:rFonts w:cs="Arial"/>
          <w:szCs w:val="22"/>
        </w:rPr>
        <w:tab/>
      </w:r>
      <w:r>
        <w:rPr>
          <w:rFonts w:cs="Arial"/>
          <w:szCs w:val="22"/>
        </w:rPr>
        <w:tab/>
      </w:r>
      <w:r w:rsidRPr="00067BAC">
        <w:rPr>
          <w:rFonts w:cs="Arial"/>
          <w:szCs w:val="22"/>
        </w:rPr>
        <w:t>V 38. členu se naslov spremeni tako, da se glasi:</w:t>
      </w:r>
      <w:r>
        <w:rPr>
          <w:rFonts w:cs="Arial"/>
          <w:szCs w:val="22"/>
        </w:rPr>
        <w:t xml:space="preserve"> </w:t>
      </w:r>
      <w:r w:rsidRPr="00067BAC">
        <w:rPr>
          <w:rFonts w:cs="Arial"/>
          <w:szCs w:val="22"/>
        </w:rPr>
        <w:t>»(Upravljanje denarnih sredstev sistema enotnega zakladniškega računa in upravljanje s prostimi denarnimi sredstvi na računih pravnih oseb, določenih v 61. členu ZJF, vključenih v sistem enotnega zakladniškega računa)«.</w:t>
      </w: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rPr>
          <w:rFonts w:cs="Arial"/>
          <w:szCs w:val="22"/>
        </w:rPr>
      </w:pPr>
      <w:r>
        <w:rPr>
          <w:rFonts w:cs="Arial"/>
          <w:szCs w:val="22"/>
        </w:rPr>
        <w:tab/>
      </w:r>
      <w:r>
        <w:rPr>
          <w:rFonts w:cs="Arial"/>
          <w:szCs w:val="22"/>
        </w:rPr>
        <w:tab/>
      </w:r>
      <w:r w:rsidRPr="00067BAC">
        <w:rPr>
          <w:rFonts w:cs="Arial"/>
          <w:szCs w:val="22"/>
        </w:rPr>
        <w:t>Pred dosedanjim besedilom 38. člena se dodajo novi prvi, drugi in tretji odstavek, ki se glasijo:</w:t>
      </w:r>
    </w:p>
    <w:p w:rsidR="00067BAC" w:rsidRPr="00067BAC" w:rsidRDefault="00067BAC" w:rsidP="00067BAC">
      <w:pPr>
        <w:tabs>
          <w:tab w:val="left" w:pos="567"/>
          <w:tab w:val="left" w:pos="993"/>
        </w:tabs>
        <w:spacing w:line="240" w:lineRule="auto"/>
        <w:rPr>
          <w:rFonts w:cs="Arial"/>
          <w:szCs w:val="22"/>
        </w:rPr>
      </w:pPr>
      <w:r>
        <w:rPr>
          <w:rFonts w:cs="Arial"/>
          <w:szCs w:val="22"/>
        </w:rPr>
        <w:tab/>
      </w:r>
      <w:r>
        <w:rPr>
          <w:rFonts w:cs="Arial"/>
          <w:szCs w:val="22"/>
        </w:rPr>
        <w:tab/>
      </w:r>
      <w:r w:rsidRPr="00067BAC">
        <w:rPr>
          <w:rFonts w:cs="Arial"/>
          <w:szCs w:val="22"/>
        </w:rPr>
        <w:t xml:space="preserve">»(1) Ne glede na drugi odstavek 68. člena ZJF lahko upravljavec sredstev sistema </w:t>
      </w:r>
      <w:r w:rsidR="00083995" w:rsidRPr="00067BAC">
        <w:rPr>
          <w:rFonts w:cs="Arial"/>
          <w:szCs w:val="22"/>
        </w:rPr>
        <w:t xml:space="preserve">enotnega zakladniškega računa </w:t>
      </w:r>
      <w:r w:rsidR="00083995">
        <w:rPr>
          <w:rFonts w:cs="Arial"/>
          <w:szCs w:val="22"/>
        </w:rPr>
        <w:t xml:space="preserve">(v nadaljnjem besedilu: </w:t>
      </w:r>
      <w:r w:rsidRPr="00067BAC">
        <w:rPr>
          <w:rFonts w:cs="Arial"/>
          <w:szCs w:val="22"/>
        </w:rPr>
        <w:t>EZR</w:t>
      </w:r>
      <w:r w:rsidR="00083995">
        <w:rPr>
          <w:rFonts w:cs="Arial"/>
          <w:szCs w:val="22"/>
        </w:rPr>
        <w:t>)</w:t>
      </w:r>
      <w:r w:rsidRPr="00067BAC">
        <w:rPr>
          <w:rFonts w:cs="Arial"/>
          <w:szCs w:val="22"/>
        </w:rPr>
        <w:t xml:space="preserve"> države oziroma občine nalaga denarna sredstva sistema </w:t>
      </w:r>
      <w:r w:rsidR="00083995">
        <w:rPr>
          <w:rFonts w:cs="Arial"/>
          <w:szCs w:val="22"/>
        </w:rPr>
        <w:t>EZR</w:t>
      </w:r>
      <w:r w:rsidRPr="00067BAC">
        <w:rPr>
          <w:rFonts w:cs="Arial"/>
          <w:szCs w:val="22"/>
        </w:rPr>
        <w:t xml:space="preserve"> države oziroma občine za obdobje, ki ni daljše od 12 mesecev, tudi v hranilnice, ki imajo dovoljenje Banke Slovenije za opravljanje bančnih storitev v skladu z zakonom, ki ureja bančništvo. </w:t>
      </w: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rPr>
          <w:rFonts w:cs="Arial"/>
          <w:szCs w:val="22"/>
        </w:rPr>
      </w:pPr>
      <w:r>
        <w:rPr>
          <w:rFonts w:cs="Arial"/>
          <w:szCs w:val="22"/>
        </w:rPr>
        <w:tab/>
      </w:r>
      <w:r>
        <w:rPr>
          <w:rFonts w:cs="Arial"/>
          <w:szCs w:val="22"/>
        </w:rPr>
        <w:tab/>
      </w:r>
      <w:r w:rsidRPr="00067BAC">
        <w:rPr>
          <w:rFonts w:cs="Arial"/>
          <w:szCs w:val="22"/>
        </w:rPr>
        <w:t xml:space="preserve">(2) Ne glede na prejšnji odstavek upravljavec sredstev sistema EZR države nalaga denarna sredstva sistema </w:t>
      </w:r>
      <w:r w:rsidR="003C5478">
        <w:rPr>
          <w:rFonts w:cs="Arial"/>
          <w:szCs w:val="22"/>
        </w:rPr>
        <w:t>EZR</w:t>
      </w:r>
      <w:r w:rsidRPr="00067BAC">
        <w:rPr>
          <w:rFonts w:cs="Arial"/>
          <w:szCs w:val="22"/>
        </w:rPr>
        <w:t xml:space="preserve"> države za obdobje, ki ni daljše od treh let.</w:t>
      </w: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rPr>
          <w:rFonts w:cs="Arial"/>
          <w:szCs w:val="22"/>
        </w:rPr>
      </w:pPr>
      <w:r>
        <w:rPr>
          <w:rFonts w:cs="Arial"/>
          <w:szCs w:val="22"/>
        </w:rPr>
        <w:tab/>
      </w:r>
      <w:r>
        <w:rPr>
          <w:rFonts w:cs="Arial"/>
          <w:szCs w:val="22"/>
        </w:rPr>
        <w:tab/>
      </w:r>
      <w:r w:rsidRPr="00067BAC">
        <w:rPr>
          <w:rFonts w:cs="Arial"/>
          <w:szCs w:val="22"/>
        </w:rPr>
        <w:t xml:space="preserve">(3) Ne glede na drugi odstavek 68. člena ZJF lahko upravljavec sredstev sistema EZR države </w:t>
      </w:r>
      <w:r w:rsidR="00793DF1" w:rsidRPr="00067BAC">
        <w:rPr>
          <w:rFonts w:cs="Arial"/>
          <w:szCs w:val="22"/>
        </w:rPr>
        <w:t>nalaga</w:t>
      </w:r>
      <w:r w:rsidR="00793DF1" w:rsidRPr="00067BAC">
        <w:rPr>
          <w:rFonts w:cs="Arial"/>
          <w:szCs w:val="22"/>
        </w:rPr>
        <w:t xml:space="preserve"> </w:t>
      </w:r>
      <w:r w:rsidRPr="00067BAC">
        <w:rPr>
          <w:rFonts w:cs="Arial"/>
          <w:szCs w:val="22"/>
        </w:rPr>
        <w:t xml:space="preserve">denarna sredstva sistema </w:t>
      </w:r>
      <w:r w:rsidR="00083995">
        <w:rPr>
          <w:rFonts w:cs="Arial"/>
          <w:szCs w:val="22"/>
        </w:rPr>
        <w:t>EZR</w:t>
      </w:r>
      <w:r w:rsidRPr="00067BAC">
        <w:rPr>
          <w:rFonts w:cs="Arial"/>
          <w:szCs w:val="22"/>
        </w:rPr>
        <w:t xml:space="preserve"> države tudi v državne zakladnice držav evropske monetarne unije in v nakupe zakladnih menic teh držav pod pogojem, da Republika Slovenija ni njena upnica po zakonu, ki opredeljuje dodelitev posojila državi evropske monetarne unije.«. </w:t>
      </w: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rPr>
          <w:rFonts w:cs="Arial"/>
          <w:szCs w:val="22"/>
        </w:rPr>
      </w:pPr>
      <w:r>
        <w:rPr>
          <w:rFonts w:cs="Arial"/>
          <w:szCs w:val="22"/>
        </w:rPr>
        <w:tab/>
      </w:r>
      <w:r>
        <w:rPr>
          <w:rFonts w:cs="Arial"/>
          <w:szCs w:val="22"/>
        </w:rPr>
        <w:tab/>
      </w:r>
      <w:r w:rsidRPr="00067BAC">
        <w:rPr>
          <w:rFonts w:cs="Arial"/>
          <w:szCs w:val="22"/>
        </w:rPr>
        <w:t>Dosedanje besedilo 38. člena postane nov četrti odstavek.</w:t>
      </w: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jc w:val="center"/>
        <w:rPr>
          <w:rFonts w:cs="Arial"/>
          <w:szCs w:val="22"/>
        </w:rPr>
      </w:pPr>
      <w:r w:rsidRPr="00067BAC">
        <w:rPr>
          <w:rFonts w:cs="Arial"/>
          <w:szCs w:val="22"/>
        </w:rPr>
        <w:t>7. člen</w:t>
      </w: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rPr>
          <w:rFonts w:cs="Arial"/>
          <w:szCs w:val="22"/>
        </w:rPr>
      </w:pPr>
      <w:r>
        <w:rPr>
          <w:rFonts w:cs="Arial"/>
          <w:szCs w:val="22"/>
        </w:rPr>
        <w:tab/>
      </w:r>
      <w:r>
        <w:rPr>
          <w:rFonts w:cs="Arial"/>
          <w:szCs w:val="22"/>
        </w:rPr>
        <w:tab/>
      </w:r>
      <w:r w:rsidRPr="00067BAC">
        <w:rPr>
          <w:rFonts w:cs="Arial"/>
          <w:szCs w:val="22"/>
        </w:rPr>
        <w:t xml:space="preserve">V drugem odstavku 40. člena se </w:t>
      </w:r>
      <w:r w:rsidR="00083995">
        <w:rPr>
          <w:rFonts w:cs="Arial"/>
          <w:szCs w:val="22"/>
        </w:rPr>
        <w:t>število</w:t>
      </w:r>
      <w:r w:rsidRPr="00067BAC">
        <w:rPr>
          <w:rFonts w:cs="Arial"/>
          <w:szCs w:val="22"/>
        </w:rPr>
        <w:t xml:space="preserve"> »2.696.340.103« nadomesti </w:t>
      </w:r>
      <w:r w:rsidR="00083995">
        <w:rPr>
          <w:rFonts w:cs="Arial"/>
          <w:szCs w:val="22"/>
        </w:rPr>
        <w:t>s številom</w:t>
      </w:r>
      <w:r w:rsidRPr="00067BAC">
        <w:rPr>
          <w:rFonts w:cs="Arial"/>
          <w:szCs w:val="22"/>
        </w:rPr>
        <w:t xml:space="preserve"> »3.974.706.989«.</w:t>
      </w: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jc w:val="center"/>
        <w:rPr>
          <w:rFonts w:cs="Arial"/>
          <w:szCs w:val="22"/>
        </w:rPr>
      </w:pPr>
      <w:r w:rsidRPr="00067BAC">
        <w:rPr>
          <w:rFonts w:cs="Arial"/>
          <w:szCs w:val="22"/>
        </w:rPr>
        <w:t>8. člen</w:t>
      </w: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rPr>
          <w:rFonts w:cs="Arial"/>
          <w:szCs w:val="22"/>
        </w:rPr>
      </w:pPr>
      <w:r>
        <w:rPr>
          <w:rFonts w:cs="Arial"/>
          <w:szCs w:val="22"/>
        </w:rPr>
        <w:tab/>
      </w:r>
      <w:r>
        <w:rPr>
          <w:rFonts w:cs="Arial"/>
          <w:szCs w:val="22"/>
        </w:rPr>
        <w:tab/>
      </w:r>
      <w:r w:rsidRPr="00067BAC">
        <w:rPr>
          <w:rFonts w:cs="Arial"/>
          <w:szCs w:val="22"/>
        </w:rPr>
        <w:t>V 46. členu se druga alineja črta.</w:t>
      </w: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rPr>
          <w:rFonts w:cs="Arial"/>
          <w:szCs w:val="22"/>
        </w:rPr>
      </w:pPr>
      <w:r>
        <w:rPr>
          <w:rFonts w:cs="Arial"/>
          <w:szCs w:val="22"/>
        </w:rPr>
        <w:tab/>
      </w:r>
      <w:r>
        <w:rPr>
          <w:rFonts w:cs="Arial"/>
          <w:szCs w:val="22"/>
        </w:rPr>
        <w:tab/>
      </w:r>
      <w:r w:rsidRPr="00067BAC">
        <w:rPr>
          <w:rFonts w:cs="Arial"/>
          <w:szCs w:val="22"/>
        </w:rPr>
        <w:t>Za prvim odstavkom se doda nov drugi odstavek, ki se glasi:</w:t>
      </w:r>
    </w:p>
    <w:p w:rsidR="00067BAC" w:rsidRPr="00067BAC" w:rsidRDefault="00067BAC" w:rsidP="00067BAC">
      <w:pPr>
        <w:tabs>
          <w:tab w:val="left" w:pos="567"/>
          <w:tab w:val="left" w:pos="993"/>
        </w:tabs>
        <w:spacing w:line="240" w:lineRule="auto"/>
        <w:rPr>
          <w:rFonts w:cs="Arial"/>
          <w:szCs w:val="22"/>
        </w:rPr>
      </w:pPr>
      <w:r>
        <w:rPr>
          <w:rFonts w:cs="Arial"/>
          <w:szCs w:val="22"/>
        </w:rPr>
        <w:tab/>
      </w:r>
      <w:r>
        <w:rPr>
          <w:rFonts w:cs="Arial"/>
          <w:szCs w:val="22"/>
        </w:rPr>
        <w:tab/>
      </w:r>
      <w:r w:rsidRPr="00067BAC">
        <w:rPr>
          <w:rFonts w:cs="Arial"/>
          <w:szCs w:val="22"/>
        </w:rPr>
        <w:t>»(2) Za proračunsko leto 2015 znaša povprečnina za obdobje od 1. januarja 2015 do 30. junija 2015 525,00 eurov, za obdobje od 1. julija 2015 do 31. decembra 2015 pa 500,83 eura.«.</w:t>
      </w: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jc w:val="center"/>
        <w:rPr>
          <w:rFonts w:cs="Arial"/>
          <w:szCs w:val="22"/>
        </w:rPr>
      </w:pPr>
      <w:r w:rsidRPr="00067BAC">
        <w:rPr>
          <w:rFonts w:cs="Arial"/>
          <w:szCs w:val="22"/>
        </w:rPr>
        <w:t>9. člen</w:t>
      </w: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rPr>
          <w:rFonts w:cs="Arial"/>
          <w:szCs w:val="22"/>
        </w:rPr>
      </w:pPr>
      <w:r>
        <w:rPr>
          <w:rFonts w:cs="Arial"/>
          <w:szCs w:val="22"/>
        </w:rPr>
        <w:tab/>
      </w:r>
      <w:r>
        <w:rPr>
          <w:rFonts w:cs="Arial"/>
          <w:szCs w:val="22"/>
        </w:rPr>
        <w:tab/>
      </w:r>
      <w:r w:rsidRPr="00067BAC">
        <w:rPr>
          <w:rFonts w:cs="Arial"/>
          <w:szCs w:val="22"/>
        </w:rPr>
        <w:t>Za 46. členom se dodata nova 46.a in 46.b člen, ki se glasita:</w:t>
      </w:r>
    </w:p>
    <w:p w:rsidR="00067BAC" w:rsidRPr="00067BAC" w:rsidRDefault="00067BAC" w:rsidP="00067BAC">
      <w:pPr>
        <w:tabs>
          <w:tab w:val="left" w:pos="567"/>
          <w:tab w:val="left" w:pos="993"/>
        </w:tabs>
        <w:spacing w:line="240" w:lineRule="auto"/>
        <w:rPr>
          <w:rFonts w:cs="Arial"/>
          <w:szCs w:val="22"/>
        </w:rPr>
      </w:pPr>
    </w:p>
    <w:p w:rsidR="00626599" w:rsidRDefault="00626599" w:rsidP="00067BAC">
      <w:pPr>
        <w:tabs>
          <w:tab w:val="left" w:pos="567"/>
          <w:tab w:val="left" w:pos="993"/>
        </w:tabs>
        <w:spacing w:line="240" w:lineRule="auto"/>
        <w:jc w:val="center"/>
        <w:rPr>
          <w:rFonts w:cs="Arial"/>
          <w:szCs w:val="22"/>
        </w:rPr>
      </w:pPr>
    </w:p>
    <w:p w:rsidR="00067BAC" w:rsidRPr="00067BAC" w:rsidRDefault="00067BAC" w:rsidP="00067BAC">
      <w:pPr>
        <w:tabs>
          <w:tab w:val="left" w:pos="567"/>
          <w:tab w:val="left" w:pos="993"/>
        </w:tabs>
        <w:spacing w:line="240" w:lineRule="auto"/>
        <w:jc w:val="center"/>
        <w:rPr>
          <w:rFonts w:cs="Arial"/>
          <w:szCs w:val="22"/>
        </w:rPr>
      </w:pPr>
      <w:r w:rsidRPr="00067BAC">
        <w:rPr>
          <w:rFonts w:cs="Arial"/>
          <w:szCs w:val="22"/>
        </w:rPr>
        <w:lastRenderedPageBreak/>
        <w:t>»46.a člen</w:t>
      </w:r>
    </w:p>
    <w:p w:rsidR="00067BAC" w:rsidRPr="00067BAC" w:rsidRDefault="00067BAC" w:rsidP="00067BAC">
      <w:pPr>
        <w:tabs>
          <w:tab w:val="left" w:pos="567"/>
          <w:tab w:val="left" w:pos="993"/>
        </w:tabs>
        <w:spacing w:line="240" w:lineRule="auto"/>
        <w:jc w:val="center"/>
        <w:rPr>
          <w:rFonts w:cs="Arial"/>
          <w:szCs w:val="22"/>
        </w:rPr>
      </w:pPr>
      <w:r w:rsidRPr="00067BAC">
        <w:rPr>
          <w:rFonts w:cs="Arial"/>
          <w:szCs w:val="22"/>
        </w:rPr>
        <w:t>(omejitev sredstev nad primerno porabo)</w:t>
      </w: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rPr>
          <w:rFonts w:cs="Arial"/>
          <w:szCs w:val="22"/>
        </w:rPr>
      </w:pPr>
      <w:r>
        <w:rPr>
          <w:rFonts w:cs="Arial"/>
          <w:szCs w:val="22"/>
        </w:rPr>
        <w:tab/>
      </w:r>
      <w:r>
        <w:rPr>
          <w:rFonts w:cs="Arial"/>
          <w:szCs w:val="22"/>
        </w:rPr>
        <w:tab/>
      </w:r>
      <w:r w:rsidRPr="00067BAC">
        <w:rPr>
          <w:rFonts w:cs="Arial"/>
          <w:szCs w:val="22"/>
        </w:rPr>
        <w:t xml:space="preserve">Občinam, pri katerih prihodki od dohodnine iz tretjega odstavka 6. člena ZFO-1, izračunani na podlagi 14. člena ZFO-1, presegajo primerno porabo, od 1. aprila 2015 dalje ti prihodki </w:t>
      </w:r>
      <w:r w:rsidR="00793DF1" w:rsidRPr="00067BAC">
        <w:rPr>
          <w:rFonts w:cs="Arial"/>
          <w:szCs w:val="22"/>
        </w:rPr>
        <w:t>pripadajo</w:t>
      </w:r>
      <w:r w:rsidR="00793DF1" w:rsidRPr="00067BAC">
        <w:rPr>
          <w:rFonts w:cs="Arial"/>
          <w:szCs w:val="22"/>
        </w:rPr>
        <w:t xml:space="preserve"> </w:t>
      </w:r>
      <w:bookmarkStart w:id="0" w:name="_GoBack"/>
      <w:bookmarkEnd w:id="0"/>
      <w:r w:rsidRPr="00067BAC">
        <w:rPr>
          <w:rFonts w:cs="Arial"/>
          <w:szCs w:val="22"/>
        </w:rPr>
        <w:t>samo do višine primerne porabe.</w:t>
      </w: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jc w:val="center"/>
        <w:rPr>
          <w:rFonts w:cs="Arial"/>
          <w:szCs w:val="22"/>
        </w:rPr>
      </w:pPr>
      <w:r w:rsidRPr="00067BAC">
        <w:rPr>
          <w:rFonts w:cs="Arial"/>
          <w:szCs w:val="22"/>
        </w:rPr>
        <w:t>46.b člen</w:t>
      </w:r>
    </w:p>
    <w:p w:rsidR="00067BAC" w:rsidRPr="00067BAC" w:rsidRDefault="00067BAC" w:rsidP="00067BAC">
      <w:pPr>
        <w:tabs>
          <w:tab w:val="left" w:pos="567"/>
          <w:tab w:val="left" w:pos="993"/>
        </w:tabs>
        <w:spacing w:line="240" w:lineRule="auto"/>
        <w:jc w:val="center"/>
        <w:rPr>
          <w:rFonts w:cs="Arial"/>
          <w:szCs w:val="22"/>
        </w:rPr>
      </w:pPr>
      <w:r w:rsidRPr="00067BAC">
        <w:rPr>
          <w:rFonts w:cs="Arial"/>
          <w:szCs w:val="22"/>
        </w:rPr>
        <w:t>(dodatno zadolževanje občin)</w:t>
      </w: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rPr>
          <w:rFonts w:cs="Arial"/>
          <w:szCs w:val="22"/>
        </w:rPr>
      </w:pPr>
      <w:r>
        <w:rPr>
          <w:rFonts w:cs="Arial"/>
          <w:szCs w:val="22"/>
        </w:rPr>
        <w:tab/>
      </w:r>
      <w:r>
        <w:rPr>
          <w:rFonts w:cs="Arial"/>
          <w:szCs w:val="22"/>
        </w:rPr>
        <w:tab/>
      </w:r>
      <w:r w:rsidRPr="00067BAC">
        <w:rPr>
          <w:rFonts w:cs="Arial"/>
          <w:szCs w:val="22"/>
        </w:rPr>
        <w:t>(1) Občina se lahko v letu 2015, v skladu s predpisi o zadolževanju občin, dodatno zadolži za lastni delež pri financiranju investicije, ki je sofinancirana iz proračuna EU, če takšna zadolžitev ne presega največjega obsega možnega zadolževanja iz drugega odstavka 10.b člena ZFO-1 za več kot 2 odstotni točki in višina dodatne zadolžitve v posamezni občini ne presega zneska 750.000 eurov.</w:t>
      </w: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rPr>
          <w:rFonts w:cs="Arial"/>
          <w:szCs w:val="22"/>
        </w:rPr>
      </w:pPr>
      <w:r>
        <w:rPr>
          <w:rFonts w:cs="Arial"/>
          <w:szCs w:val="22"/>
        </w:rPr>
        <w:tab/>
      </w:r>
      <w:r>
        <w:rPr>
          <w:rFonts w:cs="Arial"/>
          <w:szCs w:val="22"/>
        </w:rPr>
        <w:tab/>
      </w:r>
      <w:r w:rsidRPr="00067BAC">
        <w:rPr>
          <w:rFonts w:cs="Arial"/>
          <w:szCs w:val="22"/>
        </w:rPr>
        <w:t>(2) Obseg zadolževanja občine iz prejšnjega odstavka se določi v odloku, s katerim se sprejme občinski proračun.</w:t>
      </w: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rPr>
          <w:rFonts w:cs="Arial"/>
          <w:szCs w:val="22"/>
        </w:rPr>
      </w:pPr>
      <w:r>
        <w:rPr>
          <w:rFonts w:cs="Arial"/>
          <w:szCs w:val="22"/>
        </w:rPr>
        <w:tab/>
      </w:r>
      <w:r>
        <w:rPr>
          <w:rFonts w:cs="Arial"/>
          <w:szCs w:val="22"/>
        </w:rPr>
        <w:tab/>
      </w:r>
      <w:r w:rsidRPr="00067BAC">
        <w:rPr>
          <w:rFonts w:cs="Arial"/>
          <w:szCs w:val="22"/>
        </w:rPr>
        <w:t>(3) Ministrstvo</w:t>
      </w:r>
      <w:r w:rsidR="00083995">
        <w:rPr>
          <w:rFonts w:cs="Arial"/>
          <w:szCs w:val="22"/>
        </w:rPr>
        <w:t>, pristojno</w:t>
      </w:r>
      <w:r w:rsidRPr="00067BAC">
        <w:rPr>
          <w:rFonts w:cs="Arial"/>
          <w:szCs w:val="22"/>
        </w:rPr>
        <w:t xml:space="preserve"> za finance</w:t>
      </w:r>
      <w:r w:rsidR="00083995">
        <w:rPr>
          <w:rFonts w:cs="Arial"/>
          <w:szCs w:val="22"/>
        </w:rPr>
        <w:t>,</w:t>
      </w:r>
      <w:r w:rsidRPr="00067BAC">
        <w:rPr>
          <w:rFonts w:cs="Arial"/>
          <w:szCs w:val="22"/>
        </w:rPr>
        <w:t xml:space="preserve"> izdaja soglasja k dodatni zadolžitvi iz prvega odstavka tega člena do skupnega obsega 10 </w:t>
      </w:r>
      <w:r w:rsidR="00083995">
        <w:rPr>
          <w:rFonts w:cs="Arial"/>
          <w:szCs w:val="22"/>
        </w:rPr>
        <w:t>milijonov</w:t>
      </w:r>
      <w:r w:rsidRPr="00067BAC">
        <w:rPr>
          <w:rFonts w:cs="Arial"/>
          <w:szCs w:val="22"/>
        </w:rPr>
        <w:t xml:space="preserve"> eurov.«.</w:t>
      </w: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jc w:val="center"/>
        <w:rPr>
          <w:rFonts w:cs="Arial"/>
          <w:szCs w:val="22"/>
        </w:rPr>
      </w:pPr>
      <w:r w:rsidRPr="00067BAC">
        <w:rPr>
          <w:rFonts w:cs="Arial"/>
          <w:szCs w:val="22"/>
        </w:rPr>
        <w:t>10. člen</w:t>
      </w: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rPr>
          <w:rFonts w:cs="Arial"/>
          <w:szCs w:val="22"/>
        </w:rPr>
      </w:pPr>
      <w:r>
        <w:rPr>
          <w:rFonts w:cs="Arial"/>
          <w:szCs w:val="22"/>
        </w:rPr>
        <w:tab/>
      </w:r>
      <w:r>
        <w:rPr>
          <w:rFonts w:cs="Arial"/>
          <w:szCs w:val="22"/>
        </w:rPr>
        <w:tab/>
      </w:r>
      <w:r w:rsidRPr="00067BAC">
        <w:rPr>
          <w:rFonts w:cs="Arial"/>
          <w:szCs w:val="22"/>
        </w:rPr>
        <w:t xml:space="preserve">V drugem odstavku 47. člena se </w:t>
      </w:r>
      <w:r w:rsidR="00083995">
        <w:rPr>
          <w:rFonts w:cs="Arial"/>
          <w:szCs w:val="22"/>
        </w:rPr>
        <w:t>število</w:t>
      </w:r>
      <w:r w:rsidRPr="00067BAC">
        <w:rPr>
          <w:rFonts w:cs="Arial"/>
          <w:szCs w:val="22"/>
        </w:rPr>
        <w:t xml:space="preserve"> »2« nadomesti </w:t>
      </w:r>
      <w:r w:rsidR="00083995">
        <w:rPr>
          <w:rFonts w:cs="Arial"/>
          <w:szCs w:val="22"/>
        </w:rPr>
        <w:t>s številom</w:t>
      </w:r>
      <w:r w:rsidRPr="00067BAC">
        <w:rPr>
          <w:rFonts w:cs="Arial"/>
          <w:szCs w:val="22"/>
        </w:rPr>
        <w:t xml:space="preserve"> »1«.</w:t>
      </w: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rPr>
          <w:rFonts w:cs="Arial"/>
          <w:szCs w:val="22"/>
        </w:rPr>
      </w:pPr>
    </w:p>
    <w:p w:rsidR="00067BAC" w:rsidRPr="00067BAC" w:rsidRDefault="00067BAC" w:rsidP="00067BAC">
      <w:pPr>
        <w:tabs>
          <w:tab w:val="left" w:pos="567"/>
          <w:tab w:val="left" w:pos="993"/>
        </w:tabs>
        <w:spacing w:line="240" w:lineRule="auto"/>
        <w:jc w:val="center"/>
        <w:rPr>
          <w:rFonts w:cs="Arial"/>
          <w:szCs w:val="22"/>
        </w:rPr>
      </w:pPr>
      <w:r w:rsidRPr="00067BAC">
        <w:rPr>
          <w:rFonts w:cs="Arial"/>
          <w:szCs w:val="22"/>
        </w:rPr>
        <w:t>KONČNA DOLOČBA</w:t>
      </w:r>
    </w:p>
    <w:p w:rsidR="00067BAC" w:rsidRPr="00067BAC" w:rsidRDefault="00067BAC" w:rsidP="00067BAC">
      <w:pPr>
        <w:tabs>
          <w:tab w:val="left" w:pos="567"/>
          <w:tab w:val="left" w:pos="993"/>
        </w:tabs>
        <w:spacing w:line="240" w:lineRule="auto"/>
        <w:jc w:val="center"/>
        <w:rPr>
          <w:rFonts w:cs="Arial"/>
          <w:szCs w:val="22"/>
        </w:rPr>
      </w:pPr>
    </w:p>
    <w:p w:rsidR="00067BAC" w:rsidRPr="00067BAC" w:rsidRDefault="00067BAC" w:rsidP="00067BAC">
      <w:pPr>
        <w:tabs>
          <w:tab w:val="left" w:pos="567"/>
          <w:tab w:val="left" w:pos="993"/>
        </w:tabs>
        <w:spacing w:line="240" w:lineRule="auto"/>
        <w:jc w:val="center"/>
        <w:rPr>
          <w:rFonts w:cs="Arial"/>
          <w:szCs w:val="22"/>
        </w:rPr>
      </w:pPr>
      <w:r w:rsidRPr="00067BAC">
        <w:rPr>
          <w:rFonts w:cs="Arial"/>
          <w:szCs w:val="22"/>
        </w:rPr>
        <w:t>11. člen</w:t>
      </w:r>
    </w:p>
    <w:p w:rsidR="00067BAC" w:rsidRPr="00067BAC" w:rsidRDefault="00067BAC" w:rsidP="00067BAC">
      <w:pPr>
        <w:tabs>
          <w:tab w:val="left" w:pos="567"/>
          <w:tab w:val="left" w:pos="993"/>
        </w:tabs>
        <w:spacing w:line="240" w:lineRule="auto"/>
        <w:rPr>
          <w:rFonts w:cs="Arial"/>
          <w:szCs w:val="22"/>
        </w:rPr>
      </w:pPr>
    </w:p>
    <w:p w:rsidR="00067BAC" w:rsidRDefault="00067BAC" w:rsidP="00067BAC">
      <w:pPr>
        <w:tabs>
          <w:tab w:val="left" w:pos="567"/>
          <w:tab w:val="left" w:pos="993"/>
        </w:tabs>
        <w:spacing w:line="240" w:lineRule="auto"/>
        <w:rPr>
          <w:rFonts w:cs="Arial"/>
          <w:szCs w:val="22"/>
        </w:rPr>
      </w:pPr>
      <w:r>
        <w:rPr>
          <w:rFonts w:cs="Arial"/>
          <w:szCs w:val="22"/>
        </w:rPr>
        <w:tab/>
      </w:r>
      <w:r>
        <w:rPr>
          <w:rFonts w:cs="Arial"/>
          <w:szCs w:val="22"/>
        </w:rPr>
        <w:tab/>
      </w:r>
      <w:r w:rsidRPr="00067BAC">
        <w:rPr>
          <w:rFonts w:cs="Arial"/>
          <w:szCs w:val="22"/>
        </w:rPr>
        <w:t>Ta zakon začne veljati naslednji dan po objavi v Uradnem listu Republike Slovenije.</w:t>
      </w:r>
    </w:p>
    <w:p w:rsidR="00067BAC" w:rsidRDefault="00067BAC" w:rsidP="00067BAC">
      <w:pPr>
        <w:tabs>
          <w:tab w:val="left" w:pos="567"/>
          <w:tab w:val="left" w:pos="993"/>
        </w:tabs>
        <w:spacing w:line="240" w:lineRule="auto"/>
        <w:rPr>
          <w:rFonts w:cs="Arial"/>
          <w:szCs w:val="22"/>
        </w:rPr>
      </w:pPr>
    </w:p>
    <w:p w:rsidR="00626599" w:rsidRDefault="00626599" w:rsidP="00067BAC">
      <w:pPr>
        <w:tabs>
          <w:tab w:val="left" w:pos="567"/>
          <w:tab w:val="left" w:pos="993"/>
        </w:tabs>
        <w:spacing w:line="240" w:lineRule="auto"/>
        <w:rPr>
          <w:rFonts w:cs="Arial"/>
          <w:szCs w:val="22"/>
        </w:rPr>
      </w:pPr>
    </w:p>
    <w:p w:rsidR="00626599" w:rsidRDefault="00626599" w:rsidP="00067BAC">
      <w:pPr>
        <w:tabs>
          <w:tab w:val="left" w:pos="567"/>
          <w:tab w:val="left" w:pos="993"/>
        </w:tabs>
        <w:spacing w:line="240" w:lineRule="auto"/>
        <w:rPr>
          <w:rFonts w:cs="Arial"/>
          <w:szCs w:val="22"/>
        </w:rPr>
      </w:pPr>
    </w:p>
    <w:p w:rsidR="00626599" w:rsidRDefault="00626599" w:rsidP="00626599">
      <w:pPr>
        <w:tabs>
          <w:tab w:val="left" w:pos="567"/>
          <w:tab w:val="left" w:pos="993"/>
        </w:tabs>
        <w:spacing w:line="240" w:lineRule="auto"/>
        <w:rPr>
          <w:rFonts w:cs="Arial"/>
          <w:szCs w:val="22"/>
        </w:rPr>
      </w:pPr>
      <w:r>
        <w:rPr>
          <w:rFonts w:cs="Arial"/>
          <w:szCs w:val="22"/>
        </w:rPr>
        <w:t>Š</w:t>
      </w:r>
      <w:r w:rsidRPr="00067BAC">
        <w:rPr>
          <w:rFonts w:cs="Arial"/>
          <w:szCs w:val="22"/>
        </w:rPr>
        <w:t>tevilka:</w:t>
      </w:r>
      <w:r>
        <w:rPr>
          <w:rFonts w:cs="Arial"/>
          <w:szCs w:val="22"/>
        </w:rPr>
        <w:t xml:space="preserve"> </w:t>
      </w:r>
      <w:r w:rsidRPr="00067BAC">
        <w:rPr>
          <w:rFonts w:cs="Arial"/>
          <w:szCs w:val="22"/>
        </w:rPr>
        <w:t>411-02/15-4/</w:t>
      </w:r>
    </w:p>
    <w:p w:rsidR="00626599" w:rsidRDefault="00626599" w:rsidP="00626599">
      <w:pPr>
        <w:tabs>
          <w:tab w:val="left" w:pos="567"/>
          <w:tab w:val="left" w:pos="993"/>
        </w:tabs>
        <w:spacing w:line="240" w:lineRule="auto"/>
        <w:rPr>
          <w:rFonts w:cs="Arial"/>
          <w:szCs w:val="22"/>
        </w:rPr>
      </w:pPr>
      <w:r>
        <w:rPr>
          <w:rFonts w:cs="Arial"/>
          <w:szCs w:val="22"/>
        </w:rPr>
        <w:t>Datum: 20. februar 2015</w:t>
      </w:r>
    </w:p>
    <w:p w:rsidR="00626599" w:rsidRDefault="00626599" w:rsidP="00626599">
      <w:pPr>
        <w:tabs>
          <w:tab w:val="left" w:pos="567"/>
          <w:tab w:val="left" w:pos="993"/>
        </w:tabs>
        <w:spacing w:line="240" w:lineRule="auto"/>
        <w:rPr>
          <w:rFonts w:cs="Arial"/>
          <w:szCs w:val="22"/>
        </w:rPr>
      </w:pPr>
      <w:r w:rsidRPr="00067BAC">
        <w:rPr>
          <w:rFonts w:cs="Arial"/>
          <w:szCs w:val="22"/>
        </w:rPr>
        <w:t>EPA 323-VII</w:t>
      </w:r>
    </w:p>
    <w:p w:rsidR="00626599" w:rsidRDefault="00626599" w:rsidP="00067BAC">
      <w:pPr>
        <w:tabs>
          <w:tab w:val="left" w:pos="567"/>
          <w:tab w:val="left" w:pos="993"/>
        </w:tabs>
        <w:spacing w:line="240" w:lineRule="auto"/>
        <w:rPr>
          <w:rFonts w:cs="Arial"/>
          <w:szCs w:val="22"/>
        </w:rPr>
      </w:pPr>
    </w:p>
    <w:p w:rsidR="00626599" w:rsidRPr="00ED0A8E" w:rsidRDefault="00626599" w:rsidP="00626599">
      <w:pPr>
        <w:tabs>
          <w:tab w:val="left" w:pos="6521"/>
        </w:tabs>
        <w:rPr>
          <w:szCs w:val="22"/>
        </w:rPr>
      </w:pPr>
      <w:r w:rsidRPr="00ED0A8E">
        <w:rPr>
          <w:szCs w:val="22"/>
        </w:rPr>
        <w:tab/>
        <w:t>Državni zbor</w:t>
      </w:r>
    </w:p>
    <w:p w:rsidR="00626599" w:rsidRDefault="00626599" w:rsidP="00626599">
      <w:pPr>
        <w:tabs>
          <w:tab w:val="left" w:pos="6521"/>
        </w:tabs>
        <w:rPr>
          <w:szCs w:val="22"/>
        </w:rPr>
      </w:pPr>
      <w:r w:rsidRPr="00ED0A8E">
        <w:rPr>
          <w:szCs w:val="22"/>
        </w:rPr>
        <w:tab/>
      </w:r>
      <w:r>
        <w:rPr>
          <w:szCs w:val="22"/>
        </w:rPr>
        <w:t>dr. Milan Brglez</w:t>
      </w:r>
    </w:p>
    <w:p w:rsidR="00626599" w:rsidRPr="00ED0A8E" w:rsidRDefault="00626599" w:rsidP="00626599">
      <w:pPr>
        <w:tabs>
          <w:tab w:val="left" w:pos="6521"/>
        </w:tabs>
        <w:rPr>
          <w:szCs w:val="22"/>
        </w:rPr>
      </w:pPr>
      <w:r w:rsidRPr="00ED0A8E">
        <w:rPr>
          <w:szCs w:val="22"/>
        </w:rPr>
        <w:tab/>
        <w:t>predsednik</w:t>
      </w:r>
    </w:p>
    <w:p w:rsidR="00626599" w:rsidRPr="00067BAC" w:rsidRDefault="00626599" w:rsidP="00067BAC">
      <w:pPr>
        <w:tabs>
          <w:tab w:val="left" w:pos="567"/>
          <w:tab w:val="left" w:pos="993"/>
        </w:tabs>
        <w:spacing w:line="240" w:lineRule="auto"/>
        <w:rPr>
          <w:rFonts w:cs="Arial"/>
          <w:szCs w:val="22"/>
        </w:rPr>
      </w:pPr>
    </w:p>
    <w:sectPr w:rsidR="00626599" w:rsidRPr="00067BAC"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793DF1">
      <w:rPr>
        <w:rStyle w:val="tevilkastrani"/>
        <w:noProof/>
        <w:sz w:val="20"/>
        <w:szCs w:val="20"/>
      </w:rPr>
      <w:t>3</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67BAC"/>
    <w:rsid w:val="00076965"/>
    <w:rsid w:val="0008399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C5478"/>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26599"/>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3DF1"/>
    <w:rsid w:val="007950E2"/>
    <w:rsid w:val="00796369"/>
    <w:rsid w:val="00796CC0"/>
    <w:rsid w:val="007B30A4"/>
    <w:rsid w:val="007C6A78"/>
    <w:rsid w:val="007C71B2"/>
    <w:rsid w:val="007C78F0"/>
    <w:rsid w:val="007D396C"/>
    <w:rsid w:val="007F39B0"/>
    <w:rsid w:val="0082338E"/>
    <w:rsid w:val="008441E5"/>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 w:id="1651904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Template>
  <TotalTime>15</TotalTime>
  <Pages>3</Pages>
  <Words>844</Words>
  <Characters>4727</Characters>
  <Application>Microsoft Office Word</Application>
  <DocSecurity>0</DocSecurity>
  <Lines>39</Lines>
  <Paragraphs>11</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5560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bozic</cp:lastModifiedBy>
  <cp:revision>7</cp:revision>
  <cp:lastPrinted>2011-06-20T14:59:00Z</cp:lastPrinted>
  <dcterms:created xsi:type="dcterms:W3CDTF">2015-02-19T12:14:00Z</dcterms:created>
  <dcterms:modified xsi:type="dcterms:W3CDTF">2015-02-27T07:49:00Z</dcterms:modified>
</cp:coreProperties>
</file>