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40A4" w:rsidRPr="007D40A4" w:rsidRDefault="007D40A4" w:rsidP="007D40A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pacing w:val="60"/>
          <w:szCs w:val="22"/>
        </w:rPr>
      </w:pPr>
      <w:bookmarkStart w:id="0" w:name="_GoBack"/>
      <w:bookmarkEnd w:id="0"/>
      <w:r w:rsidRPr="007D40A4">
        <w:rPr>
          <w:rFonts w:cs="Arial"/>
          <w:b/>
          <w:spacing w:val="60"/>
          <w:szCs w:val="22"/>
        </w:rPr>
        <w:t>ZAKON</w:t>
      </w:r>
    </w:p>
    <w:p w:rsidR="007D40A4" w:rsidRDefault="007D40A4" w:rsidP="007D40A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</w:p>
    <w:p w:rsidR="007D40A4" w:rsidRPr="007D40A4" w:rsidRDefault="007D40A4" w:rsidP="007D40A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  <w:r w:rsidRPr="007D40A4">
        <w:rPr>
          <w:rFonts w:cs="Arial"/>
          <w:b/>
          <w:szCs w:val="22"/>
        </w:rPr>
        <w:t>O DOPOLNITVI ZAKONA O BANKI SLOVENIJE (ZBS-1C)</w:t>
      </w:r>
    </w:p>
    <w:p w:rsidR="007D40A4" w:rsidRPr="007D40A4" w:rsidRDefault="007D40A4" w:rsidP="007D40A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D40A4" w:rsidRPr="007D40A4" w:rsidRDefault="007D40A4" w:rsidP="007D40A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D40A4" w:rsidRPr="007D40A4" w:rsidRDefault="007D40A4" w:rsidP="007D40A4">
      <w:pPr>
        <w:tabs>
          <w:tab w:val="left" w:pos="567"/>
          <w:tab w:val="left" w:pos="993"/>
        </w:tabs>
        <w:spacing w:line="240" w:lineRule="auto"/>
        <w:jc w:val="center"/>
        <w:rPr>
          <w:rFonts w:eastAsia="Calibri" w:cs="Arial"/>
          <w:szCs w:val="22"/>
        </w:rPr>
      </w:pPr>
      <w:r>
        <w:rPr>
          <w:rFonts w:eastAsia="Calibri" w:cs="Arial"/>
          <w:szCs w:val="22"/>
        </w:rPr>
        <w:t xml:space="preserve">1. </w:t>
      </w:r>
      <w:r w:rsidRPr="007D40A4">
        <w:rPr>
          <w:rFonts w:eastAsia="Calibri" w:cs="Arial"/>
          <w:szCs w:val="22"/>
        </w:rPr>
        <w:t>člen</w:t>
      </w:r>
    </w:p>
    <w:p w:rsidR="007D40A4" w:rsidRPr="007D40A4" w:rsidRDefault="007D40A4" w:rsidP="007D40A4">
      <w:pPr>
        <w:tabs>
          <w:tab w:val="left" w:pos="567"/>
          <w:tab w:val="left" w:pos="993"/>
        </w:tabs>
        <w:spacing w:line="240" w:lineRule="auto"/>
        <w:rPr>
          <w:rFonts w:eastAsia="Calibri" w:cs="Arial"/>
          <w:szCs w:val="22"/>
        </w:rPr>
      </w:pPr>
    </w:p>
    <w:p w:rsidR="007D40A4" w:rsidRPr="007D40A4" w:rsidRDefault="007D40A4" w:rsidP="007D40A4">
      <w:pPr>
        <w:tabs>
          <w:tab w:val="left" w:pos="567"/>
          <w:tab w:val="left" w:pos="993"/>
        </w:tabs>
        <w:spacing w:line="240" w:lineRule="auto"/>
        <w:rPr>
          <w:rFonts w:eastAsia="Calibri" w:cs="Arial"/>
          <w:szCs w:val="22"/>
        </w:rPr>
      </w:pPr>
      <w:r>
        <w:rPr>
          <w:rFonts w:eastAsia="Calibri" w:cs="Arial"/>
          <w:szCs w:val="22"/>
        </w:rPr>
        <w:tab/>
      </w:r>
      <w:r>
        <w:rPr>
          <w:rFonts w:eastAsia="Calibri" w:cs="Arial"/>
          <w:szCs w:val="22"/>
        </w:rPr>
        <w:tab/>
      </w:r>
      <w:r w:rsidRPr="007D40A4">
        <w:rPr>
          <w:rFonts w:eastAsia="Calibri" w:cs="Arial"/>
          <w:szCs w:val="22"/>
        </w:rPr>
        <w:t xml:space="preserve">V Zakonu o Banki Slovenije (Uradni list RS, št. </w:t>
      </w:r>
      <w:r w:rsidR="00702966">
        <w:rPr>
          <w:rFonts w:eastAsia="Calibri" w:cs="Arial"/>
          <w:szCs w:val="22"/>
        </w:rPr>
        <w:t xml:space="preserve">58/02, 85/02 – </w:t>
      </w:r>
      <w:proofErr w:type="spellStart"/>
      <w:r w:rsidR="00702966">
        <w:rPr>
          <w:rFonts w:eastAsia="Calibri" w:cs="Arial"/>
          <w:szCs w:val="22"/>
        </w:rPr>
        <w:t>popr</w:t>
      </w:r>
      <w:proofErr w:type="spellEnd"/>
      <w:r w:rsidR="00702966">
        <w:rPr>
          <w:rFonts w:eastAsia="Calibri" w:cs="Arial"/>
          <w:szCs w:val="22"/>
        </w:rPr>
        <w:t xml:space="preserve">., 39/06 in </w:t>
      </w:r>
      <w:r w:rsidRPr="007D40A4">
        <w:rPr>
          <w:rFonts w:eastAsia="Calibri" w:cs="Arial"/>
          <w:szCs w:val="22"/>
        </w:rPr>
        <w:t xml:space="preserve">59/11) se za 52. členom doda nov </w:t>
      </w:r>
      <w:proofErr w:type="spellStart"/>
      <w:r w:rsidRPr="007D40A4">
        <w:rPr>
          <w:rFonts w:eastAsia="Calibri" w:cs="Arial"/>
          <w:szCs w:val="22"/>
        </w:rPr>
        <w:t>52.a</w:t>
      </w:r>
      <w:proofErr w:type="spellEnd"/>
      <w:r w:rsidRPr="007D40A4">
        <w:rPr>
          <w:rFonts w:eastAsia="Calibri" w:cs="Arial"/>
          <w:szCs w:val="22"/>
        </w:rPr>
        <w:t xml:space="preserve"> člen, ki se glasi:</w:t>
      </w:r>
    </w:p>
    <w:p w:rsidR="007D40A4" w:rsidRPr="007D40A4" w:rsidRDefault="007D40A4" w:rsidP="007D40A4">
      <w:pPr>
        <w:tabs>
          <w:tab w:val="left" w:pos="567"/>
          <w:tab w:val="left" w:pos="993"/>
        </w:tabs>
        <w:spacing w:line="240" w:lineRule="auto"/>
        <w:rPr>
          <w:rFonts w:eastAsia="Calibri" w:cs="Arial"/>
          <w:szCs w:val="22"/>
        </w:rPr>
      </w:pPr>
    </w:p>
    <w:p w:rsidR="007D40A4" w:rsidRPr="007D40A4" w:rsidRDefault="007D40A4" w:rsidP="007D40A4">
      <w:pPr>
        <w:tabs>
          <w:tab w:val="left" w:pos="567"/>
          <w:tab w:val="left" w:pos="993"/>
        </w:tabs>
        <w:spacing w:line="240" w:lineRule="auto"/>
        <w:jc w:val="center"/>
        <w:rPr>
          <w:rFonts w:eastAsia="Calibri" w:cs="Arial"/>
          <w:szCs w:val="22"/>
        </w:rPr>
      </w:pPr>
      <w:r w:rsidRPr="007D40A4">
        <w:rPr>
          <w:rFonts w:eastAsia="Calibri" w:cs="Arial"/>
          <w:szCs w:val="22"/>
        </w:rPr>
        <w:t>»</w:t>
      </w:r>
      <w:proofErr w:type="spellStart"/>
      <w:r w:rsidRPr="007D40A4">
        <w:rPr>
          <w:rFonts w:eastAsia="Calibri" w:cs="Arial"/>
          <w:szCs w:val="22"/>
        </w:rPr>
        <w:t>52.a</w:t>
      </w:r>
      <w:proofErr w:type="spellEnd"/>
      <w:r w:rsidRPr="007D40A4">
        <w:rPr>
          <w:rFonts w:eastAsia="Calibri" w:cs="Arial"/>
          <w:szCs w:val="22"/>
        </w:rPr>
        <w:t xml:space="preserve"> člen</w:t>
      </w:r>
    </w:p>
    <w:p w:rsidR="007D40A4" w:rsidRPr="007D40A4" w:rsidRDefault="007D40A4" w:rsidP="007D40A4">
      <w:pPr>
        <w:tabs>
          <w:tab w:val="left" w:pos="567"/>
          <w:tab w:val="left" w:pos="993"/>
        </w:tabs>
        <w:spacing w:line="240" w:lineRule="auto"/>
        <w:jc w:val="center"/>
        <w:rPr>
          <w:rFonts w:eastAsia="Calibri" w:cs="Arial"/>
          <w:szCs w:val="22"/>
        </w:rPr>
      </w:pPr>
      <w:r w:rsidRPr="007D40A4">
        <w:rPr>
          <w:rFonts w:eastAsia="Calibri" w:cs="Arial"/>
          <w:szCs w:val="22"/>
        </w:rPr>
        <w:t>(revizija Računskega sodišča Republike Slovenije)</w:t>
      </w:r>
    </w:p>
    <w:p w:rsidR="007D40A4" w:rsidRPr="007D40A4" w:rsidRDefault="007D40A4" w:rsidP="007D40A4">
      <w:pPr>
        <w:tabs>
          <w:tab w:val="left" w:pos="567"/>
          <w:tab w:val="left" w:pos="993"/>
        </w:tabs>
        <w:spacing w:line="240" w:lineRule="auto"/>
        <w:rPr>
          <w:rFonts w:eastAsia="Calibri" w:cs="Arial"/>
          <w:szCs w:val="22"/>
        </w:rPr>
      </w:pPr>
    </w:p>
    <w:p w:rsidR="007D40A4" w:rsidRPr="007D40A4" w:rsidRDefault="007D40A4" w:rsidP="007D40A4">
      <w:pPr>
        <w:tabs>
          <w:tab w:val="left" w:pos="567"/>
          <w:tab w:val="left" w:pos="993"/>
        </w:tabs>
        <w:spacing w:line="240" w:lineRule="auto"/>
        <w:rPr>
          <w:rFonts w:eastAsia="Calibri" w:cs="Arial"/>
          <w:szCs w:val="22"/>
          <w:lang w:eastAsia="en-GB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7D40A4">
        <w:rPr>
          <w:rFonts w:cs="Arial"/>
          <w:szCs w:val="22"/>
        </w:rPr>
        <w:t xml:space="preserve">(1) Računsko sodišče </w:t>
      </w:r>
      <w:r w:rsidR="00702966">
        <w:rPr>
          <w:rFonts w:cs="Arial"/>
          <w:szCs w:val="22"/>
        </w:rPr>
        <w:t xml:space="preserve">Republike Slovenije (v nadaljnjem besedilu: računsko sodišče) </w:t>
      </w:r>
      <w:r w:rsidRPr="007D40A4">
        <w:rPr>
          <w:rFonts w:cs="Arial"/>
          <w:szCs w:val="22"/>
        </w:rPr>
        <w:t>revidira pravilnost in smotrnost poslovanja Banke Slovenije v skladu z zakonom, ki ureja računsko sodišče.</w:t>
      </w:r>
    </w:p>
    <w:p w:rsidR="007D40A4" w:rsidRPr="007D40A4" w:rsidRDefault="007D40A4" w:rsidP="007D40A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D40A4" w:rsidRPr="007D40A4" w:rsidRDefault="007D40A4" w:rsidP="007D40A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7D40A4">
        <w:rPr>
          <w:rFonts w:cs="Arial"/>
          <w:szCs w:val="22"/>
        </w:rPr>
        <w:t>(2) V okviru revidiranja pravilnosti in smotrnosti poslovanja Banke Slovenije računsko sodišče:</w:t>
      </w:r>
    </w:p>
    <w:p w:rsidR="007D40A4" w:rsidRPr="007D40A4" w:rsidRDefault="007D40A4" w:rsidP="007D40A4">
      <w:pPr>
        <w:pStyle w:val="Odstavekseznama"/>
        <w:numPr>
          <w:ilvl w:val="0"/>
          <w:numId w:val="39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D40A4">
        <w:rPr>
          <w:rFonts w:cs="Arial"/>
          <w:szCs w:val="22"/>
        </w:rPr>
        <w:t xml:space="preserve">ne revidira dejanj, ki predstavljajo določanje in izvajanje denarne politike, v skladu s pravili, ki so jih določili organi odločanja Evropske centralne banke, </w:t>
      </w:r>
    </w:p>
    <w:p w:rsidR="007D40A4" w:rsidRPr="007D40A4" w:rsidRDefault="007D40A4" w:rsidP="007D40A4">
      <w:pPr>
        <w:pStyle w:val="Odstavekseznama"/>
        <w:numPr>
          <w:ilvl w:val="0"/>
          <w:numId w:val="39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D40A4">
        <w:rPr>
          <w:rFonts w:cs="Arial"/>
          <w:szCs w:val="22"/>
        </w:rPr>
        <w:t>ne zajema uporabe in razlage prava in praks nadzora, ki jih izvaja Banka Slovenije na podlagi tega zakona ali drugih predpisov, ter v okviru enotnega mehanizma nadzora na podlagi Uredbe Sveta (EU) št. 1024/2013 z dne 15. oktobra 2013 o prenosu posebnih nalog, ki se nanašajo na politike bonitetnega nadzora kreditnih institucij, na Evropsko centralno banko (UL L</w:t>
      </w:r>
      <w:r w:rsidR="00702966">
        <w:rPr>
          <w:rFonts w:cs="Arial"/>
          <w:szCs w:val="22"/>
        </w:rPr>
        <w:t xml:space="preserve"> št. </w:t>
      </w:r>
      <w:r w:rsidRPr="007D40A4">
        <w:rPr>
          <w:rFonts w:cs="Arial"/>
          <w:szCs w:val="22"/>
        </w:rPr>
        <w:t>287, 29.</w:t>
      </w:r>
      <w:r w:rsidR="00702966">
        <w:rPr>
          <w:rFonts w:cs="Arial"/>
          <w:szCs w:val="22"/>
        </w:rPr>
        <w:t xml:space="preserve"> </w:t>
      </w:r>
      <w:r w:rsidRPr="007D40A4">
        <w:rPr>
          <w:rFonts w:cs="Arial"/>
          <w:szCs w:val="22"/>
        </w:rPr>
        <w:t>10.</w:t>
      </w:r>
      <w:r w:rsidR="00702966">
        <w:rPr>
          <w:rFonts w:cs="Arial"/>
          <w:szCs w:val="22"/>
        </w:rPr>
        <w:t xml:space="preserve"> </w:t>
      </w:r>
      <w:r w:rsidRPr="007D40A4">
        <w:rPr>
          <w:rFonts w:cs="Arial"/>
          <w:szCs w:val="22"/>
        </w:rPr>
        <w:t xml:space="preserve">2013, str. 63). Ne glede na prejšnji stavek računsko sodišče lahko presoja pravilnost in smotrnost praks nadzora, ki jih je Banka Slovenija izvajala do 4. novembra 2014 in so vodile v porabo sredstev proračuna Republike Slovenije, </w:t>
      </w:r>
    </w:p>
    <w:p w:rsidR="007D40A4" w:rsidRPr="007D40A4" w:rsidRDefault="007D40A4" w:rsidP="007D40A4">
      <w:pPr>
        <w:pStyle w:val="Odstavekseznama"/>
        <w:numPr>
          <w:ilvl w:val="0"/>
          <w:numId w:val="39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D40A4">
        <w:rPr>
          <w:rFonts w:cs="Arial"/>
          <w:szCs w:val="22"/>
        </w:rPr>
        <w:t xml:space="preserve">ne posega v in ne vključuje pristojnosti in dejanj Banke Slovenije, ki jih Banka Slovenije izvršuje kot sestavni del Evropskega sistema centralnih bank ali </w:t>
      </w:r>
      <w:proofErr w:type="spellStart"/>
      <w:r w:rsidRPr="007D40A4">
        <w:rPr>
          <w:rFonts w:cs="Arial"/>
          <w:szCs w:val="22"/>
        </w:rPr>
        <w:t>Evrosistema</w:t>
      </w:r>
      <w:proofErr w:type="spellEnd"/>
      <w:r w:rsidRPr="007D40A4">
        <w:rPr>
          <w:rFonts w:cs="Arial"/>
          <w:szCs w:val="22"/>
        </w:rPr>
        <w:t>, ali kot članica Evropskega sistema finančnega nadzora, pri dejavnostih Evropskega bančnega organa, Evropskega odbora za sistemska tveganja in Enotnega mehanizma za reševanje,</w:t>
      </w:r>
    </w:p>
    <w:p w:rsidR="007D40A4" w:rsidRPr="007D40A4" w:rsidRDefault="007D40A4" w:rsidP="007D40A4">
      <w:pPr>
        <w:pStyle w:val="Odstavekseznama"/>
        <w:numPr>
          <w:ilvl w:val="0"/>
          <w:numId w:val="39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D40A4">
        <w:rPr>
          <w:rFonts w:cs="Arial"/>
          <w:szCs w:val="22"/>
        </w:rPr>
        <w:t xml:space="preserve">niti posredno ne revidira Evropske centralne banke, drugih članic Evropskega sistema centralnih bank ali </w:t>
      </w:r>
      <w:proofErr w:type="spellStart"/>
      <w:r w:rsidRPr="007D40A4">
        <w:rPr>
          <w:rFonts w:cs="Arial"/>
          <w:szCs w:val="22"/>
        </w:rPr>
        <w:t>Evrosistema</w:t>
      </w:r>
      <w:proofErr w:type="spellEnd"/>
      <w:r w:rsidRPr="007D40A4">
        <w:rPr>
          <w:rFonts w:cs="Arial"/>
          <w:szCs w:val="22"/>
        </w:rPr>
        <w:t>,</w:t>
      </w:r>
    </w:p>
    <w:p w:rsidR="007D40A4" w:rsidRPr="007D40A4" w:rsidRDefault="007D40A4" w:rsidP="007D40A4">
      <w:pPr>
        <w:pStyle w:val="Odstavekseznama"/>
        <w:numPr>
          <w:ilvl w:val="0"/>
          <w:numId w:val="39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D40A4">
        <w:rPr>
          <w:rFonts w:cs="Arial"/>
          <w:szCs w:val="22"/>
        </w:rPr>
        <w:t>ne posega v dejavnosti neodvisnih mednarodnih revizorjev, ki so izbrani v skladu z 52. členom tega zakona.</w:t>
      </w:r>
    </w:p>
    <w:p w:rsidR="007D40A4" w:rsidRPr="007D40A4" w:rsidRDefault="007D40A4" w:rsidP="007D40A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D40A4" w:rsidRPr="007D40A4" w:rsidRDefault="007D40A4" w:rsidP="007D40A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7D40A4">
        <w:rPr>
          <w:rFonts w:cs="Arial"/>
          <w:szCs w:val="22"/>
        </w:rPr>
        <w:t xml:space="preserve">(3) Ne glede na določbe zakona, ki ureja računsko sodišče, računsko sodišče v zvezi z razkritimi nepravilnostmi in nesmotrnostmi v revizijskem poročilu Banki Slovenije poda priporočila. Banka Slovenije ni zavezana predložiti računskemu sodišču poročila o odpravljanju razkritih nepravilnosti in nesmotrnosti, mora pa obrazložiti vsak odstop od priporočil, ki jih v revizijskem poročilu predlaga računsko sodišče. Banka Slovenije pošlje obrazložitev iz prejšnjega stavka računskemu sodišču. </w:t>
      </w:r>
    </w:p>
    <w:p w:rsidR="007D40A4" w:rsidRPr="007D40A4" w:rsidRDefault="007D40A4" w:rsidP="007D40A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D40A4" w:rsidRPr="007D40A4" w:rsidRDefault="007D40A4" w:rsidP="007D40A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7D40A4">
        <w:rPr>
          <w:rFonts w:cs="Arial"/>
          <w:szCs w:val="22"/>
        </w:rPr>
        <w:t xml:space="preserve">(4) Računsko sodišče o revizijskih razkritjih in </w:t>
      </w:r>
      <w:r w:rsidR="00702966">
        <w:rPr>
          <w:rFonts w:cs="Arial"/>
          <w:szCs w:val="22"/>
        </w:rPr>
        <w:t>o</w:t>
      </w:r>
      <w:r w:rsidRPr="007D40A4">
        <w:rPr>
          <w:rFonts w:cs="Arial"/>
          <w:szCs w:val="22"/>
        </w:rPr>
        <w:t>brazložitvi Banke Slovenije glede odstopa od priporočil iz prejšnjega odstavka nemudoma obvesti Državni zbor.</w:t>
      </w:r>
    </w:p>
    <w:p w:rsidR="007D40A4" w:rsidRPr="007D40A4" w:rsidRDefault="007D40A4" w:rsidP="007D40A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D40A4" w:rsidRPr="007D40A4" w:rsidRDefault="007D40A4" w:rsidP="007D40A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7D40A4">
        <w:rPr>
          <w:rFonts w:cs="Arial"/>
          <w:szCs w:val="22"/>
        </w:rPr>
        <w:t>(5) Ne glede na enajsti odstavek 29. člena Zakona o računskem sodišču (Uradni list RS, št. 11/01 in 109/12) računsko sodišče nima pristojnosti pozvati k razrešitvi članov Sveta Banke Slovenije.</w:t>
      </w:r>
    </w:p>
    <w:p w:rsidR="007D40A4" w:rsidRPr="007D40A4" w:rsidRDefault="007D40A4" w:rsidP="007D40A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D40A4" w:rsidRPr="007D40A4" w:rsidRDefault="007D40A4" w:rsidP="007D40A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7D40A4">
        <w:rPr>
          <w:rFonts w:cs="Arial"/>
          <w:szCs w:val="22"/>
        </w:rPr>
        <w:t xml:space="preserve">(6) Poslovno skrivnost iz 37. člena Statuta Evropskega sistema centralnih bank in Evropske centralne banke (UL C št. 326 z dne 26. 10. 2012, str. 230) pridobi </w:t>
      </w:r>
      <w:r w:rsidRPr="007D40A4">
        <w:rPr>
          <w:rFonts w:cs="Arial"/>
          <w:szCs w:val="22"/>
        </w:rPr>
        <w:lastRenderedPageBreak/>
        <w:t>računsko sodišče v skladu s pravili, ki urejajo delovanje Evropskega sistema centralnih bank. Druge zaupne podatke, vključno s statističnimi podatki in podatki nadzora, katerih izmenjavo urejajo pravila Evropske unije, pridobi računsko sodišče v skladu s temi pravili.</w:t>
      </w:r>
    </w:p>
    <w:p w:rsidR="007D40A4" w:rsidRPr="007D40A4" w:rsidRDefault="007D40A4" w:rsidP="007D40A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D40A4" w:rsidRPr="007D40A4" w:rsidRDefault="007D40A4" w:rsidP="007D40A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7D40A4">
        <w:rPr>
          <w:rFonts w:cs="Arial"/>
          <w:szCs w:val="22"/>
        </w:rPr>
        <w:t>(7) Revizorji in funkcionarji računskega sodišča ter druge osebe, ki so z računskim sodiščem v kakršnem koli pravnem razmerju, morajo kot zaupne varovati vse podatke, ki so zaupni po zakonu, ki ureja bančništvo, za katere so izvedeli pri opravljanju revizije poslovanja Banke Slovenije.«</w:t>
      </w:r>
      <w:r>
        <w:rPr>
          <w:rFonts w:cs="Arial"/>
          <w:szCs w:val="22"/>
        </w:rPr>
        <w:t>.</w:t>
      </w:r>
    </w:p>
    <w:p w:rsidR="007D40A4" w:rsidRPr="007D40A4" w:rsidRDefault="007D40A4" w:rsidP="007D40A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D40A4" w:rsidRDefault="007D40A4" w:rsidP="007D40A4">
      <w:pPr>
        <w:tabs>
          <w:tab w:val="left" w:pos="567"/>
          <w:tab w:val="left" w:pos="993"/>
        </w:tabs>
        <w:spacing w:line="240" w:lineRule="auto"/>
        <w:rPr>
          <w:rFonts w:eastAsia="Calibri" w:cs="Arial"/>
          <w:szCs w:val="22"/>
        </w:rPr>
      </w:pPr>
    </w:p>
    <w:p w:rsidR="007D40A4" w:rsidRPr="007D40A4" w:rsidRDefault="007D40A4" w:rsidP="007D40A4">
      <w:pPr>
        <w:tabs>
          <w:tab w:val="left" w:pos="567"/>
          <w:tab w:val="left" w:pos="993"/>
        </w:tabs>
        <w:spacing w:line="240" w:lineRule="auto"/>
        <w:jc w:val="center"/>
        <w:rPr>
          <w:rFonts w:eastAsia="Calibri" w:cs="Arial"/>
          <w:szCs w:val="22"/>
        </w:rPr>
      </w:pPr>
      <w:r w:rsidRPr="007D40A4">
        <w:rPr>
          <w:rFonts w:eastAsia="Calibri" w:cs="Arial"/>
          <w:szCs w:val="22"/>
        </w:rPr>
        <w:t>PREHODNA IN KONČNA DOLOČBA</w:t>
      </w:r>
    </w:p>
    <w:p w:rsidR="007D40A4" w:rsidRPr="007D40A4" w:rsidRDefault="007D40A4" w:rsidP="007D40A4">
      <w:pPr>
        <w:tabs>
          <w:tab w:val="left" w:pos="567"/>
          <w:tab w:val="left" w:pos="993"/>
        </w:tabs>
        <w:spacing w:line="240" w:lineRule="auto"/>
        <w:jc w:val="center"/>
        <w:rPr>
          <w:rFonts w:eastAsia="Calibri" w:cs="Arial"/>
          <w:szCs w:val="22"/>
        </w:rPr>
      </w:pPr>
    </w:p>
    <w:p w:rsidR="007D40A4" w:rsidRPr="007D40A4" w:rsidRDefault="007D40A4" w:rsidP="007D40A4">
      <w:pPr>
        <w:tabs>
          <w:tab w:val="left" w:pos="567"/>
          <w:tab w:val="left" w:pos="993"/>
        </w:tabs>
        <w:spacing w:line="240" w:lineRule="auto"/>
        <w:jc w:val="center"/>
        <w:rPr>
          <w:rFonts w:eastAsia="Calibri" w:cs="Arial"/>
          <w:szCs w:val="22"/>
        </w:rPr>
      </w:pPr>
      <w:r w:rsidRPr="007D40A4">
        <w:rPr>
          <w:rFonts w:eastAsia="Calibri" w:cs="Arial"/>
          <w:szCs w:val="22"/>
        </w:rPr>
        <w:t>2. člen</w:t>
      </w:r>
    </w:p>
    <w:p w:rsidR="007D40A4" w:rsidRPr="007D40A4" w:rsidRDefault="007D40A4" w:rsidP="007D40A4">
      <w:pPr>
        <w:tabs>
          <w:tab w:val="left" w:pos="567"/>
          <w:tab w:val="left" w:pos="993"/>
        </w:tabs>
        <w:spacing w:line="240" w:lineRule="auto"/>
        <w:rPr>
          <w:rFonts w:eastAsia="Calibri" w:cs="Arial"/>
          <w:szCs w:val="22"/>
        </w:rPr>
      </w:pPr>
    </w:p>
    <w:p w:rsidR="007D40A4" w:rsidRPr="007D40A4" w:rsidRDefault="007D40A4" w:rsidP="007D40A4">
      <w:pPr>
        <w:tabs>
          <w:tab w:val="left" w:pos="567"/>
          <w:tab w:val="left" w:pos="993"/>
        </w:tabs>
        <w:spacing w:line="240" w:lineRule="auto"/>
        <w:rPr>
          <w:rFonts w:eastAsia="Calibri" w:cs="Arial"/>
          <w:szCs w:val="22"/>
        </w:rPr>
      </w:pPr>
      <w:r>
        <w:rPr>
          <w:rFonts w:eastAsia="Calibri" w:cs="Arial"/>
          <w:szCs w:val="22"/>
        </w:rPr>
        <w:tab/>
      </w:r>
      <w:r>
        <w:rPr>
          <w:rFonts w:eastAsia="Calibri" w:cs="Arial"/>
          <w:szCs w:val="22"/>
        </w:rPr>
        <w:tab/>
      </w:r>
      <w:r w:rsidRPr="007D40A4">
        <w:rPr>
          <w:rFonts w:eastAsia="Calibri" w:cs="Arial"/>
          <w:szCs w:val="22"/>
        </w:rPr>
        <w:t xml:space="preserve">Računsko sodišče lahko na podlagi </w:t>
      </w:r>
      <w:proofErr w:type="spellStart"/>
      <w:r w:rsidRPr="007D40A4">
        <w:rPr>
          <w:rFonts w:eastAsia="Calibri" w:cs="Arial"/>
          <w:szCs w:val="22"/>
        </w:rPr>
        <w:t>52.a</w:t>
      </w:r>
      <w:proofErr w:type="spellEnd"/>
      <w:r w:rsidRPr="007D40A4">
        <w:rPr>
          <w:rFonts w:eastAsia="Calibri" w:cs="Arial"/>
          <w:szCs w:val="22"/>
        </w:rPr>
        <w:t xml:space="preserve"> člena zakona revidira pravilnost in smotrnost poslovanja Banke Slovenije tudi za obdobje zadnjih 15 let do uveljavitve tega zakona.</w:t>
      </w:r>
    </w:p>
    <w:p w:rsidR="007D40A4" w:rsidRPr="007D40A4" w:rsidRDefault="007D40A4" w:rsidP="007D40A4">
      <w:pPr>
        <w:tabs>
          <w:tab w:val="left" w:pos="567"/>
          <w:tab w:val="left" w:pos="993"/>
        </w:tabs>
        <w:spacing w:line="240" w:lineRule="auto"/>
        <w:rPr>
          <w:rFonts w:eastAsia="Calibri" w:cs="Arial"/>
          <w:szCs w:val="22"/>
        </w:rPr>
      </w:pPr>
    </w:p>
    <w:p w:rsidR="007D40A4" w:rsidRDefault="007D40A4" w:rsidP="007D40A4">
      <w:pPr>
        <w:tabs>
          <w:tab w:val="left" w:pos="567"/>
          <w:tab w:val="left" w:pos="993"/>
        </w:tabs>
        <w:spacing w:line="240" w:lineRule="auto"/>
        <w:rPr>
          <w:rFonts w:eastAsia="Calibri" w:cs="Arial"/>
          <w:szCs w:val="22"/>
        </w:rPr>
      </w:pPr>
    </w:p>
    <w:p w:rsidR="007D40A4" w:rsidRPr="007D40A4" w:rsidRDefault="007D40A4" w:rsidP="007D40A4">
      <w:pPr>
        <w:tabs>
          <w:tab w:val="left" w:pos="567"/>
          <w:tab w:val="left" w:pos="993"/>
        </w:tabs>
        <w:spacing w:line="240" w:lineRule="auto"/>
        <w:jc w:val="center"/>
        <w:rPr>
          <w:rFonts w:eastAsia="Calibri" w:cs="Arial"/>
          <w:szCs w:val="22"/>
        </w:rPr>
      </w:pPr>
      <w:r w:rsidRPr="007D40A4">
        <w:rPr>
          <w:rFonts w:eastAsia="Calibri" w:cs="Arial"/>
          <w:szCs w:val="22"/>
        </w:rPr>
        <w:t>3. člen</w:t>
      </w:r>
    </w:p>
    <w:p w:rsidR="007D40A4" w:rsidRPr="007D40A4" w:rsidRDefault="007D40A4" w:rsidP="007D40A4">
      <w:pPr>
        <w:tabs>
          <w:tab w:val="left" w:pos="567"/>
          <w:tab w:val="left" w:pos="993"/>
        </w:tabs>
        <w:spacing w:line="240" w:lineRule="auto"/>
        <w:rPr>
          <w:rFonts w:eastAsia="Calibri" w:cs="Arial"/>
          <w:szCs w:val="22"/>
        </w:rPr>
      </w:pPr>
    </w:p>
    <w:p w:rsidR="007D40A4" w:rsidRPr="007D40A4" w:rsidRDefault="007D40A4" w:rsidP="007D40A4">
      <w:pPr>
        <w:tabs>
          <w:tab w:val="left" w:pos="567"/>
          <w:tab w:val="left" w:pos="993"/>
        </w:tabs>
        <w:spacing w:line="240" w:lineRule="auto"/>
        <w:rPr>
          <w:rFonts w:eastAsia="Calibri" w:cs="Arial"/>
          <w:szCs w:val="22"/>
        </w:rPr>
      </w:pPr>
      <w:r>
        <w:rPr>
          <w:rFonts w:eastAsia="Calibri" w:cs="Arial"/>
          <w:szCs w:val="22"/>
        </w:rPr>
        <w:tab/>
      </w:r>
      <w:r>
        <w:rPr>
          <w:rFonts w:eastAsia="Calibri" w:cs="Arial"/>
          <w:szCs w:val="22"/>
        </w:rPr>
        <w:tab/>
      </w:r>
      <w:r w:rsidRPr="007D40A4">
        <w:rPr>
          <w:rFonts w:eastAsia="Calibri" w:cs="Arial"/>
          <w:szCs w:val="22"/>
        </w:rPr>
        <w:t>Ta zakon začne veljati petnajsti dan po objavi v Uradnem listu Republike Slovenije.</w:t>
      </w:r>
    </w:p>
    <w:p w:rsidR="007D40A4" w:rsidRDefault="007D40A4" w:rsidP="007D40A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4D6545" w:rsidRDefault="004D6545" w:rsidP="007D40A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4D6545" w:rsidRDefault="004D6545" w:rsidP="007D40A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4D6545" w:rsidRDefault="004D6545" w:rsidP="004D6545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Št</w:t>
      </w:r>
      <w:r w:rsidRPr="007D40A4">
        <w:rPr>
          <w:rFonts w:cs="Arial"/>
          <w:szCs w:val="22"/>
        </w:rPr>
        <w:t>evilka:</w:t>
      </w:r>
      <w:r>
        <w:rPr>
          <w:rFonts w:cs="Arial"/>
          <w:szCs w:val="22"/>
        </w:rPr>
        <w:t xml:space="preserve"> </w:t>
      </w:r>
      <w:r w:rsidRPr="007D40A4">
        <w:rPr>
          <w:rFonts w:cs="Arial"/>
          <w:szCs w:val="22"/>
        </w:rPr>
        <w:t>450-03/17-19/</w:t>
      </w:r>
    </w:p>
    <w:p w:rsidR="004D6545" w:rsidRPr="007D40A4" w:rsidRDefault="004D6545" w:rsidP="004D6545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Datum: 26. september 2017</w:t>
      </w:r>
    </w:p>
    <w:p w:rsidR="004D6545" w:rsidRDefault="004D6545" w:rsidP="004D6545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D40A4">
        <w:rPr>
          <w:rFonts w:cs="Arial"/>
          <w:szCs w:val="22"/>
        </w:rPr>
        <w:t>EPA</w:t>
      </w:r>
      <w:r>
        <w:rPr>
          <w:rFonts w:cs="Arial"/>
          <w:szCs w:val="22"/>
        </w:rPr>
        <w:t xml:space="preserve"> </w:t>
      </w:r>
      <w:r w:rsidRPr="007D40A4">
        <w:rPr>
          <w:rFonts w:cs="Arial"/>
          <w:szCs w:val="22"/>
        </w:rPr>
        <w:t>1931-</w:t>
      </w:r>
      <w:proofErr w:type="spellStart"/>
      <w:r w:rsidRPr="007D40A4">
        <w:rPr>
          <w:rFonts w:cs="Arial"/>
          <w:szCs w:val="22"/>
        </w:rPr>
        <w:t>VII</w:t>
      </w:r>
      <w:proofErr w:type="spellEnd"/>
    </w:p>
    <w:p w:rsidR="004D6545" w:rsidRPr="00ED0A8E" w:rsidRDefault="004D6545" w:rsidP="004D6545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4D6545" w:rsidRDefault="004D6545" w:rsidP="004D6545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dr. Milan Brglez</w:t>
      </w:r>
    </w:p>
    <w:p w:rsidR="004D6545" w:rsidRPr="00ED0A8E" w:rsidRDefault="004D6545" w:rsidP="004D6545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p w:rsidR="004D6545" w:rsidRPr="007D40A4" w:rsidRDefault="004D6545" w:rsidP="007D40A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sectPr w:rsidR="004D6545" w:rsidRPr="007D40A4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4D6545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C852BF5"/>
    <w:multiLevelType w:val="hybridMultilevel"/>
    <w:tmpl w:val="466ADE10"/>
    <w:lvl w:ilvl="0" w:tplc="C344B996">
      <w:start w:val="1"/>
      <w:numFmt w:val="decimal"/>
      <w:lvlText w:val="%1."/>
      <w:lvlJc w:val="left"/>
      <w:pPr>
        <w:ind w:left="252" w:hanging="360"/>
      </w:pPr>
    </w:lvl>
    <w:lvl w:ilvl="1" w:tplc="04240019">
      <w:start w:val="1"/>
      <w:numFmt w:val="lowerLetter"/>
      <w:lvlText w:val="%2."/>
      <w:lvlJc w:val="left"/>
      <w:pPr>
        <w:ind w:left="972" w:hanging="360"/>
      </w:pPr>
    </w:lvl>
    <w:lvl w:ilvl="2" w:tplc="0424001B">
      <w:start w:val="1"/>
      <w:numFmt w:val="lowerRoman"/>
      <w:lvlText w:val="%3."/>
      <w:lvlJc w:val="right"/>
      <w:pPr>
        <w:ind w:left="1692" w:hanging="180"/>
      </w:pPr>
    </w:lvl>
    <w:lvl w:ilvl="3" w:tplc="0424000F">
      <w:start w:val="1"/>
      <w:numFmt w:val="decimal"/>
      <w:lvlText w:val="%4."/>
      <w:lvlJc w:val="left"/>
      <w:pPr>
        <w:ind w:left="2412" w:hanging="360"/>
      </w:pPr>
    </w:lvl>
    <w:lvl w:ilvl="4" w:tplc="04240019">
      <w:start w:val="1"/>
      <w:numFmt w:val="lowerLetter"/>
      <w:lvlText w:val="%5."/>
      <w:lvlJc w:val="left"/>
      <w:pPr>
        <w:ind w:left="3132" w:hanging="360"/>
      </w:pPr>
    </w:lvl>
    <w:lvl w:ilvl="5" w:tplc="0424001B">
      <w:start w:val="1"/>
      <w:numFmt w:val="lowerRoman"/>
      <w:lvlText w:val="%6."/>
      <w:lvlJc w:val="right"/>
      <w:pPr>
        <w:ind w:left="3852" w:hanging="180"/>
      </w:pPr>
    </w:lvl>
    <w:lvl w:ilvl="6" w:tplc="0424000F">
      <w:start w:val="1"/>
      <w:numFmt w:val="decimal"/>
      <w:lvlText w:val="%7."/>
      <w:lvlJc w:val="left"/>
      <w:pPr>
        <w:ind w:left="4572" w:hanging="360"/>
      </w:pPr>
    </w:lvl>
    <w:lvl w:ilvl="7" w:tplc="04240019">
      <w:start w:val="1"/>
      <w:numFmt w:val="lowerLetter"/>
      <w:lvlText w:val="%8."/>
      <w:lvlJc w:val="left"/>
      <w:pPr>
        <w:ind w:left="5292" w:hanging="360"/>
      </w:pPr>
    </w:lvl>
    <w:lvl w:ilvl="8" w:tplc="0424001B">
      <w:start w:val="1"/>
      <w:numFmt w:val="lowerRoman"/>
      <w:lvlText w:val="%9."/>
      <w:lvlJc w:val="right"/>
      <w:pPr>
        <w:ind w:left="6012" w:hanging="180"/>
      </w:pPr>
    </w:lvl>
  </w:abstractNum>
  <w:abstractNum w:abstractNumId="17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D460757"/>
    <w:multiLevelType w:val="hybridMultilevel"/>
    <w:tmpl w:val="B1BE6C74"/>
    <w:lvl w:ilvl="0" w:tplc="E7369B5C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405A0231"/>
    <w:multiLevelType w:val="hybridMultilevel"/>
    <w:tmpl w:val="62B05FA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38"/>
  </w:num>
  <w:num w:numId="3">
    <w:abstractNumId w:val="8"/>
  </w:num>
  <w:num w:numId="4">
    <w:abstractNumId w:val="11"/>
  </w:num>
  <w:num w:numId="5">
    <w:abstractNumId w:val="10"/>
  </w:num>
  <w:num w:numId="6">
    <w:abstractNumId w:val="22"/>
  </w:num>
  <w:num w:numId="7">
    <w:abstractNumId w:val="32"/>
  </w:num>
  <w:num w:numId="8">
    <w:abstractNumId w:val="20"/>
  </w:num>
  <w:num w:numId="9">
    <w:abstractNumId w:val="36"/>
  </w:num>
  <w:num w:numId="10">
    <w:abstractNumId w:val="14"/>
  </w:num>
  <w:num w:numId="11">
    <w:abstractNumId w:val="5"/>
  </w:num>
  <w:num w:numId="12">
    <w:abstractNumId w:val="0"/>
  </w:num>
  <w:num w:numId="13">
    <w:abstractNumId w:val="23"/>
  </w:num>
  <w:num w:numId="14">
    <w:abstractNumId w:val="15"/>
  </w:num>
  <w:num w:numId="15">
    <w:abstractNumId w:val="19"/>
  </w:num>
  <w:num w:numId="16">
    <w:abstractNumId w:val="27"/>
  </w:num>
  <w:num w:numId="17">
    <w:abstractNumId w:val="2"/>
  </w:num>
  <w:num w:numId="18">
    <w:abstractNumId w:val="24"/>
  </w:num>
  <w:num w:numId="19">
    <w:abstractNumId w:val="7"/>
  </w:num>
  <w:num w:numId="20">
    <w:abstractNumId w:val="17"/>
  </w:num>
  <w:num w:numId="21">
    <w:abstractNumId w:val="33"/>
  </w:num>
  <w:num w:numId="22">
    <w:abstractNumId w:val="1"/>
  </w:num>
  <w:num w:numId="23">
    <w:abstractNumId w:val="3"/>
  </w:num>
  <w:num w:numId="24">
    <w:abstractNumId w:val="35"/>
  </w:num>
  <w:num w:numId="25">
    <w:abstractNumId w:val="6"/>
  </w:num>
  <w:num w:numId="26">
    <w:abstractNumId w:val="21"/>
  </w:num>
  <w:num w:numId="27">
    <w:abstractNumId w:val="26"/>
  </w:num>
  <w:num w:numId="28">
    <w:abstractNumId w:val="39"/>
  </w:num>
  <w:num w:numId="29">
    <w:abstractNumId w:val="12"/>
  </w:num>
  <w:num w:numId="30">
    <w:abstractNumId w:val="30"/>
  </w:num>
  <w:num w:numId="31">
    <w:abstractNumId w:val="31"/>
  </w:num>
  <w:num w:numId="32">
    <w:abstractNumId w:val="29"/>
  </w:num>
  <w:num w:numId="33">
    <w:abstractNumId w:val="34"/>
  </w:num>
  <w:num w:numId="34">
    <w:abstractNumId w:val="4"/>
  </w:num>
  <w:num w:numId="35">
    <w:abstractNumId w:val="13"/>
  </w:num>
  <w:num w:numId="36">
    <w:abstractNumId w:val="9"/>
  </w:num>
  <w:num w:numId="37">
    <w:abstractNumId w:val="37"/>
  </w:num>
  <w:num w:numId="3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25"/>
  </w:num>
  <w:num w:numId="40">
    <w:abstractNumId w:val="18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593"/>
    <w:rsid w:val="001E5A8D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D6545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2966"/>
    <w:rsid w:val="007034D9"/>
    <w:rsid w:val="00717C71"/>
    <w:rsid w:val="00720DD7"/>
    <w:rsid w:val="00721793"/>
    <w:rsid w:val="007230C3"/>
    <w:rsid w:val="00727AF7"/>
    <w:rsid w:val="007378A1"/>
    <w:rsid w:val="00745A0B"/>
    <w:rsid w:val="00746A6C"/>
    <w:rsid w:val="00762106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D40A4"/>
    <w:rsid w:val="007F39B0"/>
    <w:rsid w:val="0082338E"/>
    <w:rsid w:val="008514CB"/>
    <w:rsid w:val="00851522"/>
    <w:rsid w:val="00856008"/>
    <w:rsid w:val="00856C95"/>
    <w:rsid w:val="008B2D3C"/>
    <w:rsid w:val="008B5E78"/>
    <w:rsid w:val="008C4247"/>
    <w:rsid w:val="008F3B11"/>
    <w:rsid w:val="009121AD"/>
    <w:rsid w:val="009156F9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9F175C"/>
    <w:rsid w:val="00A059D4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4021E"/>
    <w:rsid w:val="00B64A88"/>
    <w:rsid w:val="00B87962"/>
    <w:rsid w:val="00B926CE"/>
    <w:rsid w:val="00BB2393"/>
    <w:rsid w:val="00BE26D1"/>
    <w:rsid w:val="00BE54BF"/>
    <w:rsid w:val="00C05F5D"/>
    <w:rsid w:val="00C15BF9"/>
    <w:rsid w:val="00C25582"/>
    <w:rsid w:val="00C34089"/>
    <w:rsid w:val="00C34621"/>
    <w:rsid w:val="00C510F9"/>
    <w:rsid w:val="00C55CAA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F3D39"/>
    <w:rsid w:val="00F13898"/>
    <w:rsid w:val="00F14242"/>
    <w:rsid w:val="00F159E8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397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14</TotalTime>
  <Pages>2</Pages>
  <Words>567</Words>
  <Characters>3329</Characters>
  <Application>Microsoft Office Word</Application>
  <DocSecurity>0</DocSecurity>
  <Lines>27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3889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2011-06-20T15:59:00Z</cp:lastPrinted>
  <dcterms:created xsi:type="dcterms:W3CDTF">2017-09-06T12:12:00Z</dcterms:created>
  <dcterms:modified xsi:type="dcterms:W3CDTF">2017-10-03T11:25:00Z</dcterms:modified>
</cp:coreProperties>
</file>