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6800" w:rsidRDefault="00BE6800" w:rsidP="00FE788B">
      <w:pPr>
        <w:tabs>
          <w:tab w:val="left" w:pos="567"/>
          <w:tab w:val="left" w:pos="993"/>
        </w:tabs>
        <w:spacing w:line="240" w:lineRule="auto"/>
        <w:jc w:val="center"/>
        <w:rPr>
          <w:b/>
          <w:spacing w:val="60"/>
        </w:rPr>
      </w:pPr>
    </w:p>
    <w:p w:rsidR="00BE6800" w:rsidRDefault="00BE6800" w:rsidP="00FE788B">
      <w:pPr>
        <w:tabs>
          <w:tab w:val="left" w:pos="567"/>
          <w:tab w:val="left" w:pos="993"/>
        </w:tabs>
        <w:spacing w:line="240" w:lineRule="auto"/>
        <w:jc w:val="center"/>
        <w:rPr>
          <w:b/>
          <w:spacing w:val="60"/>
        </w:rPr>
      </w:pPr>
    </w:p>
    <w:p w:rsidR="00FE788B" w:rsidRPr="00FE788B" w:rsidRDefault="00FE788B" w:rsidP="00FE788B">
      <w:pPr>
        <w:tabs>
          <w:tab w:val="left" w:pos="567"/>
          <w:tab w:val="left" w:pos="993"/>
        </w:tabs>
        <w:spacing w:line="240" w:lineRule="auto"/>
        <w:jc w:val="center"/>
        <w:rPr>
          <w:b/>
          <w:spacing w:val="60"/>
        </w:rPr>
      </w:pPr>
      <w:r w:rsidRPr="00FE788B">
        <w:rPr>
          <w:b/>
          <w:spacing w:val="60"/>
        </w:rPr>
        <w:t>ZAKON</w:t>
      </w:r>
    </w:p>
    <w:p w:rsidR="00FE788B" w:rsidRDefault="00FE788B" w:rsidP="00FE788B">
      <w:pPr>
        <w:tabs>
          <w:tab w:val="left" w:pos="567"/>
          <w:tab w:val="left" w:pos="993"/>
        </w:tabs>
        <w:spacing w:line="240" w:lineRule="auto"/>
        <w:jc w:val="center"/>
        <w:rPr>
          <w:b/>
        </w:rPr>
      </w:pPr>
    </w:p>
    <w:p w:rsidR="00FE788B" w:rsidRDefault="00FE788B" w:rsidP="00FE788B">
      <w:pPr>
        <w:tabs>
          <w:tab w:val="left" w:pos="567"/>
          <w:tab w:val="left" w:pos="993"/>
        </w:tabs>
        <w:spacing w:line="240" w:lineRule="auto"/>
        <w:jc w:val="center"/>
        <w:rPr>
          <w:b/>
        </w:rPr>
      </w:pPr>
      <w:r w:rsidRPr="00FE788B">
        <w:rPr>
          <w:b/>
        </w:rPr>
        <w:t>O SPREMEMBAH IN DOPOLNITVAH ZAKONA O POKOJNINSKEM</w:t>
      </w:r>
    </w:p>
    <w:p w:rsidR="00FE788B" w:rsidRPr="00FE788B" w:rsidRDefault="00FE788B" w:rsidP="00FE788B">
      <w:pPr>
        <w:tabs>
          <w:tab w:val="left" w:pos="567"/>
          <w:tab w:val="left" w:pos="993"/>
        </w:tabs>
        <w:spacing w:line="240" w:lineRule="auto"/>
        <w:jc w:val="center"/>
        <w:rPr>
          <w:b/>
        </w:rPr>
      </w:pPr>
      <w:r w:rsidRPr="00FE788B">
        <w:rPr>
          <w:b/>
        </w:rPr>
        <w:t>IN INVALIDSKEM ZAVAROVANJU (ZPIZ-2E)</w:t>
      </w:r>
    </w:p>
    <w:p w:rsidR="00FE788B" w:rsidRDefault="00FE788B" w:rsidP="00FE788B">
      <w:pPr>
        <w:tabs>
          <w:tab w:val="left" w:pos="567"/>
          <w:tab w:val="left" w:pos="993"/>
        </w:tabs>
        <w:spacing w:line="240" w:lineRule="auto"/>
      </w:pPr>
    </w:p>
    <w:p w:rsidR="00BE6800" w:rsidRDefault="00BE6800" w:rsidP="00FE788B">
      <w:pPr>
        <w:tabs>
          <w:tab w:val="left" w:pos="567"/>
          <w:tab w:val="left" w:pos="993"/>
        </w:tabs>
        <w:spacing w:line="240" w:lineRule="auto"/>
      </w:pPr>
    </w:p>
    <w:p w:rsidR="00BE6800" w:rsidRDefault="00BE6800" w:rsidP="00FE788B">
      <w:pPr>
        <w:tabs>
          <w:tab w:val="left" w:pos="567"/>
          <w:tab w:val="left" w:pos="993"/>
        </w:tabs>
        <w:spacing w:line="240" w:lineRule="auto"/>
      </w:pPr>
    </w:p>
    <w:p w:rsidR="00FE788B" w:rsidRDefault="00FE788B" w:rsidP="00FE788B">
      <w:pPr>
        <w:tabs>
          <w:tab w:val="left" w:pos="567"/>
          <w:tab w:val="left" w:pos="993"/>
        </w:tabs>
        <w:spacing w:line="240" w:lineRule="auto"/>
        <w:jc w:val="center"/>
      </w:pPr>
      <w:r>
        <w:t>1. člen</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V Zakonu o pokojninskem in invalidskem zavarovanju (Uradni list RS, št. 96/12, 39/13, 99/13 – ZSVarPre-C, 101/13 – ZIPRS1415, 44/14 – ORZPIZ206, 85/14 – ZUJF-B, 95/14 – ZUJF-C, 90/15 – ZIUPTD, 102/15 in 40/17) se 23. točka 7. člena dopolni tako, da se za besedilom »pokojninsko in invalidsko zavarovanje,« doda besedilo »obdobje prostovoljne vključitve v obvezno zavarovanje do 31. 12. 2012, ko so bili prispevki dejansko plačani«.</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jc w:val="center"/>
      </w:pPr>
      <w:r>
        <w:t>2. člen</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V 14. členu se doda nov šesti odstavek, ki se glasi:</w:t>
      </w:r>
    </w:p>
    <w:p w:rsidR="00FE788B" w:rsidRDefault="00FE788B" w:rsidP="00FE788B">
      <w:pPr>
        <w:tabs>
          <w:tab w:val="left" w:pos="567"/>
          <w:tab w:val="left" w:pos="993"/>
        </w:tabs>
        <w:spacing w:line="240" w:lineRule="auto"/>
      </w:pPr>
      <w:r>
        <w:tab/>
      </w:r>
      <w:r>
        <w:tab/>
        <w:t>»(6) Obvezno se zavarujejo delavci v delovnem razmerju, ki pri delodajalcu izpolnjujejo pogoje za vključitev v zavarovanje tudi na podlagi 16. člena tega zakona, vendar so prednostno zavarovani na podlagi delovnega razmerja.«.</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jc w:val="center"/>
      </w:pPr>
      <w:r>
        <w:t>3. člen</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Za 134. členom se doda nov 134.a člen, ki se glasi:</w:t>
      </w:r>
    </w:p>
    <w:p w:rsidR="00FE788B" w:rsidRDefault="00FE788B" w:rsidP="00FE788B">
      <w:pPr>
        <w:tabs>
          <w:tab w:val="left" w:pos="567"/>
          <w:tab w:val="left" w:pos="993"/>
        </w:tabs>
        <w:spacing w:line="240" w:lineRule="auto"/>
      </w:pPr>
    </w:p>
    <w:p w:rsidR="00FE788B" w:rsidRDefault="00110FBC" w:rsidP="00FE788B">
      <w:pPr>
        <w:tabs>
          <w:tab w:val="left" w:pos="567"/>
          <w:tab w:val="left" w:pos="993"/>
        </w:tabs>
        <w:spacing w:line="240" w:lineRule="auto"/>
        <w:jc w:val="center"/>
      </w:pPr>
      <w:r>
        <w:t>»</w:t>
      </w:r>
      <w:r w:rsidR="00FE788B">
        <w:t>134.a člen</w:t>
      </w:r>
    </w:p>
    <w:p w:rsidR="00FE788B" w:rsidRDefault="00FE788B" w:rsidP="00FE788B">
      <w:pPr>
        <w:tabs>
          <w:tab w:val="left" w:pos="567"/>
          <w:tab w:val="left" w:pos="993"/>
        </w:tabs>
        <w:spacing w:line="240" w:lineRule="auto"/>
        <w:jc w:val="center"/>
      </w:pPr>
      <w:r>
        <w:t>(poseben način upoštevanja obdobij, za katera</w:t>
      </w:r>
    </w:p>
    <w:p w:rsidR="00FE788B" w:rsidRDefault="00FE788B" w:rsidP="00FE788B">
      <w:pPr>
        <w:tabs>
          <w:tab w:val="left" w:pos="567"/>
          <w:tab w:val="left" w:pos="993"/>
        </w:tabs>
        <w:spacing w:line="240" w:lineRule="auto"/>
        <w:jc w:val="center"/>
      </w:pPr>
      <w:r>
        <w:t>niso bili obračunani prispevki)</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(1) Zavod delodajalcu in zavarovancu za zavarovance, ki so vključeni v obvezno zavarovanje iz naslova delovnega razmerja na podlagi prvega ali tretjega odstavka 14. člena tega zakona, za katere delodajalec v predpisanem roku, v skladu z zakonom, ki ureja delovna razmerja in v skladu z zakonom, ki ureja davčni postopek, ne predloži obračuna davčnega odtegljaja po predpisih o davčnem postopku, posreduje obvestilo o tem, da delodajalec ni predložil obračuna davčnega odtegljaja.</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(2) Obvestilo iz prvega odstavka tega člena zavod sestavi najkasneje v 30 dneh po prejemu podatkov od finančne uprave, iz katerih je razvidno, da obračun davčnega odtegljaja ni bil predložen.</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 xml:space="preserve">(3) Obvestilo iz prvega odstavka tega člena vsebuje: </w:t>
      </w:r>
    </w:p>
    <w:p w:rsidR="00FE788B" w:rsidRDefault="00FE788B" w:rsidP="00FE788B">
      <w:pPr>
        <w:pStyle w:val="Odstavekseznama"/>
        <w:numPr>
          <w:ilvl w:val="0"/>
          <w:numId w:val="39"/>
        </w:numPr>
        <w:tabs>
          <w:tab w:val="left" w:pos="567"/>
          <w:tab w:val="left" w:pos="993"/>
        </w:tabs>
        <w:spacing w:line="240" w:lineRule="auto"/>
      </w:pPr>
      <w:r>
        <w:t xml:space="preserve">poziv delodajalcu, ki se posreduje preko portala e-Davki, da mora izplačati plačo, v kolikor tega še ni storil, ter posredovati obračun davčnega odtegljaja v skladu s predpisi o davčnem postopku, </w:t>
      </w:r>
    </w:p>
    <w:p w:rsidR="00FE788B" w:rsidRDefault="00FE788B" w:rsidP="00FE788B">
      <w:pPr>
        <w:pStyle w:val="Odstavekseznama"/>
        <w:numPr>
          <w:ilvl w:val="0"/>
          <w:numId w:val="39"/>
        </w:numPr>
        <w:tabs>
          <w:tab w:val="left" w:pos="567"/>
          <w:tab w:val="left" w:pos="993"/>
        </w:tabs>
        <w:spacing w:line="240" w:lineRule="auto"/>
      </w:pPr>
      <w:r>
        <w:t>seznanitev zavarovanca z obdobjem, na katero se nanaša obvestilo iz prvega odstavka tega člena, s posledicami, če delodajalec zanj ne odda obračuna davčnega odtegljaja in ne plača prispevkov za pokojninsko in invalidsko zavarovanje, o možnostih, ki jih ima za zavarovanje svojih pravic, ter poziv zavarovancu, da se izreče o prejemu plače (vključno z njeno višino).</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(4) Obvestilo iz prvega odstavka tega člena zavod v elektronski obliki posreduje tudi finančni upravi in Inšpektoratu Republike Slovenije za delo.</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(5) Ne glede na določbo 133. člena tega zakona se v pokojninsko dobo štejejo tudi obdobja, na katera se nanaša obvestilo iz prvega odstavka tega člena.</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(6) Če finančna uprava v okviru davčnega nadzora, ki ga opravlja v skladu z zakonom, ki ureja davčni postopek, ugotovi, da delodajalec ni predložil obračuna davčnega odtegljaja, ker ni izplačal plače, delodajalcu izreče globo od 3.000 do 20.000 eurov. Z globo od 1.500 do 8.000 evrov se kaznuje manjši delodajalec – pravna oseba, samostojni podjetnik posameznik oziroma posameznik, ki samostojno opravlja dejavnost, če stori prekršek iz prejšnjega stavka. Z globo od 450 do 1.200 eurov se kaznuje delodajalec posameznik, če stori prekršek iz prvega stavka tega odstavka. Z globo od 450 do 2.000 eurov se kaznuje tudi odgovorna oseba delodajalca pravne osebe ter odgovorna oseba v državnem organu ali lokalni skupnosti, če stori prekršek iz prvega stavka tega odstavka.</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(7) Prekrškovni organi za vodenje in odločanje v prekrškovnem postopku o neizplačilu plače se obveščajo o začetih postopkih o prekršku iz prejšnjega odstavka in 27. točke prvega odstavka 217. člena Zakona o delovnih razmerjih (Uradni list RS, št. 21/13, 78/13 – popr., 47/15 – ZZSDT, 33/16 – PZ-F, 52/16 in 15/17 – odl. US).«.</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jc w:val="center"/>
      </w:pPr>
      <w:r>
        <w:t>4. člen</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 xml:space="preserve">V prvi alineji prvega odstavka 153. člena zakona se za besedo »četrtega« doda besedilo »in šestega«. </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jc w:val="center"/>
      </w:pPr>
      <w:r>
        <w:t>PREHODNE IN KONČNA DOLOČBA</w:t>
      </w:r>
    </w:p>
    <w:p w:rsidR="00FE788B" w:rsidRDefault="00FE788B" w:rsidP="00FE788B">
      <w:pPr>
        <w:tabs>
          <w:tab w:val="left" w:pos="567"/>
          <w:tab w:val="left" w:pos="993"/>
        </w:tabs>
        <w:spacing w:line="240" w:lineRule="auto"/>
        <w:jc w:val="center"/>
      </w:pPr>
    </w:p>
    <w:p w:rsidR="00FE788B" w:rsidRDefault="00FE788B" w:rsidP="00FE788B">
      <w:pPr>
        <w:tabs>
          <w:tab w:val="left" w:pos="567"/>
          <w:tab w:val="left" w:pos="993"/>
        </w:tabs>
        <w:spacing w:line="240" w:lineRule="auto"/>
        <w:jc w:val="center"/>
      </w:pPr>
      <w:r>
        <w:t>5. člen</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 xml:space="preserve">(1) Uživalec pokojnine, ki je z upoštevanjem časa prostovoljne vključitve v obvezno zavarovanje do 31. 12. 2012, uveljavil pravico do starostne ali predčasne pokojnine po zakonu, lahko zahteva novo odmero starostne pokojnine oziroma odmero starostne pokojnine namesto predčasne pokojnine z upoštevanjem časa prostovoljne vključitve v obvezno zavarovanje kot pokojninske dobe brez dokupa. Takšno odmero lahko zahteva tudi uživalec delne pokojnine, uživalec sorazmernega dela pokojnine ter zavarovanec, ki se mu izplačuje 20 % pokojnine. </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(2) Uživalcu iz prejšnjega odstavka tega člena, ki vloži zahtevo za novo odmero starostne pokojnine oziroma za odmero starostne pokojnine namesto predčasne pokojnine v šestih mesecih po začetku uporabe tega zakona, se pokojnina odmeri od začetka uporabe tega zakona. Če zahtevo vloži po poteku šestih mesecev od začetka uporabe tega zakona, mu nova pokojnina oziroma izplačilo 20 % pokojnine pripada od prvega dne naslednjega meseca po vložitvi zahteve.</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p>
    <w:p w:rsidR="00BE6800" w:rsidRDefault="00BE6800">
      <w:pPr>
        <w:spacing w:line="240" w:lineRule="auto"/>
        <w:jc w:val="left"/>
      </w:pPr>
      <w:r>
        <w:br w:type="page"/>
      </w:r>
    </w:p>
    <w:p w:rsidR="00FE788B" w:rsidRDefault="00FE788B" w:rsidP="00FE788B">
      <w:pPr>
        <w:tabs>
          <w:tab w:val="left" w:pos="567"/>
          <w:tab w:val="left" w:pos="993"/>
        </w:tabs>
        <w:spacing w:line="240" w:lineRule="auto"/>
        <w:jc w:val="center"/>
      </w:pPr>
      <w:r>
        <w:lastRenderedPageBreak/>
        <w:t>6. člen</w:t>
      </w:r>
    </w:p>
    <w:p w:rsidR="00FE788B" w:rsidRDefault="00FE788B" w:rsidP="00FE788B">
      <w:pPr>
        <w:tabs>
          <w:tab w:val="left" w:pos="567"/>
          <w:tab w:val="left" w:pos="993"/>
        </w:tabs>
        <w:spacing w:line="240" w:lineRule="auto"/>
      </w:pPr>
    </w:p>
    <w:p w:rsidR="00FE788B" w:rsidRDefault="00FE788B" w:rsidP="00FE788B">
      <w:pPr>
        <w:tabs>
          <w:tab w:val="left" w:pos="567"/>
          <w:tab w:val="left" w:pos="993"/>
        </w:tabs>
        <w:spacing w:line="240" w:lineRule="auto"/>
      </w:pPr>
      <w:r>
        <w:tab/>
      </w:r>
      <w:r>
        <w:tab/>
        <w:t>Ta zakon začne veljati naslednji dan po objavi v Uradnem listu Republike Slovenije, uporabljati pa se začne s 1. 1. 2018.</w:t>
      </w:r>
    </w:p>
    <w:p w:rsidR="00FE788B" w:rsidRDefault="00FE788B" w:rsidP="00FE788B">
      <w:pPr>
        <w:tabs>
          <w:tab w:val="left" w:pos="567"/>
          <w:tab w:val="left" w:pos="993"/>
        </w:tabs>
        <w:spacing w:line="240" w:lineRule="auto"/>
      </w:pPr>
    </w:p>
    <w:p w:rsidR="00BE6800" w:rsidRDefault="00BE6800" w:rsidP="00FE788B">
      <w:pPr>
        <w:tabs>
          <w:tab w:val="left" w:pos="567"/>
          <w:tab w:val="left" w:pos="993"/>
        </w:tabs>
        <w:spacing w:line="240" w:lineRule="auto"/>
      </w:pPr>
    </w:p>
    <w:p w:rsidR="00BE6800" w:rsidRDefault="00BE6800" w:rsidP="00FE788B">
      <w:pPr>
        <w:tabs>
          <w:tab w:val="left" w:pos="567"/>
          <w:tab w:val="left" w:pos="993"/>
        </w:tabs>
        <w:spacing w:line="240" w:lineRule="auto"/>
      </w:pPr>
      <w:bookmarkStart w:id="0" w:name="_GoBack"/>
      <w:bookmarkEnd w:id="0"/>
    </w:p>
    <w:p w:rsidR="00BE6800" w:rsidRDefault="00BE6800" w:rsidP="00BE6800">
      <w:pPr>
        <w:tabs>
          <w:tab w:val="left" w:pos="567"/>
          <w:tab w:val="left" w:pos="993"/>
          <w:tab w:val="left" w:pos="6521"/>
        </w:tabs>
        <w:spacing w:line="240" w:lineRule="auto"/>
      </w:pPr>
      <w:r>
        <w:t>Š</w:t>
      </w:r>
      <w:r w:rsidRPr="00FE788B">
        <w:t>tevilka</w:t>
      </w:r>
      <w:r>
        <w:t xml:space="preserve">: </w:t>
      </w:r>
      <w:r w:rsidRPr="00FE788B">
        <w:t>172-01/17-27/</w:t>
      </w:r>
    </w:p>
    <w:p w:rsidR="00BE6800" w:rsidRDefault="00BE6800" w:rsidP="00BE6800">
      <w:pPr>
        <w:tabs>
          <w:tab w:val="left" w:pos="567"/>
          <w:tab w:val="left" w:pos="993"/>
          <w:tab w:val="left" w:pos="6521"/>
        </w:tabs>
        <w:spacing w:line="240" w:lineRule="auto"/>
      </w:pPr>
      <w:r>
        <w:t>Datum: 9. november 2017</w:t>
      </w:r>
    </w:p>
    <w:p w:rsidR="00BE6800" w:rsidRDefault="00BE6800" w:rsidP="00BE6800">
      <w:pPr>
        <w:tabs>
          <w:tab w:val="left" w:pos="567"/>
          <w:tab w:val="left" w:pos="993"/>
          <w:tab w:val="left" w:pos="6521"/>
        </w:tabs>
        <w:spacing w:line="240" w:lineRule="auto"/>
      </w:pPr>
      <w:r>
        <w:t>E</w:t>
      </w:r>
      <w:r w:rsidRPr="00FE788B">
        <w:t>PA</w:t>
      </w:r>
      <w:r>
        <w:t xml:space="preserve"> </w:t>
      </w:r>
      <w:r w:rsidRPr="00FE788B">
        <w:t>2211-VII</w:t>
      </w:r>
    </w:p>
    <w:p w:rsidR="00BE6800" w:rsidRPr="00ED0A8E" w:rsidRDefault="00BE6800" w:rsidP="00BE6800">
      <w:pPr>
        <w:tabs>
          <w:tab w:val="left" w:pos="6521"/>
        </w:tabs>
        <w:rPr>
          <w:szCs w:val="22"/>
        </w:rPr>
      </w:pPr>
      <w:r w:rsidRPr="00ED0A8E">
        <w:rPr>
          <w:szCs w:val="22"/>
        </w:rPr>
        <w:tab/>
        <w:t>Državni zbor</w:t>
      </w:r>
    </w:p>
    <w:p w:rsidR="00BE6800" w:rsidRDefault="00BE6800" w:rsidP="00BE6800">
      <w:pPr>
        <w:tabs>
          <w:tab w:val="left" w:pos="6521"/>
        </w:tabs>
        <w:rPr>
          <w:szCs w:val="22"/>
        </w:rPr>
      </w:pPr>
      <w:r w:rsidRPr="00ED0A8E">
        <w:rPr>
          <w:szCs w:val="22"/>
        </w:rPr>
        <w:tab/>
      </w:r>
      <w:r>
        <w:rPr>
          <w:szCs w:val="22"/>
        </w:rPr>
        <w:t>dr. Milan Brglez</w:t>
      </w:r>
    </w:p>
    <w:p w:rsidR="00BE6800" w:rsidRPr="00FE788B" w:rsidRDefault="00BE6800" w:rsidP="00BE6800">
      <w:pPr>
        <w:tabs>
          <w:tab w:val="left" w:pos="6521"/>
        </w:tabs>
      </w:pPr>
      <w:r w:rsidRPr="00ED0A8E">
        <w:rPr>
          <w:szCs w:val="22"/>
        </w:rPr>
        <w:tab/>
        <w:t>predsednik</w:t>
      </w:r>
    </w:p>
    <w:sectPr w:rsidR="00BE6800" w:rsidRPr="00FE788B"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altName w:val="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E6800">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68C0203"/>
    <w:multiLevelType w:val="hybridMultilevel"/>
    <w:tmpl w:val="DB04C6E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71BB6557"/>
    <w:multiLevelType w:val="hybridMultilevel"/>
    <w:tmpl w:val="8EFCD046"/>
    <w:lvl w:ilvl="0" w:tplc="3F180C8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6"/>
  </w:num>
  <w:num w:numId="3">
    <w:abstractNumId w:val="8"/>
  </w:num>
  <w:num w:numId="4">
    <w:abstractNumId w:val="11"/>
  </w:num>
  <w:num w:numId="5">
    <w:abstractNumId w:val="10"/>
  </w:num>
  <w:num w:numId="6">
    <w:abstractNumId w:val="20"/>
  </w:num>
  <w:num w:numId="7">
    <w:abstractNumId w:val="29"/>
  </w:num>
  <w:num w:numId="8">
    <w:abstractNumId w:val="18"/>
  </w:num>
  <w:num w:numId="9">
    <w:abstractNumId w:val="34"/>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3"/>
  </w:num>
  <w:num w:numId="25">
    <w:abstractNumId w:val="6"/>
  </w:num>
  <w:num w:numId="26">
    <w:abstractNumId w:val="19"/>
  </w:num>
  <w:num w:numId="27">
    <w:abstractNumId w:val="23"/>
  </w:num>
  <w:num w:numId="28">
    <w:abstractNumId w:val="37"/>
  </w:num>
  <w:num w:numId="29">
    <w:abstractNumId w:val="12"/>
  </w:num>
  <w:num w:numId="30">
    <w:abstractNumId w:val="27"/>
  </w:num>
  <w:num w:numId="31">
    <w:abstractNumId w:val="28"/>
  </w:num>
  <w:num w:numId="32">
    <w:abstractNumId w:val="26"/>
  </w:num>
  <w:num w:numId="33">
    <w:abstractNumId w:val="32"/>
  </w:num>
  <w:num w:numId="34">
    <w:abstractNumId w:val="4"/>
  </w:num>
  <w:num w:numId="35">
    <w:abstractNumId w:val="13"/>
  </w:num>
  <w:num w:numId="36">
    <w:abstractNumId w:val="9"/>
  </w:num>
  <w:num w:numId="37">
    <w:abstractNumId w:val="35"/>
  </w:num>
  <w:num w:numId="38">
    <w:abstractNumId w:val="31"/>
  </w:num>
  <w:num w:numId="39">
    <w:abstractNumId w:val="3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0FBC"/>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4DA"/>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BE6800"/>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E788B"/>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13</TotalTime>
  <Pages>3</Pages>
  <Words>758</Words>
  <Characters>4335</Characters>
  <Application>Microsoft Office Word</Application>
  <DocSecurity>0</DocSecurity>
  <Lines>36</Lines>
  <Paragraphs>10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2017-11-10T07:01:00Z</cp:lastPrinted>
  <dcterms:created xsi:type="dcterms:W3CDTF">2017-11-06T08:56:00Z</dcterms:created>
  <dcterms:modified xsi:type="dcterms:W3CDTF">2017-11-16T12:12:00Z</dcterms:modified>
</cp:coreProperties>
</file>