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2B8F" w:rsidRDefault="00A62B8F" w:rsidP="00290222">
      <w:pPr>
        <w:tabs>
          <w:tab w:val="left" w:pos="567"/>
          <w:tab w:val="left" w:pos="993"/>
        </w:tabs>
        <w:spacing w:line="240" w:lineRule="auto"/>
        <w:rPr>
          <w:rFonts w:cs="Arial"/>
          <w:color w:val="000000"/>
          <w:szCs w:val="22"/>
        </w:rPr>
      </w:pPr>
      <w:bookmarkStart w:id="0" w:name="_GoBack"/>
      <w:bookmarkEnd w:id="0"/>
    </w:p>
    <w:p w:rsidR="00290222" w:rsidRPr="00290222" w:rsidRDefault="00290222" w:rsidP="00290222">
      <w:pPr>
        <w:tabs>
          <w:tab w:val="left" w:pos="567"/>
          <w:tab w:val="left" w:pos="993"/>
        </w:tabs>
        <w:spacing w:line="240" w:lineRule="auto"/>
        <w:jc w:val="center"/>
        <w:rPr>
          <w:rFonts w:cs="Arial"/>
          <w:b/>
          <w:spacing w:val="54"/>
          <w:szCs w:val="22"/>
        </w:rPr>
      </w:pPr>
      <w:r w:rsidRPr="00290222">
        <w:rPr>
          <w:rFonts w:cs="Arial"/>
          <w:b/>
          <w:spacing w:val="54"/>
          <w:szCs w:val="22"/>
        </w:rPr>
        <w:t>ZAKON</w:t>
      </w:r>
    </w:p>
    <w:p w:rsidR="00290222" w:rsidRDefault="00290222" w:rsidP="00290222">
      <w:pPr>
        <w:tabs>
          <w:tab w:val="left" w:pos="567"/>
          <w:tab w:val="left" w:pos="993"/>
        </w:tabs>
        <w:spacing w:line="240" w:lineRule="auto"/>
        <w:jc w:val="center"/>
        <w:rPr>
          <w:rFonts w:cs="Arial"/>
          <w:b/>
          <w:szCs w:val="22"/>
        </w:rPr>
      </w:pPr>
    </w:p>
    <w:p w:rsidR="00290222" w:rsidRDefault="00290222" w:rsidP="00290222">
      <w:pPr>
        <w:tabs>
          <w:tab w:val="left" w:pos="567"/>
          <w:tab w:val="left" w:pos="993"/>
        </w:tabs>
        <w:spacing w:line="240" w:lineRule="auto"/>
        <w:jc w:val="center"/>
        <w:rPr>
          <w:rFonts w:cs="Arial"/>
          <w:b/>
          <w:color w:val="000000"/>
          <w:szCs w:val="22"/>
        </w:rPr>
      </w:pPr>
      <w:r w:rsidRPr="00290222">
        <w:rPr>
          <w:rFonts w:cs="Arial"/>
          <w:b/>
          <w:szCs w:val="22"/>
        </w:rPr>
        <w:t xml:space="preserve">O </w:t>
      </w:r>
      <w:r w:rsidRPr="00290222">
        <w:rPr>
          <w:rFonts w:cs="Arial"/>
          <w:b/>
          <w:color w:val="000000"/>
          <w:szCs w:val="22"/>
        </w:rPr>
        <w:t>SPREMEMB</w:t>
      </w:r>
      <w:r w:rsidR="00A23B49">
        <w:rPr>
          <w:rFonts w:cs="Arial"/>
          <w:b/>
          <w:color w:val="000000"/>
          <w:szCs w:val="22"/>
        </w:rPr>
        <w:t xml:space="preserve">AH </w:t>
      </w:r>
      <w:r w:rsidRPr="00290222">
        <w:rPr>
          <w:rFonts w:cs="Arial"/>
          <w:b/>
          <w:color w:val="000000"/>
          <w:szCs w:val="22"/>
        </w:rPr>
        <w:t>ZAKONA O UGOTAVLJANJU</w:t>
      </w:r>
    </w:p>
    <w:p w:rsidR="00290222" w:rsidRPr="00290222" w:rsidRDefault="00290222" w:rsidP="00290222">
      <w:pPr>
        <w:tabs>
          <w:tab w:val="left" w:pos="567"/>
          <w:tab w:val="left" w:pos="993"/>
        </w:tabs>
        <w:spacing w:line="240" w:lineRule="auto"/>
        <w:jc w:val="center"/>
        <w:rPr>
          <w:rFonts w:cs="Arial"/>
          <w:b/>
          <w:color w:val="000000"/>
          <w:szCs w:val="22"/>
        </w:rPr>
      </w:pPr>
      <w:r w:rsidRPr="00290222">
        <w:rPr>
          <w:rFonts w:cs="Arial"/>
          <w:b/>
          <w:color w:val="000000"/>
          <w:szCs w:val="22"/>
        </w:rPr>
        <w:t>KATASTRSKEGA DOHODKA (ZUKD-1C)</w:t>
      </w:r>
    </w:p>
    <w:p w:rsidR="00290222" w:rsidRDefault="00290222" w:rsidP="00A62B8F">
      <w:pPr>
        <w:tabs>
          <w:tab w:val="left" w:pos="567"/>
          <w:tab w:val="left" w:pos="993"/>
        </w:tabs>
        <w:spacing w:line="240" w:lineRule="auto"/>
        <w:rPr>
          <w:rFonts w:cs="Arial"/>
          <w:szCs w:val="22"/>
        </w:rPr>
      </w:pPr>
    </w:p>
    <w:p w:rsidR="00665A9B" w:rsidRPr="00A62B8F" w:rsidRDefault="00665A9B" w:rsidP="00A62B8F">
      <w:pPr>
        <w:tabs>
          <w:tab w:val="left" w:pos="567"/>
          <w:tab w:val="left" w:pos="993"/>
        </w:tabs>
        <w:spacing w:line="240" w:lineRule="auto"/>
        <w:rPr>
          <w:rFonts w:cs="Arial"/>
          <w:szCs w:val="22"/>
        </w:rPr>
      </w:pPr>
    </w:p>
    <w:p w:rsidR="00290222" w:rsidRPr="00A62B8F" w:rsidRDefault="00290222" w:rsidP="00A62B8F">
      <w:pPr>
        <w:tabs>
          <w:tab w:val="left" w:pos="567"/>
          <w:tab w:val="left" w:pos="993"/>
        </w:tabs>
        <w:spacing w:line="240" w:lineRule="auto"/>
        <w:rPr>
          <w:rFonts w:cs="Arial"/>
          <w:color w:val="000000"/>
          <w:szCs w:val="22"/>
        </w:rPr>
      </w:pPr>
    </w:p>
    <w:p w:rsidR="00A62B8F" w:rsidRPr="00A62B8F" w:rsidRDefault="00A62B8F" w:rsidP="00A62B8F">
      <w:pPr>
        <w:tabs>
          <w:tab w:val="left" w:pos="567"/>
          <w:tab w:val="left" w:pos="993"/>
        </w:tabs>
        <w:jc w:val="center"/>
        <w:rPr>
          <w:rFonts w:cs="Arial"/>
          <w:color w:val="000000"/>
          <w:szCs w:val="22"/>
        </w:rPr>
      </w:pPr>
      <w:r w:rsidRPr="00A62B8F">
        <w:rPr>
          <w:rFonts w:cs="Arial"/>
          <w:color w:val="000000"/>
          <w:szCs w:val="22"/>
        </w:rPr>
        <w:t>1. člen</w:t>
      </w:r>
    </w:p>
    <w:p w:rsidR="00A62B8F" w:rsidRPr="00A62B8F" w:rsidRDefault="00A62B8F" w:rsidP="00A62B8F">
      <w:pPr>
        <w:tabs>
          <w:tab w:val="left" w:pos="567"/>
          <w:tab w:val="left" w:pos="993"/>
        </w:tabs>
        <w:overflowPunct w:val="0"/>
        <w:autoSpaceDE w:val="0"/>
        <w:autoSpaceDN w:val="0"/>
        <w:adjustRightInd w:val="0"/>
        <w:spacing w:line="240" w:lineRule="auto"/>
        <w:rPr>
          <w:rFonts w:cs="Arial"/>
          <w:color w:val="000000"/>
          <w:szCs w:val="22"/>
          <w:lang w:val="x-none"/>
        </w:rPr>
      </w:pPr>
    </w:p>
    <w:p w:rsidR="00A62B8F" w:rsidRPr="00A62B8F" w:rsidRDefault="00A62B8F" w:rsidP="00A62B8F">
      <w:pPr>
        <w:tabs>
          <w:tab w:val="left" w:pos="567"/>
          <w:tab w:val="left" w:pos="993"/>
        </w:tabs>
        <w:autoSpaceDE w:val="0"/>
        <w:autoSpaceDN w:val="0"/>
        <w:adjustRightInd w:val="0"/>
        <w:spacing w:after="120"/>
        <w:rPr>
          <w:rFonts w:cs="Arial"/>
          <w:color w:val="000000"/>
          <w:szCs w:val="22"/>
        </w:rPr>
      </w:pPr>
      <w:r>
        <w:rPr>
          <w:rFonts w:cs="Arial"/>
          <w:color w:val="000000"/>
          <w:szCs w:val="22"/>
        </w:rPr>
        <w:tab/>
      </w:r>
      <w:r>
        <w:rPr>
          <w:rFonts w:cs="Arial"/>
          <w:color w:val="000000"/>
          <w:szCs w:val="22"/>
        </w:rPr>
        <w:tab/>
      </w:r>
      <w:r w:rsidRPr="00A62B8F">
        <w:rPr>
          <w:rFonts w:cs="Arial"/>
          <w:color w:val="000000"/>
          <w:szCs w:val="22"/>
        </w:rPr>
        <w:t>V Zakonu o ugotavljanju katastrskega dohodka (Uradni list RS, št. 9/11,</w:t>
      </w:r>
      <w:r>
        <w:rPr>
          <w:rFonts w:cs="Arial"/>
          <w:color w:val="000000"/>
          <w:szCs w:val="22"/>
        </w:rPr>
        <w:t xml:space="preserve"> </w:t>
      </w:r>
      <w:r w:rsidRPr="00A62B8F">
        <w:rPr>
          <w:rFonts w:cs="Arial"/>
          <w:color w:val="000000"/>
          <w:szCs w:val="22"/>
        </w:rPr>
        <w:t>47/12</w:t>
      </w:r>
      <w:r>
        <w:rPr>
          <w:rFonts w:cs="Arial"/>
          <w:color w:val="000000"/>
          <w:szCs w:val="22"/>
        </w:rPr>
        <w:t xml:space="preserve"> in </w:t>
      </w:r>
      <w:r w:rsidRPr="00A62B8F">
        <w:rPr>
          <w:rFonts w:cs="Arial"/>
          <w:color w:val="000000"/>
          <w:szCs w:val="22"/>
        </w:rPr>
        <w:t>55/13) se v prvem odstavku 9. člena beseda »pet« nadomesti z besedo »tri«.</w:t>
      </w:r>
    </w:p>
    <w:p w:rsidR="00A62B8F" w:rsidRPr="00A62B8F" w:rsidRDefault="00A62B8F" w:rsidP="00A62B8F">
      <w:pPr>
        <w:tabs>
          <w:tab w:val="left" w:pos="567"/>
          <w:tab w:val="left" w:pos="993"/>
        </w:tabs>
        <w:rPr>
          <w:rFonts w:cs="Arial"/>
          <w:color w:val="000000"/>
          <w:szCs w:val="22"/>
        </w:rPr>
      </w:pPr>
    </w:p>
    <w:p w:rsidR="00A62B8F" w:rsidRPr="00A62B8F" w:rsidRDefault="00A62B8F" w:rsidP="00A62B8F">
      <w:pPr>
        <w:tabs>
          <w:tab w:val="left" w:pos="567"/>
          <w:tab w:val="left" w:pos="993"/>
        </w:tabs>
        <w:suppressAutoHyphens/>
        <w:overflowPunct w:val="0"/>
        <w:autoSpaceDE w:val="0"/>
        <w:autoSpaceDN w:val="0"/>
        <w:adjustRightInd w:val="0"/>
        <w:jc w:val="center"/>
        <w:textAlignment w:val="baseline"/>
        <w:outlineLvl w:val="3"/>
        <w:rPr>
          <w:rFonts w:cs="Arial"/>
          <w:szCs w:val="22"/>
          <w:lang w:eastAsia="sl-SI"/>
        </w:rPr>
      </w:pPr>
      <w:r w:rsidRPr="00A62B8F">
        <w:rPr>
          <w:rFonts w:cs="Arial"/>
          <w:szCs w:val="22"/>
          <w:lang w:eastAsia="sl-SI"/>
        </w:rPr>
        <w:t>2. člen</w:t>
      </w:r>
    </w:p>
    <w:p w:rsidR="00A62B8F" w:rsidRPr="00A62B8F" w:rsidRDefault="00A62B8F" w:rsidP="00A62B8F">
      <w:pPr>
        <w:tabs>
          <w:tab w:val="left" w:pos="567"/>
          <w:tab w:val="left" w:pos="993"/>
        </w:tabs>
        <w:suppressAutoHyphens/>
        <w:overflowPunct w:val="0"/>
        <w:autoSpaceDE w:val="0"/>
        <w:autoSpaceDN w:val="0"/>
        <w:adjustRightInd w:val="0"/>
        <w:textAlignment w:val="baseline"/>
        <w:outlineLvl w:val="3"/>
        <w:rPr>
          <w:rFonts w:cs="Arial"/>
          <w:szCs w:val="22"/>
          <w:lang w:eastAsia="sl-SI"/>
        </w:rPr>
      </w:pPr>
    </w:p>
    <w:p w:rsidR="00A62B8F" w:rsidRPr="00A62B8F" w:rsidRDefault="00A62B8F" w:rsidP="00A62B8F">
      <w:pPr>
        <w:tabs>
          <w:tab w:val="left" w:pos="567"/>
          <w:tab w:val="left" w:pos="993"/>
        </w:tabs>
        <w:suppressAutoHyphens/>
        <w:overflowPunct w:val="0"/>
        <w:autoSpaceDE w:val="0"/>
        <w:autoSpaceDN w:val="0"/>
        <w:adjustRightInd w:val="0"/>
        <w:textAlignment w:val="baseline"/>
        <w:outlineLvl w:val="3"/>
        <w:rPr>
          <w:rFonts w:cs="Arial"/>
          <w:szCs w:val="22"/>
          <w:lang w:eastAsia="sl-SI"/>
        </w:rPr>
      </w:pPr>
      <w:r>
        <w:rPr>
          <w:rFonts w:cs="Arial"/>
          <w:szCs w:val="22"/>
          <w:lang w:eastAsia="sl-SI"/>
        </w:rPr>
        <w:tab/>
      </w:r>
      <w:r>
        <w:rPr>
          <w:rFonts w:cs="Arial"/>
          <w:szCs w:val="22"/>
          <w:lang w:eastAsia="sl-SI"/>
        </w:rPr>
        <w:tab/>
      </w:r>
      <w:r w:rsidRPr="00A62B8F">
        <w:rPr>
          <w:rFonts w:cs="Arial"/>
          <w:szCs w:val="22"/>
          <w:lang w:eastAsia="sl-SI"/>
        </w:rPr>
        <w:t>15. člen</w:t>
      </w:r>
      <w:r w:rsidR="00424381">
        <w:rPr>
          <w:rFonts w:cs="Arial"/>
          <w:szCs w:val="22"/>
          <w:lang w:eastAsia="sl-SI"/>
        </w:rPr>
        <w:t xml:space="preserve"> </w:t>
      </w:r>
      <w:r w:rsidRPr="00A62B8F">
        <w:rPr>
          <w:rFonts w:cs="Arial"/>
          <w:szCs w:val="22"/>
          <w:lang w:eastAsia="sl-SI"/>
        </w:rPr>
        <w:t xml:space="preserve">se spremeni tako, da se glasi: </w:t>
      </w:r>
    </w:p>
    <w:p w:rsidR="00A62B8F" w:rsidRPr="00A62B8F" w:rsidRDefault="00A62B8F" w:rsidP="00A62B8F">
      <w:pPr>
        <w:tabs>
          <w:tab w:val="left" w:pos="567"/>
          <w:tab w:val="left" w:pos="993"/>
        </w:tabs>
        <w:suppressAutoHyphens/>
        <w:overflowPunct w:val="0"/>
        <w:autoSpaceDE w:val="0"/>
        <w:autoSpaceDN w:val="0"/>
        <w:adjustRightInd w:val="0"/>
        <w:textAlignment w:val="baseline"/>
        <w:outlineLvl w:val="3"/>
        <w:rPr>
          <w:rFonts w:cs="Arial"/>
          <w:szCs w:val="22"/>
          <w:lang w:eastAsia="sl-SI"/>
        </w:rPr>
      </w:pPr>
    </w:p>
    <w:p w:rsidR="00A62B8F" w:rsidRPr="00A62B8F" w:rsidRDefault="00A62B8F" w:rsidP="00A62B8F">
      <w:pPr>
        <w:tabs>
          <w:tab w:val="left" w:pos="567"/>
          <w:tab w:val="left" w:pos="993"/>
        </w:tabs>
        <w:suppressAutoHyphens/>
        <w:overflowPunct w:val="0"/>
        <w:autoSpaceDE w:val="0"/>
        <w:autoSpaceDN w:val="0"/>
        <w:adjustRightInd w:val="0"/>
        <w:jc w:val="center"/>
        <w:textAlignment w:val="baseline"/>
        <w:outlineLvl w:val="3"/>
        <w:rPr>
          <w:rFonts w:cs="Arial"/>
          <w:szCs w:val="22"/>
          <w:lang w:eastAsia="sl-SI"/>
        </w:rPr>
      </w:pPr>
      <w:r w:rsidRPr="00A62B8F">
        <w:rPr>
          <w:rFonts w:cs="Arial"/>
          <w:szCs w:val="22"/>
          <w:lang w:eastAsia="sl-SI"/>
        </w:rPr>
        <w:t>»15. člen</w:t>
      </w:r>
    </w:p>
    <w:p w:rsidR="00A62B8F" w:rsidRDefault="00A62B8F" w:rsidP="00A62B8F">
      <w:pPr>
        <w:tabs>
          <w:tab w:val="left" w:pos="567"/>
          <w:tab w:val="left" w:pos="993"/>
        </w:tabs>
        <w:suppressAutoHyphens/>
        <w:overflowPunct w:val="0"/>
        <w:autoSpaceDE w:val="0"/>
        <w:autoSpaceDN w:val="0"/>
        <w:adjustRightInd w:val="0"/>
        <w:jc w:val="center"/>
        <w:textAlignment w:val="baseline"/>
        <w:outlineLvl w:val="3"/>
        <w:rPr>
          <w:rFonts w:cs="Arial"/>
          <w:szCs w:val="22"/>
          <w:lang w:eastAsia="sl-SI"/>
        </w:rPr>
      </w:pPr>
      <w:r w:rsidRPr="00A62B8F">
        <w:rPr>
          <w:rFonts w:cs="Arial"/>
          <w:szCs w:val="22"/>
          <w:lang w:eastAsia="sl-SI"/>
        </w:rPr>
        <w:t>(določitev katastrskega dohodka in pavšalne ocene dohodka na panj</w:t>
      </w:r>
    </w:p>
    <w:p w:rsidR="00A62B8F" w:rsidRPr="00A62B8F" w:rsidRDefault="00A62B8F" w:rsidP="00A62B8F">
      <w:pPr>
        <w:tabs>
          <w:tab w:val="left" w:pos="567"/>
          <w:tab w:val="left" w:pos="993"/>
        </w:tabs>
        <w:suppressAutoHyphens/>
        <w:overflowPunct w:val="0"/>
        <w:autoSpaceDE w:val="0"/>
        <w:autoSpaceDN w:val="0"/>
        <w:adjustRightInd w:val="0"/>
        <w:jc w:val="center"/>
        <w:textAlignment w:val="baseline"/>
        <w:outlineLvl w:val="3"/>
        <w:rPr>
          <w:rFonts w:cs="Arial"/>
          <w:szCs w:val="22"/>
          <w:lang w:eastAsia="sl-SI"/>
        </w:rPr>
      </w:pPr>
      <w:r w:rsidRPr="00A62B8F">
        <w:rPr>
          <w:rFonts w:cs="Arial"/>
          <w:szCs w:val="22"/>
          <w:lang w:eastAsia="sl-SI"/>
        </w:rPr>
        <w:t>za leto 2014, 2015 in 2016)</w:t>
      </w:r>
    </w:p>
    <w:p w:rsidR="00A62B8F" w:rsidRPr="00A62B8F" w:rsidRDefault="00A62B8F" w:rsidP="00A62B8F">
      <w:pPr>
        <w:tabs>
          <w:tab w:val="left" w:pos="567"/>
          <w:tab w:val="left" w:pos="993"/>
        </w:tabs>
        <w:suppressAutoHyphens/>
        <w:overflowPunct w:val="0"/>
        <w:autoSpaceDE w:val="0"/>
        <w:autoSpaceDN w:val="0"/>
        <w:adjustRightInd w:val="0"/>
        <w:textAlignment w:val="baseline"/>
        <w:outlineLvl w:val="3"/>
        <w:rPr>
          <w:rFonts w:cs="Arial"/>
          <w:szCs w:val="22"/>
          <w:lang w:eastAsia="sl-SI"/>
        </w:rPr>
      </w:pPr>
    </w:p>
    <w:p w:rsidR="00A62B8F" w:rsidRPr="00A62B8F" w:rsidRDefault="00A62B8F" w:rsidP="00A62B8F">
      <w:pPr>
        <w:tabs>
          <w:tab w:val="left" w:pos="567"/>
          <w:tab w:val="left" w:pos="993"/>
        </w:tabs>
        <w:suppressAutoHyphens/>
        <w:overflowPunct w:val="0"/>
        <w:autoSpaceDE w:val="0"/>
        <w:autoSpaceDN w:val="0"/>
        <w:adjustRightInd w:val="0"/>
        <w:outlineLvl w:val="3"/>
        <w:rPr>
          <w:rFonts w:cs="Arial"/>
          <w:bCs/>
          <w:szCs w:val="22"/>
          <w:lang w:eastAsia="sl-SI"/>
        </w:rPr>
      </w:pPr>
      <w:r>
        <w:rPr>
          <w:rFonts w:cs="Arial"/>
          <w:bCs/>
          <w:szCs w:val="22"/>
          <w:lang w:eastAsia="sl-SI"/>
        </w:rPr>
        <w:tab/>
      </w:r>
      <w:r>
        <w:rPr>
          <w:rFonts w:cs="Arial"/>
          <w:bCs/>
          <w:szCs w:val="22"/>
          <w:lang w:eastAsia="sl-SI"/>
        </w:rPr>
        <w:tab/>
      </w:r>
      <w:r w:rsidRPr="00A62B8F">
        <w:rPr>
          <w:rFonts w:cs="Arial"/>
          <w:bCs/>
          <w:szCs w:val="22"/>
          <w:lang w:eastAsia="sl-SI"/>
        </w:rPr>
        <w:t>(1) Ne glede na 5. in 6. člen zakona se katastrski dohodek za kmetijske in gozdne parcele za leto 2014, 2015 in 2016 določi in pripiše v višini katastrskega dohodka, pripisanega posamezni kmetijski in gozdni parceli na dan 31. avgusta 2013.</w:t>
      </w:r>
    </w:p>
    <w:p w:rsidR="00A62B8F" w:rsidRPr="00A62B8F" w:rsidRDefault="00A62B8F" w:rsidP="00A62B8F">
      <w:pPr>
        <w:tabs>
          <w:tab w:val="left" w:pos="567"/>
          <w:tab w:val="left" w:pos="993"/>
        </w:tabs>
        <w:suppressAutoHyphens/>
        <w:overflowPunct w:val="0"/>
        <w:autoSpaceDE w:val="0"/>
        <w:autoSpaceDN w:val="0"/>
        <w:adjustRightInd w:val="0"/>
        <w:outlineLvl w:val="3"/>
        <w:rPr>
          <w:rFonts w:cs="Arial"/>
          <w:bCs/>
          <w:szCs w:val="22"/>
          <w:lang w:eastAsia="sl-SI"/>
        </w:rPr>
      </w:pPr>
    </w:p>
    <w:p w:rsidR="00A62B8F" w:rsidRPr="00A62B8F" w:rsidRDefault="00A62B8F" w:rsidP="00A62B8F">
      <w:pPr>
        <w:tabs>
          <w:tab w:val="left" w:pos="567"/>
          <w:tab w:val="left" w:pos="993"/>
        </w:tabs>
        <w:suppressAutoHyphens/>
        <w:overflowPunct w:val="0"/>
        <w:autoSpaceDE w:val="0"/>
        <w:autoSpaceDN w:val="0"/>
        <w:adjustRightInd w:val="0"/>
        <w:outlineLvl w:val="3"/>
        <w:rPr>
          <w:rFonts w:cs="Arial"/>
          <w:szCs w:val="22"/>
          <w:lang w:eastAsia="sl-SI"/>
        </w:rPr>
      </w:pPr>
      <w:r>
        <w:rPr>
          <w:rFonts w:cs="Arial"/>
          <w:szCs w:val="22"/>
          <w:lang w:eastAsia="sl-SI"/>
        </w:rPr>
        <w:tab/>
      </w:r>
      <w:r>
        <w:rPr>
          <w:rFonts w:cs="Arial"/>
          <w:szCs w:val="22"/>
          <w:lang w:eastAsia="sl-SI"/>
        </w:rPr>
        <w:tab/>
      </w:r>
      <w:r w:rsidRPr="00A62B8F">
        <w:rPr>
          <w:rFonts w:cs="Arial"/>
          <w:szCs w:val="22"/>
          <w:lang w:eastAsia="sl-SI"/>
        </w:rPr>
        <w:t>(2) Za novo nastale kmetijske in gozdne parcele, za kmetijske in gozdne parcele, katerim se je spremenila vrsta dejanske rabe in za kmetijske in gozdne parcele, katerim se je spremenil delež dejanske  rabe za več kot 50 odstotkov glede na površino parcele, po 31. avgustu 2013, se za leto 2014, 2015 in 2016 določi in pripiše katastrski dohodek glede na vrsto dejanske rabe in bonitetne točke za kmetijska zemljišča oziroma rastiščni koeficient za gozdna zemljišča po naslednji enačbi:</w:t>
      </w:r>
    </w:p>
    <w:p w:rsidR="00A62B8F" w:rsidRPr="00A62B8F" w:rsidRDefault="00A62B8F" w:rsidP="00A62B8F">
      <w:pPr>
        <w:tabs>
          <w:tab w:val="left" w:pos="567"/>
          <w:tab w:val="left" w:pos="993"/>
        </w:tabs>
        <w:suppressAutoHyphens/>
        <w:overflowPunct w:val="0"/>
        <w:autoSpaceDE w:val="0"/>
        <w:autoSpaceDN w:val="0"/>
        <w:adjustRightInd w:val="0"/>
        <w:outlineLvl w:val="3"/>
        <w:rPr>
          <w:rFonts w:cs="Arial"/>
          <w:szCs w:val="22"/>
          <w:lang w:eastAsia="sl-SI"/>
        </w:rPr>
      </w:pPr>
    </w:p>
    <w:p w:rsidR="00A62B8F" w:rsidRPr="00A62B8F" w:rsidRDefault="00A62B8F" w:rsidP="00A62B8F">
      <w:pPr>
        <w:tabs>
          <w:tab w:val="left" w:pos="567"/>
          <w:tab w:val="left" w:pos="993"/>
        </w:tabs>
        <w:suppressAutoHyphens/>
        <w:overflowPunct w:val="0"/>
        <w:autoSpaceDE w:val="0"/>
        <w:autoSpaceDN w:val="0"/>
        <w:adjustRightInd w:val="0"/>
        <w:outlineLvl w:val="3"/>
        <w:rPr>
          <w:rFonts w:cs="Arial"/>
          <w:szCs w:val="22"/>
          <w:lang w:eastAsia="sl-SI"/>
        </w:rPr>
      </w:pPr>
      <w:r w:rsidRPr="00A62B8F">
        <w:rPr>
          <w:rFonts w:cs="Arial"/>
          <w:szCs w:val="22"/>
          <w:lang w:eastAsia="sl-SI"/>
        </w:rPr>
        <w:t>za kmetijska zemljišča:</w:t>
      </w:r>
    </w:p>
    <w:p w:rsidR="00A62B8F" w:rsidRPr="00A62B8F" w:rsidRDefault="00A62B8F" w:rsidP="00A62B8F">
      <w:pPr>
        <w:tabs>
          <w:tab w:val="left" w:pos="567"/>
          <w:tab w:val="left" w:pos="993"/>
        </w:tabs>
        <w:suppressAutoHyphens/>
        <w:overflowPunct w:val="0"/>
        <w:autoSpaceDE w:val="0"/>
        <w:autoSpaceDN w:val="0"/>
        <w:adjustRightInd w:val="0"/>
        <w:outlineLvl w:val="3"/>
        <w:rPr>
          <w:rFonts w:cs="Arial"/>
          <w:bCs/>
          <w:sz w:val="20"/>
          <w:szCs w:val="20"/>
          <w:lang w:eastAsia="sl-SI"/>
        </w:rPr>
      </w:pPr>
      <w:r w:rsidRPr="00A62B8F">
        <w:rPr>
          <w:rFonts w:cs="Arial"/>
          <w:bCs/>
          <w:sz w:val="20"/>
          <w:szCs w:val="20"/>
          <w:lang w:eastAsia="sl-SI"/>
        </w:rPr>
        <w:t>katastrski dohodek parcele = (povprečni katastrski dohodek/50) x bonitetne točke x površina</w:t>
      </w:r>
    </w:p>
    <w:p w:rsidR="00A62B8F" w:rsidRDefault="00A62B8F" w:rsidP="00A62B8F">
      <w:pPr>
        <w:tabs>
          <w:tab w:val="left" w:pos="567"/>
          <w:tab w:val="left" w:pos="993"/>
        </w:tabs>
        <w:suppressAutoHyphens/>
        <w:overflowPunct w:val="0"/>
        <w:autoSpaceDE w:val="0"/>
        <w:autoSpaceDN w:val="0"/>
        <w:adjustRightInd w:val="0"/>
        <w:outlineLvl w:val="3"/>
        <w:rPr>
          <w:rFonts w:cs="Arial"/>
          <w:bCs/>
          <w:szCs w:val="22"/>
          <w:lang w:eastAsia="sl-SI"/>
        </w:rPr>
      </w:pPr>
    </w:p>
    <w:p w:rsidR="00A62B8F" w:rsidRPr="00A62B8F" w:rsidRDefault="00A62B8F" w:rsidP="00A62B8F">
      <w:pPr>
        <w:tabs>
          <w:tab w:val="left" w:pos="567"/>
          <w:tab w:val="left" w:pos="993"/>
        </w:tabs>
        <w:suppressAutoHyphens/>
        <w:overflowPunct w:val="0"/>
        <w:autoSpaceDE w:val="0"/>
        <w:autoSpaceDN w:val="0"/>
        <w:adjustRightInd w:val="0"/>
        <w:outlineLvl w:val="3"/>
        <w:rPr>
          <w:rFonts w:cs="Arial"/>
          <w:szCs w:val="22"/>
          <w:lang w:eastAsia="sl-SI"/>
        </w:rPr>
      </w:pPr>
      <w:r w:rsidRPr="00A62B8F">
        <w:rPr>
          <w:rFonts w:cs="Arial"/>
          <w:bCs/>
          <w:szCs w:val="22"/>
          <w:lang w:eastAsia="sl-SI"/>
        </w:rPr>
        <w:t>za g</w:t>
      </w:r>
      <w:r w:rsidRPr="00A62B8F">
        <w:rPr>
          <w:rFonts w:cs="Arial"/>
          <w:szCs w:val="22"/>
          <w:lang w:eastAsia="sl-SI"/>
        </w:rPr>
        <w:t>ozdna zemljišča:</w:t>
      </w:r>
    </w:p>
    <w:p w:rsidR="00A62B8F" w:rsidRPr="00A62B8F" w:rsidRDefault="00A62B8F" w:rsidP="00A62B8F">
      <w:pPr>
        <w:tabs>
          <w:tab w:val="left" w:pos="567"/>
          <w:tab w:val="left" w:pos="993"/>
        </w:tabs>
        <w:suppressAutoHyphens/>
        <w:overflowPunct w:val="0"/>
        <w:autoSpaceDE w:val="0"/>
        <w:autoSpaceDN w:val="0"/>
        <w:adjustRightInd w:val="0"/>
        <w:outlineLvl w:val="3"/>
        <w:rPr>
          <w:rFonts w:cs="Arial"/>
          <w:bCs/>
          <w:sz w:val="20"/>
          <w:szCs w:val="20"/>
          <w:lang w:eastAsia="sl-SI"/>
        </w:rPr>
      </w:pPr>
      <w:r w:rsidRPr="00A62B8F">
        <w:rPr>
          <w:rFonts w:cs="Arial"/>
          <w:bCs/>
          <w:sz w:val="20"/>
          <w:szCs w:val="20"/>
          <w:lang w:eastAsia="sl-SI"/>
        </w:rPr>
        <w:t xml:space="preserve">katastrski dohodek parcele = (povprečni katastrski dohodek/8) x rastiščni koeficient x površina </w:t>
      </w:r>
    </w:p>
    <w:p w:rsidR="00A62B8F" w:rsidRPr="00A62B8F" w:rsidRDefault="00A62B8F" w:rsidP="00A62B8F">
      <w:pPr>
        <w:tabs>
          <w:tab w:val="left" w:pos="567"/>
          <w:tab w:val="left" w:pos="993"/>
        </w:tabs>
        <w:suppressAutoHyphens/>
        <w:overflowPunct w:val="0"/>
        <w:autoSpaceDE w:val="0"/>
        <w:autoSpaceDN w:val="0"/>
        <w:adjustRightInd w:val="0"/>
        <w:outlineLvl w:val="3"/>
        <w:rPr>
          <w:rFonts w:cs="Arial"/>
          <w:szCs w:val="22"/>
          <w:lang w:eastAsia="sl-SI"/>
        </w:rPr>
      </w:pPr>
    </w:p>
    <w:p w:rsidR="00A62B8F" w:rsidRPr="00A62B8F" w:rsidRDefault="00A62B8F" w:rsidP="00A62B8F">
      <w:pPr>
        <w:tabs>
          <w:tab w:val="left" w:pos="567"/>
          <w:tab w:val="left" w:pos="993"/>
        </w:tabs>
        <w:suppressAutoHyphens/>
        <w:overflowPunct w:val="0"/>
        <w:autoSpaceDE w:val="0"/>
        <w:autoSpaceDN w:val="0"/>
        <w:adjustRightInd w:val="0"/>
        <w:outlineLvl w:val="3"/>
        <w:rPr>
          <w:rFonts w:cs="Arial"/>
          <w:szCs w:val="22"/>
          <w:lang w:eastAsia="sl-SI"/>
        </w:rPr>
      </w:pPr>
      <w:r>
        <w:rPr>
          <w:rFonts w:cs="Arial"/>
          <w:szCs w:val="22"/>
          <w:lang w:eastAsia="sl-SI"/>
        </w:rPr>
        <w:tab/>
      </w:r>
      <w:r>
        <w:rPr>
          <w:rFonts w:cs="Arial"/>
          <w:szCs w:val="22"/>
          <w:lang w:eastAsia="sl-SI"/>
        </w:rPr>
        <w:tab/>
      </w:r>
      <w:r w:rsidRPr="00A62B8F">
        <w:rPr>
          <w:rFonts w:cs="Arial"/>
          <w:szCs w:val="22"/>
          <w:lang w:eastAsia="sl-SI"/>
        </w:rPr>
        <w:t>(3) Povprečni katastrski dohodek iz prejšnjega odstavka je katastrski dohodek, izračunan  za posamezno vrsto dejanske rabe po statističnih regijah ali za Slovenijo, na stanje podatkov zemljiškega katastra na dan 31. avgusta 2013 kot navadno povprečje višine katastrskega dohodka parcel, preračunanega na hektar zemljišča, pripisanega na dan 31. avgusta 2013. Za izračun povprečnega katastrskega dohodka se upoštevajo parcele, ki imajo evidentirano v zemljiškem katastru eno dejansko rabo, ki se uporablja za izračun katastrskega dohodka. Če v statistični regiji pri posamezni vrsti dejanske rabe povprečni katastrski dohodek ni izračunan, se za izračun katastrskega dohodka uporabi povprečni katastrski dohodek za Slovenijo.</w:t>
      </w:r>
    </w:p>
    <w:p w:rsidR="00A62B8F" w:rsidRPr="00A62B8F" w:rsidRDefault="00A62B8F" w:rsidP="00A62B8F">
      <w:pPr>
        <w:tabs>
          <w:tab w:val="left" w:pos="567"/>
          <w:tab w:val="left" w:pos="993"/>
        </w:tabs>
        <w:suppressAutoHyphens/>
        <w:overflowPunct w:val="0"/>
        <w:autoSpaceDE w:val="0"/>
        <w:autoSpaceDN w:val="0"/>
        <w:adjustRightInd w:val="0"/>
        <w:outlineLvl w:val="3"/>
        <w:rPr>
          <w:rFonts w:cs="Arial"/>
          <w:szCs w:val="22"/>
          <w:lang w:eastAsia="sl-SI"/>
        </w:rPr>
      </w:pPr>
    </w:p>
    <w:p w:rsidR="00A62B8F" w:rsidRPr="00A62B8F" w:rsidRDefault="00A62B8F" w:rsidP="00A62B8F">
      <w:pPr>
        <w:tabs>
          <w:tab w:val="left" w:pos="567"/>
          <w:tab w:val="left" w:pos="993"/>
        </w:tabs>
        <w:suppressAutoHyphens/>
        <w:overflowPunct w:val="0"/>
        <w:autoSpaceDE w:val="0"/>
        <w:autoSpaceDN w:val="0"/>
        <w:adjustRightInd w:val="0"/>
        <w:outlineLvl w:val="3"/>
        <w:rPr>
          <w:rFonts w:cs="Arial"/>
          <w:szCs w:val="22"/>
          <w:lang w:eastAsia="sl-SI"/>
        </w:rPr>
      </w:pPr>
      <w:r>
        <w:rPr>
          <w:rFonts w:cs="Arial"/>
          <w:szCs w:val="22"/>
          <w:lang w:eastAsia="sl-SI"/>
        </w:rPr>
        <w:tab/>
      </w:r>
      <w:r>
        <w:rPr>
          <w:rFonts w:cs="Arial"/>
          <w:szCs w:val="22"/>
          <w:lang w:eastAsia="sl-SI"/>
        </w:rPr>
        <w:tab/>
      </w:r>
      <w:r w:rsidRPr="00A62B8F">
        <w:rPr>
          <w:rFonts w:cs="Arial"/>
          <w:szCs w:val="22"/>
          <w:lang w:eastAsia="sl-SI"/>
        </w:rPr>
        <w:t xml:space="preserve">(4) Povprečni katastrski dohodek, izračunan v skladu s prejšnjim odstavkom,  je določen v Prilogi 1, ki je sestavni del zakona. </w:t>
      </w:r>
    </w:p>
    <w:p w:rsidR="00A62B8F" w:rsidRPr="00A62B8F" w:rsidRDefault="00A62B8F" w:rsidP="00A62B8F">
      <w:pPr>
        <w:tabs>
          <w:tab w:val="left" w:pos="567"/>
          <w:tab w:val="left" w:pos="993"/>
        </w:tabs>
        <w:rPr>
          <w:szCs w:val="22"/>
        </w:rPr>
      </w:pPr>
    </w:p>
    <w:p w:rsidR="00A62B8F" w:rsidRPr="00A62B8F" w:rsidRDefault="00A62B8F" w:rsidP="00A62B8F">
      <w:pPr>
        <w:tabs>
          <w:tab w:val="left" w:pos="567"/>
          <w:tab w:val="left" w:pos="993"/>
        </w:tabs>
        <w:suppressAutoHyphens/>
        <w:overflowPunct w:val="0"/>
        <w:autoSpaceDE w:val="0"/>
        <w:autoSpaceDN w:val="0"/>
        <w:adjustRightInd w:val="0"/>
        <w:outlineLvl w:val="3"/>
        <w:rPr>
          <w:rFonts w:cs="Arial"/>
          <w:bCs/>
          <w:szCs w:val="22"/>
          <w:lang w:eastAsia="sl-SI"/>
        </w:rPr>
      </w:pPr>
      <w:r>
        <w:rPr>
          <w:rFonts w:cs="Arial"/>
          <w:szCs w:val="22"/>
          <w:lang w:eastAsia="sl-SI"/>
        </w:rPr>
        <w:tab/>
      </w:r>
      <w:r>
        <w:rPr>
          <w:rFonts w:cs="Arial"/>
          <w:szCs w:val="22"/>
          <w:lang w:eastAsia="sl-SI"/>
        </w:rPr>
        <w:tab/>
      </w:r>
      <w:r w:rsidRPr="00A62B8F">
        <w:rPr>
          <w:rFonts w:cs="Arial"/>
          <w:szCs w:val="22"/>
          <w:lang w:eastAsia="sl-SI"/>
        </w:rPr>
        <w:t xml:space="preserve">(5) Ne glede na 7. člen zakona se pavšalna ocena dohodka na panj za leto 2014, 2015 in 2016 določi in pripiše v </w:t>
      </w:r>
      <w:r w:rsidRPr="00A62B8F">
        <w:rPr>
          <w:rFonts w:cs="Arial"/>
          <w:bCs/>
          <w:szCs w:val="22"/>
          <w:lang w:eastAsia="sl-SI"/>
        </w:rPr>
        <w:t>višini pavšalne ocene dohodka na panj, pripisane posameznemu panju za leto 2013.</w:t>
      </w:r>
    </w:p>
    <w:p w:rsidR="00A62B8F" w:rsidRPr="00A62B8F" w:rsidRDefault="00A62B8F" w:rsidP="00A62B8F">
      <w:pPr>
        <w:tabs>
          <w:tab w:val="left" w:pos="567"/>
          <w:tab w:val="left" w:pos="993"/>
        </w:tabs>
        <w:rPr>
          <w:szCs w:val="22"/>
        </w:rPr>
      </w:pPr>
    </w:p>
    <w:p w:rsidR="00A62B8F" w:rsidRPr="00A62B8F" w:rsidRDefault="00A62B8F" w:rsidP="00A62B8F">
      <w:pPr>
        <w:tabs>
          <w:tab w:val="left" w:pos="567"/>
          <w:tab w:val="left" w:pos="993"/>
        </w:tabs>
        <w:suppressAutoHyphens/>
        <w:overflowPunct w:val="0"/>
        <w:autoSpaceDE w:val="0"/>
        <w:autoSpaceDN w:val="0"/>
        <w:adjustRightInd w:val="0"/>
        <w:outlineLvl w:val="3"/>
        <w:rPr>
          <w:rFonts w:cs="Arial"/>
          <w:szCs w:val="22"/>
          <w:lang w:eastAsia="sl-SI"/>
        </w:rPr>
      </w:pPr>
      <w:r>
        <w:rPr>
          <w:rFonts w:cs="Arial"/>
          <w:szCs w:val="22"/>
          <w:lang w:eastAsia="sl-SI"/>
        </w:rPr>
        <w:tab/>
      </w:r>
      <w:r>
        <w:rPr>
          <w:rFonts w:cs="Arial"/>
          <w:szCs w:val="22"/>
          <w:lang w:eastAsia="sl-SI"/>
        </w:rPr>
        <w:tab/>
      </w:r>
      <w:r w:rsidRPr="00A62B8F">
        <w:rPr>
          <w:rFonts w:cs="Arial"/>
          <w:szCs w:val="22"/>
          <w:lang w:eastAsia="sl-SI"/>
        </w:rPr>
        <w:t>(6) Šteje se, da sta katastrski dohodek in pavšalna ocena dohodka na panj za leto 2014, ugotovljena v skladu s prvim, drugim in petim  odstavkom tega člena, pripisana kmetijskim in gozdnim zemljiščem ter čebeljim panjem na dan 30. junija 2014.</w:t>
      </w:r>
    </w:p>
    <w:p w:rsidR="00A62B8F" w:rsidRPr="00A62B8F" w:rsidRDefault="00A62B8F" w:rsidP="00A62B8F">
      <w:pPr>
        <w:tabs>
          <w:tab w:val="left" w:pos="567"/>
          <w:tab w:val="left" w:pos="993"/>
        </w:tabs>
        <w:suppressAutoHyphens/>
        <w:overflowPunct w:val="0"/>
        <w:autoSpaceDE w:val="0"/>
        <w:autoSpaceDN w:val="0"/>
        <w:adjustRightInd w:val="0"/>
        <w:outlineLvl w:val="3"/>
        <w:rPr>
          <w:rFonts w:cs="Arial"/>
          <w:szCs w:val="22"/>
          <w:lang w:eastAsia="sl-SI"/>
        </w:rPr>
      </w:pPr>
    </w:p>
    <w:p w:rsidR="00A62B8F" w:rsidRPr="00A62B8F" w:rsidRDefault="00A62B8F" w:rsidP="00A62B8F">
      <w:pPr>
        <w:tabs>
          <w:tab w:val="left" w:pos="567"/>
          <w:tab w:val="left" w:pos="993"/>
        </w:tabs>
        <w:suppressAutoHyphens/>
        <w:overflowPunct w:val="0"/>
        <w:autoSpaceDE w:val="0"/>
        <w:autoSpaceDN w:val="0"/>
        <w:adjustRightInd w:val="0"/>
        <w:outlineLvl w:val="3"/>
        <w:rPr>
          <w:rFonts w:cs="Arial"/>
          <w:szCs w:val="22"/>
          <w:lang w:eastAsia="sl-SI"/>
        </w:rPr>
      </w:pPr>
      <w:r>
        <w:rPr>
          <w:rFonts w:cs="Arial"/>
          <w:szCs w:val="22"/>
          <w:lang w:eastAsia="sl-SI"/>
        </w:rPr>
        <w:tab/>
      </w:r>
      <w:r>
        <w:rPr>
          <w:rFonts w:cs="Arial"/>
          <w:szCs w:val="22"/>
          <w:lang w:eastAsia="sl-SI"/>
        </w:rPr>
        <w:tab/>
      </w:r>
      <w:r w:rsidRPr="00A62B8F">
        <w:rPr>
          <w:rFonts w:cs="Arial"/>
          <w:szCs w:val="22"/>
          <w:lang w:eastAsia="sl-SI"/>
        </w:rPr>
        <w:t>(7) Za ugotavljanje katastrskega dohodka za leto 2014, 2015 in 2016 se 8. člen zakona ne uporablja. Katastrski dohodek oziroma pavšalna ocena dohodka na panj, ugotovljena v skladu s tem členom, se pripiše vsakemu kmetijskemu in gozdnemu zemljišču oziroma čebeljemu panju po stanju v zemljiškem katastru oziroma registru čebelnjakov na dan 30. junija leta, za katero se dohodek ugotavlja.</w:t>
      </w:r>
    </w:p>
    <w:p w:rsidR="00A62B8F" w:rsidRPr="00A62B8F" w:rsidRDefault="00A62B8F" w:rsidP="00A62B8F">
      <w:pPr>
        <w:pStyle w:val="Naslovpredpisa"/>
        <w:tabs>
          <w:tab w:val="left" w:pos="567"/>
          <w:tab w:val="left" w:pos="993"/>
        </w:tabs>
        <w:spacing w:before="0" w:after="0" w:line="260" w:lineRule="exact"/>
        <w:jc w:val="both"/>
        <w:rPr>
          <w:b w:val="0"/>
          <w:sz w:val="22"/>
          <w:szCs w:val="22"/>
        </w:rPr>
      </w:pPr>
    </w:p>
    <w:p w:rsidR="00A62B8F" w:rsidRPr="00A62B8F" w:rsidRDefault="00A62B8F" w:rsidP="00A62B8F">
      <w:pPr>
        <w:tabs>
          <w:tab w:val="left" w:pos="567"/>
          <w:tab w:val="left" w:pos="993"/>
        </w:tabs>
        <w:suppressAutoHyphens/>
        <w:overflowPunct w:val="0"/>
        <w:autoSpaceDE w:val="0"/>
        <w:autoSpaceDN w:val="0"/>
        <w:adjustRightInd w:val="0"/>
        <w:textAlignment w:val="baseline"/>
        <w:outlineLvl w:val="3"/>
        <w:rPr>
          <w:rFonts w:cs="Arial"/>
          <w:szCs w:val="22"/>
          <w:lang w:eastAsia="sl-SI"/>
        </w:rPr>
      </w:pPr>
      <w:r>
        <w:rPr>
          <w:rFonts w:cs="Arial"/>
          <w:szCs w:val="22"/>
        </w:rPr>
        <w:tab/>
      </w:r>
      <w:r>
        <w:rPr>
          <w:rFonts w:cs="Arial"/>
          <w:szCs w:val="22"/>
        </w:rPr>
        <w:tab/>
      </w:r>
      <w:r w:rsidRPr="00A62B8F">
        <w:rPr>
          <w:rFonts w:cs="Arial"/>
          <w:szCs w:val="22"/>
        </w:rPr>
        <w:t xml:space="preserve">(8) Ne glede na 4. člen zakona se za namene določitve katastrskega dohodka za leto 2014, 2015 in 2016 v </w:t>
      </w:r>
      <w:r w:rsidRPr="00A62B8F">
        <w:rPr>
          <w:rFonts w:cs="Arial"/>
          <w:szCs w:val="22"/>
          <w:lang w:eastAsia="sl-SI"/>
        </w:rPr>
        <w:t>zemljiškem katastru evidentira dejanska raba kmetijskih zemljišč s šifro dejanske rabe 1000 in dejanska raba gozdnih zemljišč s šifro dejanske rabe: 2000 ter v okviru kmetijskih zemljišč evidentira podrobnejša dejanska raba z naslednjimi šiframi: 1160, 1180, 1211, 1212, 1221, 1230, 1240 in 1420.</w:t>
      </w:r>
      <w:r w:rsidRPr="00A62B8F">
        <w:rPr>
          <w:rFonts w:cs="Arial"/>
          <w:color w:val="000000"/>
          <w:szCs w:val="22"/>
        </w:rPr>
        <w:t>«.</w:t>
      </w:r>
    </w:p>
    <w:p w:rsidR="00A62B8F" w:rsidRDefault="00A62B8F" w:rsidP="00A62B8F">
      <w:pPr>
        <w:tabs>
          <w:tab w:val="left" w:pos="567"/>
          <w:tab w:val="left" w:pos="993"/>
        </w:tabs>
        <w:rPr>
          <w:rFonts w:cs="Arial"/>
          <w:color w:val="000000"/>
          <w:szCs w:val="22"/>
        </w:rPr>
      </w:pPr>
    </w:p>
    <w:p w:rsidR="00A62B8F" w:rsidRPr="00A62B8F" w:rsidRDefault="00A62B8F" w:rsidP="00A62B8F">
      <w:pPr>
        <w:tabs>
          <w:tab w:val="left" w:pos="567"/>
          <w:tab w:val="left" w:pos="993"/>
        </w:tabs>
        <w:rPr>
          <w:rFonts w:cs="Arial"/>
          <w:color w:val="000000"/>
          <w:szCs w:val="22"/>
        </w:rPr>
      </w:pPr>
    </w:p>
    <w:p w:rsidR="00A62B8F" w:rsidRPr="00A62B8F" w:rsidRDefault="00A62B8F" w:rsidP="00A62B8F">
      <w:pPr>
        <w:tabs>
          <w:tab w:val="left" w:pos="567"/>
          <w:tab w:val="left" w:pos="993"/>
        </w:tabs>
        <w:jc w:val="center"/>
        <w:rPr>
          <w:rFonts w:cs="Arial"/>
          <w:color w:val="000000"/>
          <w:szCs w:val="22"/>
        </w:rPr>
      </w:pPr>
      <w:r w:rsidRPr="00A62B8F">
        <w:rPr>
          <w:rFonts w:cs="Arial"/>
          <w:color w:val="000000"/>
          <w:szCs w:val="22"/>
        </w:rPr>
        <w:t>3. člen</w:t>
      </w:r>
    </w:p>
    <w:p w:rsidR="00A62B8F" w:rsidRPr="00A62B8F" w:rsidRDefault="00A62B8F" w:rsidP="00A62B8F">
      <w:pPr>
        <w:tabs>
          <w:tab w:val="left" w:pos="567"/>
          <w:tab w:val="left" w:pos="993"/>
        </w:tabs>
        <w:rPr>
          <w:rFonts w:cs="Arial"/>
          <w:color w:val="000000"/>
          <w:szCs w:val="22"/>
        </w:rPr>
      </w:pPr>
    </w:p>
    <w:p w:rsidR="00A62B8F" w:rsidRPr="00A62B8F" w:rsidRDefault="00A62B8F" w:rsidP="00A62B8F">
      <w:pPr>
        <w:tabs>
          <w:tab w:val="left" w:pos="567"/>
          <w:tab w:val="left" w:pos="993"/>
        </w:tabs>
        <w:rPr>
          <w:rFonts w:cs="Arial"/>
          <w:color w:val="000000"/>
          <w:szCs w:val="22"/>
        </w:rPr>
      </w:pPr>
      <w:r>
        <w:rPr>
          <w:rFonts w:cs="Arial"/>
          <w:color w:val="000000"/>
          <w:szCs w:val="22"/>
        </w:rPr>
        <w:tab/>
      </w:r>
      <w:r>
        <w:rPr>
          <w:rFonts w:cs="Arial"/>
          <w:color w:val="000000"/>
          <w:szCs w:val="22"/>
        </w:rPr>
        <w:tab/>
      </w:r>
      <w:r w:rsidRPr="00A62B8F">
        <w:rPr>
          <w:rFonts w:cs="Arial"/>
          <w:color w:val="000000"/>
          <w:szCs w:val="22"/>
        </w:rPr>
        <w:t xml:space="preserve">Ta zakon začne veljati naslednji dan po objavi v Uradnem listu Republike Slovenije. </w:t>
      </w:r>
    </w:p>
    <w:p w:rsidR="00A62B8F" w:rsidRDefault="00A62B8F" w:rsidP="00A62B8F">
      <w:pPr>
        <w:tabs>
          <w:tab w:val="left" w:pos="567"/>
          <w:tab w:val="left" w:pos="993"/>
        </w:tabs>
        <w:rPr>
          <w:rFonts w:cs="Arial"/>
          <w:color w:val="000000"/>
          <w:szCs w:val="22"/>
        </w:rPr>
      </w:pPr>
    </w:p>
    <w:p w:rsidR="00665A9B" w:rsidRDefault="00665A9B" w:rsidP="00A62B8F">
      <w:pPr>
        <w:tabs>
          <w:tab w:val="left" w:pos="567"/>
          <w:tab w:val="left" w:pos="993"/>
        </w:tabs>
        <w:rPr>
          <w:rFonts w:cs="Arial"/>
          <w:color w:val="000000"/>
          <w:szCs w:val="22"/>
        </w:rPr>
      </w:pPr>
    </w:p>
    <w:p w:rsidR="00665A9B" w:rsidRDefault="00665A9B" w:rsidP="00A62B8F">
      <w:pPr>
        <w:tabs>
          <w:tab w:val="left" w:pos="567"/>
          <w:tab w:val="left" w:pos="993"/>
        </w:tabs>
        <w:rPr>
          <w:rFonts w:cs="Arial"/>
          <w:color w:val="000000"/>
          <w:szCs w:val="22"/>
        </w:rPr>
      </w:pPr>
    </w:p>
    <w:p w:rsidR="00665A9B" w:rsidRDefault="00665A9B" w:rsidP="00665A9B">
      <w:pPr>
        <w:tabs>
          <w:tab w:val="left" w:pos="567"/>
          <w:tab w:val="left" w:pos="993"/>
        </w:tabs>
        <w:spacing w:line="240" w:lineRule="auto"/>
        <w:rPr>
          <w:rFonts w:cs="Arial"/>
          <w:szCs w:val="22"/>
        </w:rPr>
      </w:pPr>
      <w:r>
        <w:rPr>
          <w:rFonts w:cs="Arial"/>
          <w:szCs w:val="22"/>
        </w:rPr>
        <w:t xml:space="preserve">Številka: </w:t>
      </w:r>
      <w:r w:rsidRPr="00290222">
        <w:rPr>
          <w:rFonts w:cs="Arial"/>
          <w:szCs w:val="22"/>
        </w:rPr>
        <w:t>435-05/14-3/</w:t>
      </w:r>
    </w:p>
    <w:p w:rsidR="00665A9B" w:rsidRDefault="00665A9B" w:rsidP="00665A9B">
      <w:pPr>
        <w:tabs>
          <w:tab w:val="left" w:pos="567"/>
          <w:tab w:val="left" w:pos="993"/>
        </w:tabs>
        <w:spacing w:line="240" w:lineRule="auto"/>
        <w:rPr>
          <w:rFonts w:cs="Arial"/>
          <w:szCs w:val="22"/>
        </w:rPr>
      </w:pPr>
      <w:r>
        <w:rPr>
          <w:rFonts w:cs="Arial"/>
          <w:szCs w:val="22"/>
        </w:rPr>
        <w:t xml:space="preserve">Datum: 27. maj 2014 </w:t>
      </w:r>
    </w:p>
    <w:p w:rsidR="00665A9B" w:rsidRDefault="00665A9B" w:rsidP="00665A9B">
      <w:pPr>
        <w:tabs>
          <w:tab w:val="left" w:pos="567"/>
          <w:tab w:val="left" w:pos="993"/>
        </w:tabs>
        <w:spacing w:line="240" w:lineRule="auto"/>
        <w:rPr>
          <w:rFonts w:cs="Arial"/>
          <w:szCs w:val="22"/>
        </w:rPr>
      </w:pPr>
      <w:r w:rsidRPr="00290222">
        <w:rPr>
          <w:rFonts w:cs="Arial"/>
          <w:szCs w:val="22"/>
        </w:rPr>
        <w:t>EPA 1894-VI</w:t>
      </w:r>
    </w:p>
    <w:p w:rsidR="00665A9B" w:rsidRPr="00ED0A8E" w:rsidRDefault="00665A9B" w:rsidP="00665A9B">
      <w:pPr>
        <w:tabs>
          <w:tab w:val="left" w:pos="6521"/>
        </w:tabs>
        <w:rPr>
          <w:szCs w:val="22"/>
        </w:rPr>
      </w:pPr>
      <w:r w:rsidRPr="00ED0A8E">
        <w:rPr>
          <w:szCs w:val="22"/>
        </w:rPr>
        <w:tab/>
        <w:t>Državni zbor</w:t>
      </w:r>
    </w:p>
    <w:p w:rsidR="00665A9B" w:rsidRDefault="00665A9B" w:rsidP="00665A9B">
      <w:pPr>
        <w:tabs>
          <w:tab w:val="left" w:pos="6521"/>
        </w:tabs>
        <w:rPr>
          <w:szCs w:val="22"/>
        </w:rPr>
      </w:pPr>
      <w:r w:rsidRPr="00ED0A8E">
        <w:rPr>
          <w:szCs w:val="22"/>
        </w:rPr>
        <w:tab/>
      </w:r>
      <w:r>
        <w:rPr>
          <w:szCs w:val="22"/>
        </w:rPr>
        <w:t>Janko Veber</w:t>
      </w:r>
    </w:p>
    <w:p w:rsidR="00665A9B" w:rsidRPr="00ED0A8E" w:rsidRDefault="00665A9B" w:rsidP="00665A9B">
      <w:pPr>
        <w:tabs>
          <w:tab w:val="left" w:pos="6521"/>
        </w:tabs>
        <w:rPr>
          <w:szCs w:val="22"/>
        </w:rPr>
      </w:pPr>
      <w:r w:rsidRPr="00ED0A8E">
        <w:rPr>
          <w:szCs w:val="22"/>
        </w:rPr>
        <w:tab/>
        <w:t>predsednik</w:t>
      </w:r>
    </w:p>
    <w:p w:rsidR="00665A9B" w:rsidRPr="00A62B8F" w:rsidRDefault="00665A9B" w:rsidP="00A62B8F">
      <w:pPr>
        <w:tabs>
          <w:tab w:val="left" w:pos="567"/>
          <w:tab w:val="left" w:pos="993"/>
        </w:tabs>
        <w:rPr>
          <w:rFonts w:cs="Arial"/>
          <w:color w:val="000000"/>
          <w:szCs w:val="22"/>
        </w:rPr>
      </w:pPr>
    </w:p>
    <w:p w:rsidR="00A62B8F" w:rsidRPr="00A62B8F" w:rsidRDefault="00A62B8F" w:rsidP="00A62B8F">
      <w:pPr>
        <w:tabs>
          <w:tab w:val="left" w:pos="567"/>
          <w:tab w:val="left" w:pos="993"/>
        </w:tabs>
        <w:rPr>
          <w:rFonts w:cs="Arial"/>
          <w:color w:val="000000"/>
          <w:szCs w:val="22"/>
        </w:rPr>
      </w:pPr>
    </w:p>
    <w:p w:rsidR="00A62B8F" w:rsidRPr="00A62B8F" w:rsidRDefault="00A62B8F" w:rsidP="00A62B8F">
      <w:pPr>
        <w:tabs>
          <w:tab w:val="left" w:pos="567"/>
          <w:tab w:val="left" w:pos="993"/>
        </w:tabs>
        <w:rPr>
          <w:rFonts w:cs="Arial"/>
          <w:color w:val="000000"/>
          <w:szCs w:val="22"/>
        </w:rPr>
      </w:pPr>
    </w:p>
    <w:p w:rsidR="00A62B8F" w:rsidRPr="00A62B8F" w:rsidRDefault="00A62B8F" w:rsidP="00A62B8F">
      <w:pPr>
        <w:tabs>
          <w:tab w:val="left" w:pos="567"/>
          <w:tab w:val="left" w:pos="993"/>
        </w:tabs>
        <w:rPr>
          <w:rFonts w:cs="Arial"/>
          <w:color w:val="000000"/>
          <w:szCs w:val="22"/>
        </w:rPr>
      </w:pPr>
    </w:p>
    <w:p w:rsidR="00A62B8F" w:rsidRPr="00A62B8F" w:rsidRDefault="00A62B8F" w:rsidP="00A62B8F">
      <w:pPr>
        <w:tabs>
          <w:tab w:val="left" w:pos="567"/>
          <w:tab w:val="left" w:pos="993"/>
        </w:tabs>
        <w:rPr>
          <w:rFonts w:cs="Arial"/>
          <w:color w:val="000000"/>
          <w:szCs w:val="22"/>
        </w:rPr>
      </w:pPr>
    </w:p>
    <w:p w:rsidR="00A62B8F" w:rsidRDefault="00A62B8F">
      <w:pPr>
        <w:spacing w:line="240" w:lineRule="auto"/>
        <w:jc w:val="left"/>
        <w:rPr>
          <w:rFonts w:cs="Arial"/>
          <w:color w:val="000000"/>
          <w:szCs w:val="22"/>
        </w:rPr>
      </w:pPr>
      <w:r>
        <w:rPr>
          <w:rFonts w:cs="Arial"/>
          <w:color w:val="000000"/>
          <w:szCs w:val="22"/>
        </w:rPr>
        <w:br w:type="page"/>
      </w:r>
    </w:p>
    <w:p w:rsidR="00A62B8F" w:rsidRPr="00A62B8F" w:rsidRDefault="00A62B8F" w:rsidP="00A62B8F">
      <w:pPr>
        <w:tabs>
          <w:tab w:val="left" w:pos="567"/>
          <w:tab w:val="left" w:pos="993"/>
        </w:tabs>
        <w:spacing w:line="264" w:lineRule="auto"/>
        <w:rPr>
          <w:szCs w:val="22"/>
        </w:rPr>
      </w:pPr>
      <w:r w:rsidRPr="00A62B8F">
        <w:rPr>
          <w:rFonts w:cs="Arial"/>
          <w:color w:val="000000"/>
          <w:szCs w:val="22"/>
        </w:rPr>
        <w:lastRenderedPageBreak/>
        <w:t>PR</w:t>
      </w:r>
      <w:r w:rsidRPr="00A62B8F">
        <w:rPr>
          <w:szCs w:val="22"/>
        </w:rPr>
        <w:t>ILOGA 1</w:t>
      </w:r>
    </w:p>
    <w:p w:rsidR="00A62B8F" w:rsidRDefault="00A62B8F" w:rsidP="00A62B8F">
      <w:pPr>
        <w:pStyle w:val="Naslovpredpisa"/>
        <w:tabs>
          <w:tab w:val="left" w:pos="567"/>
          <w:tab w:val="left" w:pos="993"/>
        </w:tabs>
        <w:spacing w:before="0" w:after="0" w:line="260" w:lineRule="exact"/>
        <w:jc w:val="both"/>
        <w:rPr>
          <w:b w:val="0"/>
          <w:sz w:val="22"/>
          <w:szCs w:val="22"/>
        </w:rPr>
      </w:pPr>
    </w:p>
    <w:p w:rsidR="00A62B8F" w:rsidRPr="00A62B8F" w:rsidRDefault="00A62B8F" w:rsidP="00A62B8F">
      <w:pPr>
        <w:pStyle w:val="Naslovpredpisa"/>
        <w:tabs>
          <w:tab w:val="left" w:pos="567"/>
          <w:tab w:val="left" w:pos="993"/>
        </w:tabs>
        <w:spacing w:before="0" w:after="0" w:line="260" w:lineRule="exact"/>
        <w:jc w:val="both"/>
        <w:rPr>
          <w:b w:val="0"/>
          <w:sz w:val="22"/>
          <w:szCs w:val="22"/>
        </w:rPr>
      </w:pPr>
      <w:r w:rsidRPr="00A62B8F">
        <w:rPr>
          <w:b w:val="0"/>
          <w:sz w:val="22"/>
          <w:szCs w:val="22"/>
        </w:rPr>
        <w:t xml:space="preserve">Povprečni katastrski dohodek na posamezno vrsto dejanske rabe v </w:t>
      </w:r>
      <w:proofErr w:type="spellStart"/>
      <w:r w:rsidRPr="00A62B8F">
        <w:rPr>
          <w:b w:val="0"/>
          <w:sz w:val="22"/>
          <w:szCs w:val="22"/>
        </w:rPr>
        <w:t>eurih</w:t>
      </w:r>
      <w:proofErr w:type="spellEnd"/>
      <w:r w:rsidRPr="00A62B8F">
        <w:rPr>
          <w:b w:val="0"/>
          <w:sz w:val="22"/>
          <w:szCs w:val="22"/>
        </w:rPr>
        <w:t xml:space="preserve"> na hektar zemljišča po statističnih regijah in za Slovenijo.</w:t>
      </w:r>
    </w:p>
    <w:p w:rsidR="00A62B8F" w:rsidRPr="00A62B8F" w:rsidRDefault="00A62B8F" w:rsidP="00A62B8F">
      <w:pPr>
        <w:pStyle w:val="Naslovpredpisa"/>
        <w:tabs>
          <w:tab w:val="left" w:pos="567"/>
          <w:tab w:val="left" w:pos="993"/>
        </w:tabs>
        <w:spacing w:before="0" w:after="0" w:line="260" w:lineRule="exact"/>
        <w:jc w:val="both"/>
        <w:rPr>
          <w:b w:val="0"/>
          <w:szCs w:val="22"/>
        </w:rPr>
      </w:pPr>
    </w:p>
    <w:p w:rsidR="00A62B8F" w:rsidRPr="00A62B8F" w:rsidRDefault="00A62B8F" w:rsidP="00A62B8F">
      <w:pPr>
        <w:pStyle w:val="Naslovpredpisa"/>
        <w:tabs>
          <w:tab w:val="left" w:pos="567"/>
          <w:tab w:val="left" w:pos="993"/>
        </w:tabs>
        <w:spacing w:before="0" w:after="0" w:line="260" w:lineRule="exact"/>
        <w:jc w:val="both"/>
        <w:rPr>
          <w:b w:val="0"/>
          <w:szCs w:val="22"/>
        </w:rPr>
      </w:pPr>
      <w:r w:rsidRPr="00A62B8F">
        <w:rPr>
          <w:b w:val="0"/>
          <w:szCs w:val="22"/>
        </w:rPr>
        <w:t xml:space="preserve">                                                                                                                              </w:t>
      </w:r>
    </w:p>
    <w:tbl>
      <w:tblPr>
        <w:tblW w:w="9209" w:type="dxa"/>
        <w:tblCellMar>
          <w:left w:w="70" w:type="dxa"/>
          <w:right w:w="70" w:type="dxa"/>
        </w:tblCellMar>
        <w:tblLook w:val="04A0" w:firstRow="1" w:lastRow="0" w:firstColumn="1" w:lastColumn="0" w:noHBand="0" w:noVBand="1"/>
      </w:tblPr>
      <w:tblGrid>
        <w:gridCol w:w="2011"/>
        <w:gridCol w:w="694"/>
        <w:gridCol w:w="732"/>
        <w:gridCol w:w="734"/>
        <w:gridCol w:w="734"/>
        <w:gridCol w:w="698"/>
        <w:gridCol w:w="734"/>
        <w:gridCol w:w="862"/>
        <w:gridCol w:w="720"/>
        <w:gridCol w:w="726"/>
        <w:gridCol w:w="736"/>
      </w:tblGrid>
      <w:tr w:rsidR="00A62B8F" w:rsidRPr="00A62B8F" w:rsidTr="00A62B8F">
        <w:trPr>
          <w:trHeight w:val="210"/>
        </w:trPr>
        <w:tc>
          <w:tcPr>
            <w:tcW w:w="1839" w:type="dxa"/>
            <w:tcBorders>
              <w:top w:val="single" w:sz="4" w:space="0" w:color="auto"/>
              <w:left w:val="single" w:sz="4" w:space="0" w:color="auto"/>
              <w:bottom w:val="single" w:sz="4" w:space="0" w:color="auto"/>
              <w:right w:val="single" w:sz="4" w:space="0" w:color="auto"/>
            </w:tcBorders>
            <w:noWrap/>
            <w:vAlign w:val="center"/>
            <w:hideMark/>
          </w:tcPr>
          <w:p w:rsidR="00A62B8F" w:rsidRPr="00A62B8F" w:rsidRDefault="00A62B8F" w:rsidP="00A62B8F">
            <w:pPr>
              <w:tabs>
                <w:tab w:val="left" w:pos="567"/>
                <w:tab w:val="left" w:pos="993"/>
              </w:tabs>
              <w:spacing w:line="240" w:lineRule="auto"/>
              <w:jc w:val="center"/>
              <w:rPr>
                <w:rFonts w:cs="Arial"/>
                <w:b/>
                <w:bCs/>
                <w:color w:val="000000"/>
                <w:szCs w:val="20"/>
                <w:lang w:eastAsia="sl-SI"/>
              </w:rPr>
            </w:pPr>
            <w:r w:rsidRPr="00A62B8F">
              <w:rPr>
                <w:rFonts w:cs="Arial"/>
                <w:b/>
                <w:bCs/>
                <w:color w:val="000000"/>
                <w:szCs w:val="20"/>
                <w:lang w:eastAsia="sl-SI"/>
              </w:rPr>
              <w:t>IME statistične regije</w:t>
            </w:r>
          </w:p>
        </w:tc>
        <w:tc>
          <w:tcPr>
            <w:tcW w:w="694" w:type="dxa"/>
            <w:tcBorders>
              <w:top w:val="single" w:sz="4" w:space="0" w:color="auto"/>
              <w:left w:val="nil"/>
              <w:bottom w:val="single" w:sz="4" w:space="0" w:color="auto"/>
              <w:right w:val="single" w:sz="4" w:space="0" w:color="auto"/>
            </w:tcBorders>
            <w:noWrap/>
            <w:vAlign w:val="center"/>
            <w:hideMark/>
          </w:tcPr>
          <w:p w:rsidR="00A62B8F" w:rsidRPr="00A62B8F" w:rsidRDefault="00A62B8F" w:rsidP="00A62B8F">
            <w:pPr>
              <w:tabs>
                <w:tab w:val="left" w:pos="567"/>
                <w:tab w:val="left" w:pos="993"/>
              </w:tabs>
              <w:spacing w:line="240" w:lineRule="auto"/>
              <w:jc w:val="center"/>
              <w:rPr>
                <w:rFonts w:cs="Arial"/>
                <w:b/>
                <w:bCs/>
                <w:color w:val="000000"/>
                <w:szCs w:val="20"/>
                <w:lang w:eastAsia="sl-SI"/>
              </w:rPr>
            </w:pPr>
            <w:r w:rsidRPr="00A62B8F">
              <w:rPr>
                <w:rFonts w:cs="Arial"/>
                <w:b/>
                <w:bCs/>
                <w:color w:val="000000"/>
                <w:szCs w:val="20"/>
                <w:lang w:eastAsia="sl-SI"/>
              </w:rPr>
              <w:t>1000</w:t>
            </w:r>
          </w:p>
        </w:tc>
        <w:tc>
          <w:tcPr>
            <w:tcW w:w="732" w:type="dxa"/>
            <w:tcBorders>
              <w:top w:val="single" w:sz="4" w:space="0" w:color="auto"/>
              <w:left w:val="nil"/>
              <w:bottom w:val="single" w:sz="4" w:space="0" w:color="auto"/>
              <w:right w:val="single" w:sz="4" w:space="0" w:color="auto"/>
            </w:tcBorders>
            <w:noWrap/>
            <w:vAlign w:val="center"/>
            <w:hideMark/>
          </w:tcPr>
          <w:p w:rsidR="00A62B8F" w:rsidRPr="00A62B8F" w:rsidRDefault="00A62B8F" w:rsidP="00A62B8F">
            <w:pPr>
              <w:tabs>
                <w:tab w:val="left" w:pos="567"/>
                <w:tab w:val="left" w:pos="993"/>
              </w:tabs>
              <w:spacing w:line="240" w:lineRule="auto"/>
              <w:jc w:val="center"/>
              <w:rPr>
                <w:rFonts w:cs="Arial"/>
                <w:b/>
                <w:bCs/>
                <w:color w:val="000000"/>
                <w:szCs w:val="20"/>
                <w:lang w:eastAsia="sl-SI"/>
              </w:rPr>
            </w:pPr>
            <w:r w:rsidRPr="00A62B8F">
              <w:rPr>
                <w:rFonts w:cs="Arial"/>
                <w:b/>
                <w:bCs/>
                <w:color w:val="000000"/>
                <w:szCs w:val="20"/>
                <w:lang w:eastAsia="sl-SI"/>
              </w:rPr>
              <w:t>1160</w:t>
            </w:r>
          </w:p>
        </w:tc>
        <w:tc>
          <w:tcPr>
            <w:tcW w:w="734" w:type="dxa"/>
            <w:tcBorders>
              <w:top w:val="single" w:sz="4" w:space="0" w:color="auto"/>
              <w:left w:val="nil"/>
              <w:bottom w:val="single" w:sz="4" w:space="0" w:color="auto"/>
              <w:right w:val="single" w:sz="4" w:space="0" w:color="auto"/>
            </w:tcBorders>
            <w:noWrap/>
            <w:vAlign w:val="center"/>
            <w:hideMark/>
          </w:tcPr>
          <w:p w:rsidR="00A62B8F" w:rsidRPr="00A62B8F" w:rsidRDefault="00A62B8F" w:rsidP="00A62B8F">
            <w:pPr>
              <w:tabs>
                <w:tab w:val="left" w:pos="567"/>
                <w:tab w:val="left" w:pos="993"/>
              </w:tabs>
              <w:spacing w:line="240" w:lineRule="auto"/>
              <w:jc w:val="center"/>
              <w:rPr>
                <w:rFonts w:cs="Arial"/>
                <w:b/>
                <w:bCs/>
                <w:color w:val="000000"/>
                <w:szCs w:val="20"/>
                <w:lang w:eastAsia="sl-SI"/>
              </w:rPr>
            </w:pPr>
            <w:r w:rsidRPr="00A62B8F">
              <w:rPr>
                <w:rFonts w:cs="Arial"/>
                <w:b/>
                <w:bCs/>
                <w:color w:val="000000"/>
                <w:szCs w:val="20"/>
                <w:lang w:eastAsia="sl-SI"/>
              </w:rPr>
              <w:t>1180</w:t>
            </w:r>
          </w:p>
        </w:tc>
        <w:tc>
          <w:tcPr>
            <w:tcW w:w="734" w:type="dxa"/>
            <w:tcBorders>
              <w:top w:val="single" w:sz="4" w:space="0" w:color="auto"/>
              <w:left w:val="nil"/>
              <w:bottom w:val="single" w:sz="4" w:space="0" w:color="auto"/>
              <w:right w:val="single" w:sz="4" w:space="0" w:color="auto"/>
            </w:tcBorders>
            <w:noWrap/>
            <w:vAlign w:val="center"/>
            <w:hideMark/>
          </w:tcPr>
          <w:p w:rsidR="00A62B8F" w:rsidRPr="00A62B8F" w:rsidRDefault="00A62B8F" w:rsidP="00A62B8F">
            <w:pPr>
              <w:tabs>
                <w:tab w:val="left" w:pos="567"/>
                <w:tab w:val="left" w:pos="993"/>
              </w:tabs>
              <w:spacing w:line="240" w:lineRule="auto"/>
              <w:jc w:val="center"/>
              <w:rPr>
                <w:rFonts w:cs="Arial"/>
                <w:b/>
                <w:bCs/>
                <w:color w:val="000000"/>
                <w:szCs w:val="20"/>
                <w:lang w:eastAsia="sl-SI"/>
              </w:rPr>
            </w:pPr>
            <w:r w:rsidRPr="00A62B8F">
              <w:rPr>
                <w:rFonts w:cs="Arial"/>
                <w:b/>
                <w:bCs/>
                <w:color w:val="000000"/>
                <w:szCs w:val="20"/>
                <w:lang w:eastAsia="sl-SI"/>
              </w:rPr>
              <w:t>1211</w:t>
            </w:r>
          </w:p>
        </w:tc>
        <w:tc>
          <w:tcPr>
            <w:tcW w:w="698" w:type="dxa"/>
            <w:tcBorders>
              <w:top w:val="single" w:sz="4" w:space="0" w:color="auto"/>
              <w:left w:val="nil"/>
              <w:bottom w:val="single" w:sz="4" w:space="0" w:color="auto"/>
              <w:right w:val="single" w:sz="4" w:space="0" w:color="auto"/>
            </w:tcBorders>
            <w:noWrap/>
            <w:vAlign w:val="center"/>
            <w:hideMark/>
          </w:tcPr>
          <w:p w:rsidR="00A62B8F" w:rsidRPr="00A62B8F" w:rsidRDefault="00A62B8F" w:rsidP="00A62B8F">
            <w:pPr>
              <w:tabs>
                <w:tab w:val="left" w:pos="567"/>
                <w:tab w:val="left" w:pos="993"/>
              </w:tabs>
              <w:spacing w:line="240" w:lineRule="auto"/>
              <w:jc w:val="center"/>
              <w:rPr>
                <w:rFonts w:cs="Arial"/>
                <w:b/>
                <w:bCs/>
                <w:color w:val="000000"/>
                <w:szCs w:val="20"/>
                <w:lang w:eastAsia="sl-SI"/>
              </w:rPr>
            </w:pPr>
            <w:r w:rsidRPr="00A62B8F">
              <w:rPr>
                <w:rFonts w:cs="Arial"/>
                <w:b/>
                <w:bCs/>
                <w:color w:val="000000"/>
                <w:szCs w:val="20"/>
                <w:lang w:eastAsia="sl-SI"/>
              </w:rPr>
              <w:t>1212</w:t>
            </w:r>
          </w:p>
        </w:tc>
        <w:tc>
          <w:tcPr>
            <w:tcW w:w="734" w:type="dxa"/>
            <w:tcBorders>
              <w:top w:val="single" w:sz="4" w:space="0" w:color="auto"/>
              <w:left w:val="nil"/>
              <w:bottom w:val="single" w:sz="4" w:space="0" w:color="auto"/>
              <w:right w:val="single" w:sz="4" w:space="0" w:color="auto"/>
            </w:tcBorders>
            <w:noWrap/>
            <w:vAlign w:val="center"/>
            <w:hideMark/>
          </w:tcPr>
          <w:p w:rsidR="00A62B8F" w:rsidRPr="00A62B8F" w:rsidRDefault="00A62B8F" w:rsidP="00A62B8F">
            <w:pPr>
              <w:tabs>
                <w:tab w:val="left" w:pos="567"/>
                <w:tab w:val="left" w:pos="993"/>
              </w:tabs>
              <w:spacing w:line="240" w:lineRule="auto"/>
              <w:jc w:val="center"/>
              <w:rPr>
                <w:rFonts w:cs="Arial"/>
                <w:b/>
                <w:bCs/>
                <w:color w:val="000000"/>
                <w:szCs w:val="20"/>
                <w:lang w:eastAsia="sl-SI"/>
              </w:rPr>
            </w:pPr>
            <w:r w:rsidRPr="00A62B8F">
              <w:rPr>
                <w:rFonts w:cs="Arial"/>
                <w:b/>
                <w:bCs/>
                <w:color w:val="000000"/>
                <w:szCs w:val="20"/>
                <w:lang w:eastAsia="sl-SI"/>
              </w:rPr>
              <w:t>1221</w:t>
            </w:r>
          </w:p>
        </w:tc>
        <w:tc>
          <w:tcPr>
            <w:tcW w:w="862" w:type="dxa"/>
            <w:tcBorders>
              <w:top w:val="single" w:sz="4" w:space="0" w:color="auto"/>
              <w:left w:val="nil"/>
              <w:bottom w:val="single" w:sz="4" w:space="0" w:color="auto"/>
              <w:right w:val="single" w:sz="4" w:space="0" w:color="auto"/>
            </w:tcBorders>
            <w:noWrap/>
            <w:vAlign w:val="center"/>
            <w:hideMark/>
          </w:tcPr>
          <w:p w:rsidR="00A62B8F" w:rsidRPr="00A62B8F" w:rsidRDefault="00A62B8F" w:rsidP="00A62B8F">
            <w:pPr>
              <w:tabs>
                <w:tab w:val="left" w:pos="567"/>
                <w:tab w:val="left" w:pos="993"/>
              </w:tabs>
              <w:spacing w:line="240" w:lineRule="auto"/>
              <w:jc w:val="center"/>
              <w:rPr>
                <w:rFonts w:cs="Arial"/>
                <w:b/>
                <w:bCs/>
                <w:color w:val="000000"/>
                <w:szCs w:val="20"/>
                <w:lang w:eastAsia="sl-SI"/>
              </w:rPr>
            </w:pPr>
            <w:r w:rsidRPr="00A62B8F">
              <w:rPr>
                <w:rFonts w:cs="Arial"/>
                <w:b/>
                <w:bCs/>
                <w:color w:val="000000"/>
                <w:szCs w:val="20"/>
                <w:lang w:eastAsia="sl-SI"/>
              </w:rPr>
              <w:t>1230</w:t>
            </w:r>
          </w:p>
        </w:tc>
        <w:tc>
          <w:tcPr>
            <w:tcW w:w="720" w:type="dxa"/>
            <w:tcBorders>
              <w:top w:val="single" w:sz="4" w:space="0" w:color="auto"/>
              <w:left w:val="nil"/>
              <w:bottom w:val="single" w:sz="4" w:space="0" w:color="auto"/>
              <w:right w:val="single" w:sz="4" w:space="0" w:color="auto"/>
            </w:tcBorders>
            <w:noWrap/>
            <w:vAlign w:val="center"/>
            <w:hideMark/>
          </w:tcPr>
          <w:p w:rsidR="00A62B8F" w:rsidRPr="00A62B8F" w:rsidRDefault="00A62B8F" w:rsidP="00A62B8F">
            <w:pPr>
              <w:tabs>
                <w:tab w:val="left" w:pos="567"/>
                <w:tab w:val="left" w:pos="993"/>
              </w:tabs>
              <w:spacing w:line="240" w:lineRule="auto"/>
              <w:jc w:val="center"/>
              <w:rPr>
                <w:rFonts w:cs="Arial"/>
                <w:b/>
                <w:bCs/>
                <w:color w:val="000000"/>
                <w:szCs w:val="20"/>
                <w:lang w:eastAsia="sl-SI"/>
              </w:rPr>
            </w:pPr>
            <w:r w:rsidRPr="00A62B8F">
              <w:rPr>
                <w:rFonts w:cs="Arial"/>
                <w:b/>
                <w:bCs/>
                <w:color w:val="000000"/>
                <w:szCs w:val="20"/>
                <w:lang w:eastAsia="sl-SI"/>
              </w:rPr>
              <w:t>1240</w:t>
            </w:r>
          </w:p>
        </w:tc>
        <w:tc>
          <w:tcPr>
            <w:tcW w:w="726" w:type="dxa"/>
            <w:tcBorders>
              <w:top w:val="single" w:sz="4" w:space="0" w:color="auto"/>
              <w:left w:val="nil"/>
              <w:bottom w:val="single" w:sz="4" w:space="0" w:color="auto"/>
              <w:right w:val="single" w:sz="4" w:space="0" w:color="auto"/>
            </w:tcBorders>
            <w:noWrap/>
            <w:vAlign w:val="center"/>
            <w:hideMark/>
          </w:tcPr>
          <w:p w:rsidR="00A62B8F" w:rsidRPr="00A62B8F" w:rsidRDefault="00A62B8F" w:rsidP="00A62B8F">
            <w:pPr>
              <w:tabs>
                <w:tab w:val="left" w:pos="567"/>
                <w:tab w:val="left" w:pos="993"/>
              </w:tabs>
              <w:spacing w:line="240" w:lineRule="auto"/>
              <w:jc w:val="center"/>
              <w:rPr>
                <w:rFonts w:cs="Arial"/>
                <w:b/>
                <w:bCs/>
                <w:color w:val="000000"/>
                <w:szCs w:val="20"/>
                <w:lang w:eastAsia="sl-SI"/>
              </w:rPr>
            </w:pPr>
            <w:r w:rsidRPr="00A62B8F">
              <w:rPr>
                <w:rFonts w:cs="Arial"/>
                <w:b/>
                <w:bCs/>
                <w:color w:val="000000"/>
                <w:szCs w:val="20"/>
                <w:lang w:eastAsia="sl-SI"/>
              </w:rPr>
              <w:t>1420</w:t>
            </w:r>
          </w:p>
        </w:tc>
        <w:tc>
          <w:tcPr>
            <w:tcW w:w="736" w:type="dxa"/>
            <w:tcBorders>
              <w:top w:val="single" w:sz="4" w:space="0" w:color="auto"/>
              <w:left w:val="nil"/>
              <w:bottom w:val="single" w:sz="4" w:space="0" w:color="auto"/>
              <w:right w:val="single" w:sz="4" w:space="0" w:color="auto"/>
            </w:tcBorders>
            <w:noWrap/>
            <w:vAlign w:val="center"/>
            <w:hideMark/>
          </w:tcPr>
          <w:p w:rsidR="00A62B8F" w:rsidRPr="00A62B8F" w:rsidRDefault="00A62B8F" w:rsidP="00A62B8F">
            <w:pPr>
              <w:tabs>
                <w:tab w:val="left" w:pos="567"/>
                <w:tab w:val="left" w:pos="993"/>
              </w:tabs>
              <w:spacing w:line="240" w:lineRule="auto"/>
              <w:jc w:val="center"/>
              <w:rPr>
                <w:rFonts w:cs="Arial"/>
                <w:b/>
                <w:bCs/>
                <w:color w:val="000000"/>
                <w:szCs w:val="20"/>
                <w:lang w:eastAsia="sl-SI"/>
              </w:rPr>
            </w:pPr>
            <w:r w:rsidRPr="00A62B8F">
              <w:rPr>
                <w:rFonts w:cs="Arial"/>
                <w:b/>
                <w:bCs/>
                <w:color w:val="000000"/>
                <w:szCs w:val="20"/>
                <w:lang w:eastAsia="sl-SI"/>
              </w:rPr>
              <w:t>2000</w:t>
            </w:r>
          </w:p>
        </w:tc>
      </w:tr>
      <w:tr w:rsidR="00A62B8F" w:rsidRPr="00A62B8F" w:rsidTr="00A62B8F">
        <w:trPr>
          <w:trHeight w:val="178"/>
        </w:trPr>
        <w:tc>
          <w:tcPr>
            <w:tcW w:w="1839" w:type="dxa"/>
            <w:tcBorders>
              <w:top w:val="nil"/>
              <w:left w:val="single" w:sz="4" w:space="0" w:color="auto"/>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left"/>
              <w:rPr>
                <w:rFonts w:cs="Arial"/>
                <w:szCs w:val="20"/>
                <w:lang w:eastAsia="sl-SI"/>
              </w:rPr>
            </w:pPr>
            <w:r w:rsidRPr="00A62B8F">
              <w:rPr>
                <w:rFonts w:cs="Arial"/>
                <w:szCs w:val="20"/>
                <w:lang w:eastAsia="sl-SI"/>
              </w:rPr>
              <w:t>Pomurska regija</w:t>
            </w:r>
          </w:p>
        </w:tc>
        <w:tc>
          <w:tcPr>
            <w:tcW w:w="69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21,78</w:t>
            </w:r>
          </w:p>
        </w:tc>
        <w:tc>
          <w:tcPr>
            <w:tcW w:w="73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59,66</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361,00</w:t>
            </w:r>
          </w:p>
        </w:tc>
        <w:tc>
          <w:tcPr>
            <w:tcW w:w="698"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170,63</w:t>
            </w:r>
          </w:p>
        </w:tc>
        <w:tc>
          <w:tcPr>
            <w:tcW w:w="86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20"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37,53</w:t>
            </w:r>
          </w:p>
        </w:tc>
        <w:tc>
          <w:tcPr>
            <w:tcW w:w="72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75,97</w:t>
            </w:r>
          </w:p>
        </w:tc>
        <w:tc>
          <w:tcPr>
            <w:tcW w:w="73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16,72</w:t>
            </w:r>
          </w:p>
        </w:tc>
      </w:tr>
      <w:tr w:rsidR="00A62B8F" w:rsidRPr="00A62B8F" w:rsidTr="00A62B8F">
        <w:trPr>
          <w:trHeight w:val="178"/>
        </w:trPr>
        <w:tc>
          <w:tcPr>
            <w:tcW w:w="1839" w:type="dxa"/>
            <w:tcBorders>
              <w:top w:val="nil"/>
              <w:left w:val="single" w:sz="4" w:space="0" w:color="auto"/>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left"/>
              <w:rPr>
                <w:rFonts w:cs="Arial"/>
                <w:szCs w:val="20"/>
                <w:lang w:eastAsia="sl-SI"/>
              </w:rPr>
            </w:pPr>
            <w:r w:rsidRPr="00A62B8F">
              <w:rPr>
                <w:rFonts w:cs="Arial"/>
                <w:szCs w:val="20"/>
                <w:lang w:eastAsia="sl-SI"/>
              </w:rPr>
              <w:t>Podravska regija</w:t>
            </w:r>
          </w:p>
        </w:tc>
        <w:tc>
          <w:tcPr>
            <w:tcW w:w="69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64,44</w:t>
            </w:r>
          </w:p>
        </w:tc>
        <w:tc>
          <w:tcPr>
            <w:tcW w:w="73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200,84</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101,72</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387,32</w:t>
            </w:r>
          </w:p>
        </w:tc>
        <w:tc>
          <w:tcPr>
            <w:tcW w:w="698"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72,43</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392,82</w:t>
            </w:r>
          </w:p>
        </w:tc>
        <w:tc>
          <w:tcPr>
            <w:tcW w:w="86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20"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55,40</w:t>
            </w:r>
          </w:p>
        </w:tc>
        <w:tc>
          <w:tcPr>
            <w:tcW w:w="72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62,71</w:t>
            </w:r>
          </w:p>
        </w:tc>
        <w:tc>
          <w:tcPr>
            <w:tcW w:w="73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21,98</w:t>
            </w:r>
          </w:p>
        </w:tc>
      </w:tr>
      <w:tr w:rsidR="00A62B8F" w:rsidRPr="00A62B8F" w:rsidTr="00A62B8F">
        <w:trPr>
          <w:trHeight w:val="178"/>
        </w:trPr>
        <w:tc>
          <w:tcPr>
            <w:tcW w:w="1839" w:type="dxa"/>
            <w:tcBorders>
              <w:top w:val="nil"/>
              <w:left w:val="single" w:sz="4" w:space="0" w:color="auto"/>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left"/>
              <w:rPr>
                <w:rFonts w:cs="Arial"/>
                <w:szCs w:val="20"/>
                <w:lang w:eastAsia="sl-SI"/>
              </w:rPr>
            </w:pPr>
            <w:r w:rsidRPr="00A62B8F">
              <w:rPr>
                <w:rFonts w:cs="Arial"/>
                <w:szCs w:val="20"/>
                <w:lang w:eastAsia="sl-SI"/>
              </w:rPr>
              <w:t>Koroška regija</w:t>
            </w:r>
          </w:p>
        </w:tc>
        <w:tc>
          <w:tcPr>
            <w:tcW w:w="69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45,32</w:t>
            </w:r>
          </w:p>
        </w:tc>
        <w:tc>
          <w:tcPr>
            <w:tcW w:w="73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276,87</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99,43</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31,37</w:t>
            </w:r>
          </w:p>
        </w:tc>
        <w:tc>
          <w:tcPr>
            <w:tcW w:w="698"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164,52</w:t>
            </w:r>
          </w:p>
        </w:tc>
        <w:tc>
          <w:tcPr>
            <w:tcW w:w="86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20"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2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3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17,67</w:t>
            </w:r>
          </w:p>
        </w:tc>
      </w:tr>
      <w:tr w:rsidR="00A62B8F" w:rsidRPr="00A62B8F" w:rsidTr="00A62B8F">
        <w:trPr>
          <w:trHeight w:val="178"/>
        </w:trPr>
        <w:tc>
          <w:tcPr>
            <w:tcW w:w="1839" w:type="dxa"/>
            <w:tcBorders>
              <w:top w:val="nil"/>
              <w:left w:val="single" w:sz="4" w:space="0" w:color="auto"/>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left"/>
              <w:rPr>
                <w:rFonts w:cs="Arial"/>
                <w:szCs w:val="20"/>
                <w:lang w:eastAsia="sl-SI"/>
              </w:rPr>
            </w:pPr>
            <w:r w:rsidRPr="00A62B8F">
              <w:rPr>
                <w:rFonts w:cs="Arial"/>
                <w:szCs w:val="20"/>
                <w:lang w:eastAsia="sl-SI"/>
              </w:rPr>
              <w:t>Savinjska regija</w:t>
            </w:r>
          </w:p>
        </w:tc>
        <w:tc>
          <w:tcPr>
            <w:tcW w:w="69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55,52</w:t>
            </w:r>
          </w:p>
        </w:tc>
        <w:tc>
          <w:tcPr>
            <w:tcW w:w="73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262,35</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151,17</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277,48</w:t>
            </w:r>
          </w:p>
        </w:tc>
        <w:tc>
          <w:tcPr>
            <w:tcW w:w="698"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69,20</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533,92</w:t>
            </w:r>
          </w:p>
        </w:tc>
        <w:tc>
          <w:tcPr>
            <w:tcW w:w="86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20"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54,84</w:t>
            </w:r>
          </w:p>
        </w:tc>
        <w:tc>
          <w:tcPr>
            <w:tcW w:w="72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18,15</w:t>
            </w:r>
          </w:p>
        </w:tc>
        <w:tc>
          <w:tcPr>
            <w:tcW w:w="73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15,39</w:t>
            </w:r>
          </w:p>
        </w:tc>
      </w:tr>
      <w:tr w:rsidR="00A62B8F" w:rsidRPr="00A62B8F" w:rsidTr="00A62B8F">
        <w:trPr>
          <w:trHeight w:val="178"/>
        </w:trPr>
        <w:tc>
          <w:tcPr>
            <w:tcW w:w="1839" w:type="dxa"/>
            <w:tcBorders>
              <w:top w:val="nil"/>
              <w:left w:val="single" w:sz="4" w:space="0" w:color="auto"/>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left"/>
              <w:rPr>
                <w:rFonts w:cs="Arial"/>
                <w:szCs w:val="20"/>
                <w:lang w:eastAsia="sl-SI"/>
              </w:rPr>
            </w:pPr>
            <w:r w:rsidRPr="00A62B8F">
              <w:rPr>
                <w:rFonts w:cs="Arial"/>
                <w:szCs w:val="20"/>
                <w:lang w:eastAsia="sl-SI"/>
              </w:rPr>
              <w:t>Zasavska regija</w:t>
            </w:r>
          </w:p>
        </w:tc>
        <w:tc>
          <w:tcPr>
            <w:tcW w:w="69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38,05</w:t>
            </w:r>
          </w:p>
        </w:tc>
        <w:tc>
          <w:tcPr>
            <w:tcW w:w="73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46,98</w:t>
            </w:r>
          </w:p>
        </w:tc>
        <w:tc>
          <w:tcPr>
            <w:tcW w:w="698"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27,18</w:t>
            </w:r>
          </w:p>
        </w:tc>
        <w:tc>
          <w:tcPr>
            <w:tcW w:w="86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20"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44,52</w:t>
            </w:r>
          </w:p>
        </w:tc>
        <w:tc>
          <w:tcPr>
            <w:tcW w:w="72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3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11,70</w:t>
            </w:r>
          </w:p>
        </w:tc>
      </w:tr>
      <w:tr w:rsidR="00A62B8F" w:rsidRPr="00A62B8F" w:rsidTr="00A62B8F">
        <w:trPr>
          <w:trHeight w:val="178"/>
        </w:trPr>
        <w:tc>
          <w:tcPr>
            <w:tcW w:w="1839" w:type="dxa"/>
            <w:tcBorders>
              <w:top w:val="nil"/>
              <w:left w:val="single" w:sz="4" w:space="0" w:color="auto"/>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left"/>
              <w:rPr>
                <w:rFonts w:cs="Arial"/>
                <w:szCs w:val="20"/>
                <w:lang w:eastAsia="sl-SI"/>
              </w:rPr>
            </w:pPr>
            <w:proofErr w:type="spellStart"/>
            <w:r w:rsidRPr="00A62B8F">
              <w:rPr>
                <w:rFonts w:cs="Arial"/>
                <w:szCs w:val="20"/>
                <w:lang w:eastAsia="sl-SI"/>
              </w:rPr>
              <w:t>Spodnjeposavska</w:t>
            </w:r>
            <w:proofErr w:type="spellEnd"/>
            <w:r w:rsidRPr="00A62B8F">
              <w:rPr>
                <w:rFonts w:cs="Arial"/>
                <w:szCs w:val="20"/>
                <w:lang w:eastAsia="sl-SI"/>
              </w:rPr>
              <w:t xml:space="preserve"> regija</w:t>
            </w:r>
          </w:p>
        </w:tc>
        <w:tc>
          <w:tcPr>
            <w:tcW w:w="69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49,22</w:t>
            </w:r>
          </w:p>
        </w:tc>
        <w:tc>
          <w:tcPr>
            <w:tcW w:w="73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32,79</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320,20</w:t>
            </w:r>
          </w:p>
        </w:tc>
        <w:tc>
          <w:tcPr>
            <w:tcW w:w="698"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76,00</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526,28</w:t>
            </w:r>
          </w:p>
        </w:tc>
        <w:tc>
          <w:tcPr>
            <w:tcW w:w="86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20"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59,94</w:t>
            </w:r>
          </w:p>
        </w:tc>
        <w:tc>
          <w:tcPr>
            <w:tcW w:w="72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59,54</w:t>
            </w:r>
          </w:p>
        </w:tc>
        <w:tc>
          <w:tcPr>
            <w:tcW w:w="73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15,58</w:t>
            </w:r>
          </w:p>
        </w:tc>
      </w:tr>
      <w:tr w:rsidR="00A62B8F" w:rsidRPr="00A62B8F" w:rsidTr="00A62B8F">
        <w:trPr>
          <w:trHeight w:val="178"/>
        </w:trPr>
        <w:tc>
          <w:tcPr>
            <w:tcW w:w="1839" w:type="dxa"/>
            <w:tcBorders>
              <w:top w:val="nil"/>
              <w:left w:val="single" w:sz="4" w:space="0" w:color="auto"/>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left"/>
              <w:rPr>
                <w:rFonts w:cs="Arial"/>
                <w:szCs w:val="20"/>
                <w:lang w:eastAsia="sl-SI"/>
              </w:rPr>
            </w:pPr>
            <w:r w:rsidRPr="00A62B8F">
              <w:rPr>
                <w:rFonts w:cs="Arial"/>
                <w:szCs w:val="20"/>
                <w:lang w:eastAsia="sl-SI"/>
              </w:rPr>
              <w:t>Jugovzhodna Slovenija</w:t>
            </w:r>
          </w:p>
        </w:tc>
        <w:tc>
          <w:tcPr>
            <w:tcW w:w="69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37,13</w:t>
            </w:r>
          </w:p>
        </w:tc>
        <w:tc>
          <w:tcPr>
            <w:tcW w:w="73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51,37</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293,16</w:t>
            </w:r>
          </w:p>
        </w:tc>
        <w:tc>
          <w:tcPr>
            <w:tcW w:w="698"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106,28</w:t>
            </w:r>
          </w:p>
        </w:tc>
        <w:tc>
          <w:tcPr>
            <w:tcW w:w="86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-117,98</w:t>
            </w:r>
          </w:p>
        </w:tc>
        <w:tc>
          <w:tcPr>
            <w:tcW w:w="720"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42,82</w:t>
            </w:r>
          </w:p>
        </w:tc>
        <w:tc>
          <w:tcPr>
            <w:tcW w:w="72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36,52</w:t>
            </w:r>
          </w:p>
        </w:tc>
        <w:tc>
          <w:tcPr>
            <w:tcW w:w="73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14,15</w:t>
            </w:r>
          </w:p>
        </w:tc>
      </w:tr>
      <w:tr w:rsidR="00A62B8F" w:rsidRPr="00A62B8F" w:rsidTr="00A62B8F">
        <w:trPr>
          <w:trHeight w:val="178"/>
        </w:trPr>
        <w:tc>
          <w:tcPr>
            <w:tcW w:w="1839" w:type="dxa"/>
            <w:tcBorders>
              <w:top w:val="nil"/>
              <w:left w:val="single" w:sz="4" w:space="0" w:color="auto"/>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left"/>
              <w:rPr>
                <w:rFonts w:cs="Arial"/>
                <w:szCs w:val="20"/>
                <w:lang w:eastAsia="sl-SI"/>
              </w:rPr>
            </w:pPr>
            <w:r w:rsidRPr="00A62B8F">
              <w:rPr>
                <w:rFonts w:cs="Arial"/>
                <w:szCs w:val="20"/>
                <w:lang w:eastAsia="sl-SI"/>
              </w:rPr>
              <w:t>Osrednjeslovenska regija</w:t>
            </w:r>
          </w:p>
        </w:tc>
        <w:tc>
          <w:tcPr>
            <w:tcW w:w="69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56,14</w:t>
            </w:r>
          </w:p>
        </w:tc>
        <w:tc>
          <w:tcPr>
            <w:tcW w:w="73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113,93</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192,46</w:t>
            </w:r>
          </w:p>
        </w:tc>
        <w:tc>
          <w:tcPr>
            <w:tcW w:w="698"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73,67</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115,71</w:t>
            </w:r>
          </w:p>
        </w:tc>
        <w:tc>
          <w:tcPr>
            <w:tcW w:w="86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20"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52,32</w:t>
            </w:r>
          </w:p>
        </w:tc>
        <w:tc>
          <w:tcPr>
            <w:tcW w:w="72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67,58</w:t>
            </w:r>
          </w:p>
        </w:tc>
        <w:tc>
          <w:tcPr>
            <w:tcW w:w="73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16,44</w:t>
            </w:r>
          </w:p>
        </w:tc>
      </w:tr>
      <w:tr w:rsidR="00A62B8F" w:rsidRPr="00A62B8F" w:rsidTr="00A62B8F">
        <w:trPr>
          <w:trHeight w:val="178"/>
        </w:trPr>
        <w:tc>
          <w:tcPr>
            <w:tcW w:w="1839" w:type="dxa"/>
            <w:tcBorders>
              <w:top w:val="nil"/>
              <w:left w:val="single" w:sz="4" w:space="0" w:color="auto"/>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left"/>
              <w:rPr>
                <w:rFonts w:cs="Arial"/>
                <w:szCs w:val="20"/>
                <w:lang w:eastAsia="sl-SI"/>
              </w:rPr>
            </w:pPr>
            <w:r w:rsidRPr="00A62B8F">
              <w:rPr>
                <w:rFonts w:cs="Arial"/>
                <w:szCs w:val="20"/>
                <w:lang w:eastAsia="sl-SI"/>
              </w:rPr>
              <w:t>Gorenjska regija</w:t>
            </w:r>
          </w:p>
        </w:tc>
        <w:tc>
          <w:tcPr>
            <w:tcW w:w="69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81,34</w:t>
            </w:r>
          </w:p>
        </w:tc>
        <w:tc>
          <w:tcPr>
            <w:tcW w:w="73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111,77</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6,04</w:t>
            </w:r>
          </w:p>
        </w:tc>
        <w:tc>
          <w:tcPr>
            <w:tcW w:w="698"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546,87</w:t>
            </w:r>
          </w:p>
        </w:tc>
        <w:tc>
          <w:tcPr>
            <w:tcW w:w="86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20"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2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3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12,85</w:t>
            </w:r>
          </w:p>
        </w:tc>
      </w:tr>
      <w:tr w:rsidR="00A62B8F" w:rsidRPr="00A62B8F" w:rsidTr="00A62B8F">
        <w:trPr>
          <w:trHeight w:val="178"/>
        </w:trPr>
        <w:tc>
          <w:tcPr>
            <w:tcW w:w="1839" w:type="dxa"/>
            <w:tcBorders>
              <w:top w:val="nil"/>
              <w:left w:val="single" w:sz="4" w:space="0" w:color="auto"/>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left"/>
              <w:rPr>
                <w:rFonts w:cs="Arial"/>
                <w:szCs w:val="20"/>
                <w:lang w:eastAsia="sl-SI"/>
              </w:rPr>
            </w:pPr>
            <w:r w:rsidRPr="00A62B8F">
              <w:rPr>
                <w:rFonts w:cs="Arial"/>
                <w:szCs w:val="20"/>
                <w:lang w:eastAsia="sl-SI"/>
              </w:rPr>
              <w:t>Notranjsko-kraška regija</w:t>
            </w:r>
          </w:p>
        </w:tc>
        <w:tc>
          <w:tcPr>
            <w:tcW w:w="69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47,12</w:t>
            </w:r>
          </w:p>
        </w:tc>
        <w:tc>
          <w:tcPr>
            <w:tcW w:w="73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132,17</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53,53</w:t>
            </w:r>
          </w:p>
        </w:tc>
        <w:tc>
          <w:tcPr>
            <w:tcW w:w="698"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140,62</w:t>
            </w:r>
          </w:p>
        </w:tc>
        <w:tc>
          <w:tcPr>
            <w:tcW w:w="86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20"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2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3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12,29</w:t>
            </w:r>
          </w:p>
        </w:tc>
      </w:tr>
      <w:tr w:rsidR="00A62B8F" w:rsidRPr="00A62B8F" w:rsidTr="00A62B8F">
        <w:trPr>
          <w:trHeight w:val="178"/>
        </w:trPr>
        <w:tc>
          <w:tcPr>
            <w:tcW w:w="1839" w:type="dxa"/>
            <w:tcBorders>
              <w:top w:val="nil"/>
              <w:left w:val="single" w:sz="4" w:space="0" w:color="auto"/>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left"/>
              <w:rPr>
                <w:rFonts w:cs="Arial"/>
                <w:szCs w:val="20"/>
                <w:lang w:eastAsia="sl-SI"/>
              </w:rPr>
            </w:pPr>
            <w:r w:rsidRPr="00A62B8F">
              <w:rPr>
                <w:rFonts w:cs="Arial"/>
                <w:szCs w:val="20"/>
                <w:lang w:eastAsia="sl-SI"/>
              </w:rPr>
              <w:t>Goriška regija</w:t>
            </w:r>
          </w:p>
        </w:tc>
        <w:tc>
          <w:tcPr>
            <w:tcW w:w="69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49,54</w:t>
            </w:r>
          </w:p>
        </w:tc>
        <w:tc>
          <w:tcPr>
            <w:tcW w:w="73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69,71</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313,68</w:t>
            </w:r>
          </w:p>
        </w:tc>
        <w:tc>
          <w:tcPr>
            <w:tcW w:w="698"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70,99</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324,29</w:t>
            </w:r>
          </w:p>
        </w:tc>
        <w:tc>
          <w:tcPr>
            <w:tcW w:w="86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-338,43</w:t>
            </w:r>
          </w:p>
        </w:tc>
        <w:tc>
          <w:tcPr>
            <w:tcW w:w="720"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2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3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9,27</w:t>
            </w:r>
          </w:p>
        </w:tc>
      </w:tr>
      <w:tr w:rsidR="00A62B8F" w:rsidRPr="00A62B8F" w:rsidTr="00A62B8F">
        <w:trPr>
          <w:trHeight w:val="178"/>
        </w:trPr>
        <w:tc>
          <w:tcPr>
            <w:tcW w:w="1839" w:type="dxa"/>
            <w:tcBorders>
              <w:top w:val="nil"/>
              <w:left w:val="single" w:sz="4" w:space="0" w:color="auto"/>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left"/>
              <w:rPr>
                <w:rFonts w:cs="Arial"/>
                <w:szCs w:val="20"/>
                <w:lang w:eastAsia="sl-SI"/>
              </w:rPr>
            </w:pPr>
            <w:r w:rsidRPr="00A62B8F">
              <w:rPr>
                <w:rFonts w:cs="Arial"/>
                <w:szCs w:val="20"/>
                <w:lang w:eastAsia="sl-SI"/>
              </w:rPr>
              <w:t>Obalno-kraška regija</w:t>
            </w:r>
          </w:p>
        </w:tc>
        <w:tc>
          <w:tcPr>
            <w:tcW w:w="69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-49,38</w:t>
            </w:r>
          </w:p>
        </w:tc>
        <w:tc>
          <w:tcPr>
            <w:tcW w:w="73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273,63</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367,42</w:t>
            </w:r>
          </w:p>
        </w:tc>
        <w:tc>
          <w:tcPr>
            <w:tcW w:w="698"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 w:val="18"/>
                <w:szCs w:val="18"/>
                <w:lang w:eastAsia="sl-SI"/>
              </w:rPr>
            </w:pPr>
            <w:r w:rsidRPr="00A62B8F">
              <w:rPr>
                <w:rFonts w:cs="Arial"/>
                <w:sz w:val="18"/>
                <w:szCs w:val="18"/>
                <w:lang w:eastAsia="sl-SI"/>
              </w:rPr>
              <w:t> </w:t>
            </w:r>
          </w:p>
        </w:tc>
        <w:tc>
          <w:tcPr>
            <w:tcW w:w="734"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242,23</w:t>
            </w:r>
          </w:p>
        </w:tc>
        <w:tc>
          <w:tcPr>
            <w:tcW w:w="862"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-91,81</w:t>
            </w:r>
          </w:p>
        </w:tc>
        <w:tc>
          <w:tcPr>
            <w:tcW w:w="720"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-86,03</w:t>
            </w:r>
          </w:p>
        </w:tc>
        <w:tc>
          <w:tcPr>
            <w:tcW w:w="72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12,97</w:t>
            </w:r>
          </w:p>
        </w:tc>
        <w:tc>
          <w:tcPr>
            <w:tcW w:w="736" w:type="dxa"/>
            <w:tcBorders>
              <w:top w:val="nil"/>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1,17</w:t>
            </w:r>
          </w:p>
        </w:tc>
      </w:tr>
      <w:tr w:rsidR="00A62B8F" w:rsidRPr="00A62B8F" w:rsidTr="00A62B8F">
        <w:trPr>
          <w:trHeight w:val="178"/>
        </w:trPr>
        <w:tc>
          <w:tcPr>
            <w:tcW w:w="1839" w:type="dxa"/>
            <w:noWrap/>
            <w:vAlign w:val="bottom"/>
            <w:hideMark/>
          </w:tcPr>
          <w:p w:rsidR="00A62B8F" w:rsidRPr="00A62B8F" w:rsidRDefault="00A62B8F" w:rsidP="00A62B8F">
            <w:pPr>
              <w:tabs>
                <w:tab w:val="left" w:pos="567"/>
                <w:tab w:val="left" w:pos="993"/>
              </w:tabs>
              <w:spacing w:line="240" w:lineRule="auto"/>
              <w:jc w:val="left"/>
              <w:rPr>
                <w:rFonts w:ascii="Times New Roman" w:hAnsi="Times New Roman"/>
                <w:sz w:val="20"/>
                <w:szCs w:val="20"/>
                <w:lang w:eastAsia="sl-SI"/>
              </w:rPr>
            </w:pPr>
          </w:p>
        </w:tc>
        <w:tc>
          <w:tcPr>
            <w:tcW w:w="694" w:type="dxa"/>
            <w:noWrap/>
            <w:vAlign w:val="bottom"/>
            <w:hideMark/>
          </w:tcPr>
          <w:p w:rsidR="00A62B8F" w:rsidRPr="00A62B8F" w:rsidRDefault="00A62B8F" w:rsidP="00A62B8F">
            <w:pPr>
              <w:tabs>
                <w:tab w:val="left" w:pos="567"/>
                <w:tab w:val="left" w:pos="993"/>
              </w:tabs>
              <w:spacing w:line="240" w:lineRule="auto"/>
              <w:jc w:val="left"/>
              <w:rPr>
                <w:rFonts w:ascii="Times New Roman" w:hAnsi="Times New Roman"/>
                <w:sz w:val="20"/>
                <w:szCs w:val="20"/>
                <w:lang w:eastAsia="sl-SI"/>
              </w:rPr>
            </w:pPr>
          </w:p>
        </w:tc>
        <w:tc>
          <w:tcPr>
            <w:tcW w:w="732" w:type="dxa"/>
            <w:noWrap/>
            <w:vAlign w:val="bottom"/>
            <w:hideMark/>
          </w:tcPr>
          <w:p w:rsidR="00A62B8F" w:rsidRPr="00A62B8F" w:rsidRDefault="00A62B8F" w:rsidP="00A62B8F">
            <w:pPr>
              <w:tabs>
                <w:tab w:val="left" w:pos="567"/>
                <w:tab w:val="left" w:pos="993"/>
              </w:tabs>
              <w:spacing w:line="240" w:lineRule="auto"/>
              <w:jc w:val="left"/>
              <w:rPr>
                <w:rFonts w:ascii="Times New Roman" w:hAnsi="Times New Roman"/>
                <w:sz w:val="20"/>
                <w:szCs w:val="20"/>
                <w:lang w:eastAsia="sl-SI"/>
              </w:rPr>
            </w:pPr>
          </w:p>
        </w:tc>
        <w:tc>
          <w:tcPr>
            <w:tcW w:w="734" w:type="dxa"/>
            <w:noWrap/>
            <w:vAlign w:val="bottom"/>
            <w:hideMark/>
          </w:tcPr>
          <w:p w:rsidR="00A62B8F" w:rsidRPr="00A62B8F" w:rsidRDefault="00A62B8F" w:rsidP="00A62B8F">
            <w:pPr>
              <w:tabs>
                <w:tab w:val="left" w:pos="567"/>
                <w:tab w:val="left" w:pos="993"/>
              </w:tabs>
              <w:spacing w:line="240" w:lineRule="auto"/>
              <w:jc w:val="left"/>
              <w:rPr>
                <w:rFonts w:ascii="Times New Roman" w:hAnsi="Times New Roman"/>
                <w:sz w:val="20"/>
                <w:szCs w:val="20"/>
                <w:lang w:eastAsia="sl-SI"/>
              </w:rPr>
            </w:pPr>
          </w:p>
        </w:tc>
        <w:tc>
          <w:tcPr>
            <w:tcW w:w="734" w:type="dxa"/>
            <w:noWrap/>
            <w:vAlign w:val="bottom"/>
            <w:hideMark/>
          </w:tcPr>
          <w:p w:rsidR="00A62B8F" w:rsidRPr="00A62B8F" w:rsidRDefault="00A62B8F" w:rsidP="00A62B8F">
            <w:pPr>
              <w:tabs>
                <w:tab w:val="left" w:pos="567"/>
                <w:tab w:val="left" w:pos="993"/>
              </w:tabs>
              <w:spacing w:line="240" w:lineRule="auto"/>
              <w:jc w:val="left"/>
              <w:rPr>
                <w:rFonts w:ascii="Times New Roman" w:hAnsi="Times New Roman"/>
                <w:sz w:val="20"/>
                <w:szCs w:val="20"/>
                <w:lang w:eastAsia="sl-SI"/>
              </w:rPr>
            </w:pPr>
          </w:p>
        </w:tc>
        <w:tc>
          <w:tcPr>
            <w:tcW w:w="698" w:type="dxa"/>
            <w:noWrap/>
            <w:vAlign w:val="bottom"/>
            <w:hideMark/>
          </w:tcPr>
          <w:p w:rsidR="00A62B8F" w:rsidRPr="00A62B8F" w:rsidRDefault="00A62B8F" w:rsidP="00A62B8F">
            <w:pPr>
              <w:tabs>
                <w:tab w:val="left" w:pos="567"/>
                <w:tab w:val="left" w:pos="993"/>
              </w:tabs>
              <w:spacing w:line="240" w:lineRule="auto"/>
              <w:jc w:val="left"/>
              <w:rPr>
                <w:rFonts w:ascii="Times New Roman" w:hAnsi="Times New Roman"/>
                <w:sz w:val="20"/>
                <w:szCs w:val="20"/>
                <w:lang w:eastAsia="sl-SI"/>
              </w:rPr>
            </w:pPr>
          </w:p>
        </w:tc>
        <w:tc>
          <w:tcPr>
            <w:tcW w:w="734" w:type="dxa"/>
            <w:noWrap/>
            <w:vAlign w:val="bottom"/>
            <w:hideMark/>
          </w:tcPr>
          <w:p w:rsidR="00A62B8F" w:rsidRPr="00A62B8F" w:rsidRDefault="00A62B8F" w:rsidP="00A62B8F">
            <w:pPr>
              <w:tabs>
                <w:tab w:val="left" w:pos="567"/>
                <w:tab w:val="left" w:pos="993"/>
              </w:tabs>
              <w:spacing w:line="240" w:lineRule="auto"/>
              <w:jc w:val="left"/>
              <w:rPr>
                <w:rFonts w:ascii="Times New Roman" w:hAnsi="Times New Roman"/>
                <w:sz w:val="20"/>
                <w:szCs w:val="20"/>
                <w:lang w:eastAsia="sl-SI"/>
              </w:rPr>
            </w:pPr>
          </w:p>
        </w:tc>
        <w:tc>
          <w:tcPr>
            <w:tcW w:w="862" w:type="dxa"/>
            <w:noWrap/>
            <w:vAlign w:val="bottom"/>
            <w:hideMark/>
          </w:tcPr>
          <w:p w:rsidR="00A62B8F" w:rsidRPr="00A62B8F" w:rsidRDefault="00A62B8F" w:rsidP="00A62B8F">
            <w:pPr>
              <w:tabs>
                <w:tab w:val="left" w:pos="567"/>
                <w:tab w:val="left" w:pos="993"/>
              </w:tabs>
              <w:spacing w:line="240" w:lineRule="auto"/>
              <w:jc w:val="left"/>
              <w:rPr>
                <w:rFonts w:ascii="Times New Roman" w:hAnsi="Times New Roman"/>
                <w:sz w:val="20"/>
                <w:szCs w:val="20"/>
                <w:lang w:eastAsia="sl-SI"/>
              </w:rPr>
            </w:pPr>
          </w:p>
        </w:tc>
        <w:tc>
          <w:tcPr>
            <w:tcW w:w="720" w:type="dxa"/>
            <w:noWrap/>
            <w:vAlign w:val="bottom"/>
            <w:hideMark/>
          </w:tcPr>
          <w:p w:rsidR="00A62B8F" w:rsidRPr="00A62B8F" w:rsidRDefault="00A62B8F" w:rsidP="00A62B8F">
            <w:pPr>
              <w:tabs>
                <w:tab w:val="left" w:pos="567"/>
                <w:tab w:val="left" w:pos="993"/>
              </w:tabs>
              <w:spacing w:line="240" w:lineRule="auto"/>
              <w:jc w:val="left"/>
              <w:rPr>
                <w:rFonts w:ascii="Times New Roman" w:hAnsi="Times New Roman"/>
                <w:sz w:val="20"/>
                <w:szCs w:val="20"/>
                <w:lang w:eastAsia="sl-SI"/>
              </w:rPr>
            </w:pPr>
          </w:p>
        </w:tc>
        <w:tc>
          <w:tcPr>
            <w:tcW w:w="726" w:type="dxa"/>
            <w:noWrap/>
            <w:vAlign w:val="bottom"/>
            <w:hideMark/>
          </w:tcPr>
          <w:p w:rsidR="00A62B8F" w:rsidRPr="00A62B8F" w:rsidRDefault="00A62B8F" w:rsidP="00A62B8F">
            <w:pPr>
              <w:tabs>
                <w:tab w:val="left" w:pos="567"/>
                <w:tab w:val="left" w:pos="993"/>
              </w:tabs>
              <w:spacing w:line="240" w:lineRule="auto"/>
              <w:jc w:val="left"/>
              <w:rPr>
                <w:rFonts w:ascii="Times New Roman" w:hAnsi="Times New Roman"/>
                <w:sz w:val="20"/>
                <w:szCs w:val="20"/>
                <w:lang w:eastAsia="sl-SI"/>
              </w:rPr>
            </w:pPr>
          </w:p>
        </w:tc>
        <w:tc>
          <w:tcPr>
            <w:tcW w:w="736" w:type="dxa"/>
            <w:noWrap/>
            <w:vAlign w:val="bottom"/>
            <w:hideMark/>
          </w:tcPr>
          <w:p w:rsidR="00A62B8F" w:rsidRPr="00A62B8F" w:rsidRDefault="00A62B8F" w:rsidP="00A62B8F">
            <w:pPr>
              <w:tabs>
                <w:tab w:val="left" w:pos="567"/>
                <w:tab w:val="left" w:pos="993"/>
              </w:tabs>
              <w:spacing w:line="240" w:lineRule="auto"/>
              <w:jc w:val="left"/>
              <w:rPr>
                <w:rFonts w:ascii="Times New Roman" w:hAnsi="Times New Roman"/>
                <w:sz w:val="20"/>
                <w:szCs w:val="20"/>
                <w:lang w:eastAsia="sl-SI"/>
              </w:rPr>
            </w:pPr>
          </w:p>
        </w:tc>
      </w:tr>
      <w:tr w:rsidR="00A62B8F" w:rsidRPr="00A62B8F" w:rsidTr="00A62B8F">
        <w:trPr>
          <w:trHeight w:val="178"/>
        </w:trPr>
        <w:tc>
          <w:tcPr>
            <w:tcW w:w="1839" w:type="dxa"/>
            <w:tcBorders>
              <w:top w:val="single" w:sz="4" w:space="0" w:color="auto"/>
              <w:left w:val="single" w:sz="4" w:space="0" w:color="auto"/>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rPr>
                <w:rFonts w:cs="Arial"/>
                <w:szCs w:val="20"/>
                <w:lang w:eastAsia="sl-SI"/>
              </w:rPr>
            </w:pPr>
            <w:r w:rsidRPr="00A62B8F">
              <w:rPr>
                <w:rFonts w:cs="Arial"/>
                <w:szCs w:val="20"/>
                <w:lang w:eastAsia="sl-SI"/>
              </w:rPr>
              <w:t xml:space="preserve"> Slovenija</w:t>
            </w:r>
          </w:p>
        </w:tc>
        <w:tc>
          <w:tcPr>
            <w:tcW w:w="694" w:type="dxa"/>
            <w:tcBorders>
              <w:top w:val="single" w:sz="4" w:space="0" w:color="auto"/>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45,78</w:t>
            </w:r>
          </w:p>
        </w:tc>
        <w:tc>
          <w:tcPr>
            <w:tcW w:w="732" w:type="dxa"/>
            <w:tcBorders>
              <w:top w:val="single" w:sz="4" w:space="0" w:color="auto"/>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258,77</w:t>
            </w:r>
          </w:p>
        </w:tc>
        <w:tc>
          <w:tcPr>
            <w:tcW w:w="734" w:type="dxa"/>
            <w:tcBorders>
              <w:top w:val="single" w:sz="4" w:space="0" w:color="auto"/>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98,83</w:t>
            </w:r>
          </w:p>
        </w:tc>
        <w:tc>
          <w:tcPr>
            <w:tcW w:w="734" w:type="dxa"/>
            <w:tcBorders>
              <w:top w:val="single" w:sz="4" w:space="0" w:color="auto"/>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342,6</w:t>
            </w:r>
          </w:p>
        </w:tc>
        <w:tc>
          <w:tcPr>
            <w:tcW w:w="698" w:type="dxa"/>
            <w:tcBorders>
              <w:top w:val="single" w:sz="4" w:space="0" w:color="auto"/>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71,57</w:t>
            </w:r>
          </w:p>
        </w:tc>
        <w:tc>
          <w:tcPr>
            <w:tcW w:w="734" w:type="dxa"/>
            <w:tcBorders>
              <w:top w:val="single" w:sz="4" w:space="0" w:color="auto"/>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388,54</w:t>
            </w:r>
          </w:p>
        </w:tc>
        <w:tc>
          <w:tcPr>
            <w:tcW w:w="862" w:type="dxa"/>
            <w:tcBorders>
              <w:top w:val="single" w:sz="4" w:space="0" w:color="auto"/>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-100,03</w:t>
            </w:r>
          </w:p>
        </w:tc>
        <w:tc>
          <w:tcPr>
            <w:tcW w:w="720" w:type="dxa"/>
            <w:tcBorders>
              <w:top w:val="single" w:sz="4" w:space="0" w:color="auto"/>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45,71</w:t>
            </w:r>
          </w:p>
        </w:tc>
        <w:tc>
          <w:tcPr>
            <w:tcW w:w="726" w:type="dxa"/>
            <w:tcBorders>
              <w:top w:val="single" w:sz="4" w:space="0" w:color="auto"/>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62,65</w:t>
            </w:r>
          </w:p>
        </w:tc>
        <w:tc>
          <w:tcPr>
            <w:tcW w:w="736" w:type="dxa"/>
            <w:tcBorders>
              <w:top w:val="single" w:sz="4" w:space="0" w:color="auto"/>
              <w:left w:val="nil"/>
              <w:bottom w:val="single" w:sz="4" w:space="0" w:color="auto"/>
              <w:right w:val="single" w:sz="4" w:space="0" w:color="auto"/>
            </w:tcBorders>
            <w:noWrap/>
            <w:vAlign w:val="bottom"/>
            <w:hideMark/>
          </w:tcPr>
          <w:p w:rsidR="00A62B8F" w:rsidRPr="00A62B8F" w:rsidRDefault="00A62B8F" w:rsidP="00A62B8F">
            <w:pPr>
              <w:tabs>
                <w:tab w:val="left" w:pos="567"/>
                <w:tab w:val="left" w:pos="993"/>
              </w:tabs>
              <w:spacing w:line="240" w:lineRule="auto"/>
              <w:jc w:val="right"/>
              <w:rPr>
                <w:rFonts w:cs="Arial"/>
                <w:sz w:val="18"/>
                <w:szCs w:val="18"/>
                <w:lang w:eastAsia="sl-SI"/>
              </w:rPr>
            </w:pPr>
            <w:r w:rsidRPr="00A62B8F">
              <w:rPr>
                <w:rFonts w:cs="Arial"/>
                <w:sz w:val="18"/>
                <w:szCs w:val="18"/>
                <w:lang w:eastAsia="sl-SI"/>
              </w:rPr>
              <w:t>14,17</w:t>
            </w:r>
          </w:p>
        </w:tc>
      </w:tr>
    </w:tbl>
    <w:p w:rsidR="00A62B8F" w:rsidRPr="00A62B8F" w:rsidRDefault="00A62B8F" w:rsidP="00A62B8F">
      <w:pPr>
        <w:tabs>
          <w:tab w:val="left" w:pos="567"/>
          <w:tab w:val="left" w:pos="993"/>
        </w:tabs>
        <w:rPr>
          <w:rFonts w:cs="Arial"/>
          <w:color w:val="000000"/>
          <w:szCs w:val="22"/>
        </w:rPr>
      </w:pPr>
    </w:p>
    <w:p w:rsidR="00A62B8F" w:rsidRPr="00A62B8F" w:rsidRDefault="00A62B8F" w:rsidP="00A62B8F">
      <w:pPr>
        <w:pStyle w:val="Poglavje"/>
        <w:tabs>
          <w:tab w:val="left" w:pos="567"/>
          <w:tab w:val="left" w:pos="993"/>
        </w:tabs>
        <w:spacing w:before="0" w:after="0" w:line="260" w:lineRule="exact"/>
        <w:jc w:val="left"/>
      </w:pPr>
      <w:r w:rsidRPr="00A62B8F">
        <w:t>Šifrant dejanskih rab:</w:t>
      </w:r>
    </w:p>
    <w:tbl>
      <w:tblPr>
        <w:tblW w:w="4578" w:type="dxa"/>
        <w:tblCellMar>
          <w:left w:w="70" w:type="dxa"/>
          <w:right w:w="70" w:type="dxa"/>
        </w:tblCellMar>
        <w:tblLook w:val="04A0" w:firstRow="1" w:lastRow="0" w:firstColumn="1" w:lastColumn="0" w:noHBand="0" w:noVBand="1"/>
      </w:tblPr>
      <w:tblGrid>
        <w:gridCol w:w="698"/>
        <w:gridCol w:w="3880"/>
      </w:tblGrid>
      <w:tr w:rsidR="00A62B8F" w:rsidRPr="00A62B8F" w:rsidTr="00A62B8F">
        <w:trPr>
          <w:trHeight w:val="271"/>
        </w:trPr>
        <w:tc>
          <w:tcPr>
            <w:tcW w:w="698" w:type="dxa"/>
            <w:noWrap/>
            <w:vAlign w:val="bottom"/>
            <w:hideMark/>
          </w:tcPr>
          <w:p w:rsidR="00A62B8F" w:rsidRPr="00A62B8F" w:rsidRDefault="00A62B8F" w:rsidP="00A62B8F">
            <w:pPr>
              <w:tabs>
                <w:tab w:val="left" w:pos="567"/>
                <w:tab w:val="left" w:pos="993"/>
              </w:tabs>
              <w:spacing w:line="240" w:lineRule="auto"/>
              <w:jc w:val="right"/>
              <w:rPr>
                <w:rFonts w:cs="Arial"/>
                <w:szCs w:val="22"/>
                <w:lang w:eastAsia="sl-SI"/>
              </w:rPr>
            </w:pPr>
            <w:r w:rsidRPr="00A62B8F">
              <w:rPr>
                <w:rFonts w:cs="Arial"/>
                <w:szCs w:val="22"/>
                <w:lang w:eastAsia="sl-SI"/>
              </w:rPr>
              <w:t>1000</w:t>
            </w:r>
          </w:p>
        </w:tc>
        <w:tc>
          <w:tcPr>
            <w:tcW w:w="3880" w:type="dxa"/>
            <w:noWrap/>
            <w:vAlign w:val="bottom"/>
            <w:hideMark/>
          </w:tcPr>
          <w:p w:rsidR="00A62B8F" w:rsidRPr="00A62B8F" w:rsidRDefault="00A62B8F" w:rsidP="00A62B8F">
            <w:pPr>
              <w:tabs>
                <w:tab w:val="left" w:pos="567"/>
                <w:tab w:val="left" w:pos="993"/>
              </w:tabs>
              <w:spacing w:line="240" w:lineRule="auto"/>
              <w:rPr>
                <w:rFonts w:cs="Arial"/>
                <w:szCs w:val="22"/>
                <w:lang w:eastAsia="sl-SI"/>
              </w:rPr>
            </w:pPr>
            <w:r w:rsidRPr="00A62B8F">
              <w:rPr>
                <w:rFonts w:cs="Arial"/>
                <w:szCs w:val="22"/>
                <w:lang w:eastAsia="sl-SI"/>
              </w:rPr>
              <w:t xml:space="preserve">kmetijsko zemljišče </w:t>
            </w:r>
          </w:p>
        </w:tc>
      </w:tr>
      <w:tr w:rsidR="00A62B8F" w:rsidRPr="00A62B8F" w:rsidTr="00A62B8F">
        <w:trPr>
          <w:trHeight w:val="271"/>
        </w:trPr>
        <w:tc>
          <w:tcPr>
            <w:tcW w:w="698" w:type="dxa"/>
            <w:noWrap/>
            <w:vAlign w:val="bottom"/>
            <w:hideMark/>
          </w:tcPr>
          <w:p w:rsidR="00A62B8F" w:rsidRPr="00A62B8F" w:rsidRDefault="00A62B8F" w:rsidP="00A62B8F">
            <w:pPr>
              <w:tabs>
                <w:tab w:val="left" w:pos="567"/>
                <w:tab w:val="left" w:pos="993"/>
              </w:tabs>
              <w:spacing w:line="240" w:lineRule="auto"/>
              <w:jc w:val="right"/>
              <w:rPr>
                <w:rFonts w:cs="Arial"/>
                <w:szCs w:val="22"/>
                <w:lang w:eastAsia="sl-SI"/>
              </w:rPr>
            </w:pPr>
            <w:r w:rsidRPr="00A62B8F">
              <w:rPr>
                <w:rFonts w:cs="Arial"/>
                <w:szCs w:val="22"/>
                <w:lang w:eastAsia="sl-SI"/>
              </w:rPr>
              <w:t>1160</w:t>
            </w:r>
          </w:p>
        </w:tc>
        <w:tc>
          <w:tcPr>
            <w:tcW w:w="3880" w:type="dxa"/>
            <w:noWrap/>
            <w:vAlign w:val="bottom"/>
            <w:hideMark/>
          </w:tcPr>
          <w:p w:rsidR="00A62B8F" w:rsidRPr="00A62B8F" w:rsidRDefault="00A62B8F" w:rsidP="00A62B8F">
            <w:pPr>
              <w:tabs>
                <w:tab w:val="left" w:pos="567"/>
                <w:tab w:val="left" w:pos="993"/>
              </w:tabs>
              <w:spacing w:line="240" w:lineRule="auto"/>
              <w:rPr>
                <w:rFonts w:cs="Arial"/>
                <w:szCs w:val="22"/>
                <w:lang w:eastAsia="sl-SI"/>
              </w:rPr>
            </w:pPr>
            <w:r w:rsidRPr="00A62B8F">
              <w:rPr>
                <w:rFonts w:cs="Arial"/>
                <w:szCs w:val="22"/>
                <w:lang w:eastAsia="sl-SI"/>
              </w:rPr>
              <w:t>hmeljišče</w:t>
            </w:r>
          </w:p>
        </w:tc>
      </w:tr>
      <w:tr w:rsidR="00A62B8F" w:rsidRPr="00A62B8F" w:rsidTr="00A62B8F">
        <w:trPr>
          <w:trHeight w:val="271"/>
        </w:trPr>
        <w:tc>
          <w:tcPr>
            <w:tcW w:w="698" w:type="dxa"/>
            <w:noWrap/>
            <w:vAlign w:val="bottom"/>
            <w:hideMark/>
          </w:tcPr>
          <w:p w:rsidR="00A62B8F" w:rsidRPr="00A62B8F" w:rsidRDefault="00A62B8F" w:rsidP="00A62B8F">
            <w:pPr>
              <w:tabs>
                <w:tab w:val="left" w:pos="567"/>
                <w:tab w:val="left" w:pos="993"/>
              </w:tabs>
              <w:spacing w:line="240" w:lineRule="auto"/>
              <w:jc w:val="right"/>
              <w:rPr>
                <w:rFonts w:cs="Arial"/>
                <w:szCs w:val="22"/>
                <w:lang w:eastAsia="sl-SI"/>
              </w:rPr>
            </w:pPr>
            <w:r w:rsidRPr="00A62B8F">
              <w:rPr>
                <w:rFonts w:cs="Arial"/>
                <w:szCs w:val="22"/>
                <w:lang w:eastAsia="sl-SI"/>
              </w:rPr>
              <w:t>1180</w:t>
            </w:r>
          </w:p>
        </w:tc>
        <w:tc>
          <w:tcPr>
            <w:tcW w:w="3880" w:type="dxa"/>
            <w:noWrap/>
            <w:vAlign w:val="bottom"/>
            <w:hideMark/>
          </w:tcPr>
          <w:p w:rsidR="00A62B8F" w:rsidRPr="00A62B8F" w:rsidRDefault="00A62B8F" w:rsidP="00A62B8F">
            <w:pPr>
              <w:tabs>
                <w:tab w:val="left" w:pos="567"/>
                <w:tab w:val="left" w:pos="993"/>
              </w:tabs>
              <w:spacing w:line="240" w:lineRule="auto"/>
              <w:ind w:right="-240" w:hanging="556"/>
              <w:rPr>
                <w:rFonts w:cs="Arial"/>
                <w:szCs w:val="22"/>
                <w:lang w:eastAsia="sl-SI"/>
              </w:rPr>
            </w:pPr>
            <w:proofErr w:type="spellStart"/>
            <w:r w:rsidRPr="00A62B8F">
              <w:rPr>
                <w:rFonts w:cs="Arial"/>
                <w:szCs w:val="22"/>
                <w:lang w:eastAsia="sl-SI"/>
              </w:rPr>
              <w:t>Traj</w:t>
            </w:r>
            <w:proofErr w:type="spellEnd"/>
            <w:r w:rsidRPr="00A62B8F">
              <w:rPr>
                <w:rFonts w:cs="Arial"/>
                <w:szCs w:val="22"/>
                <w:lang w:eastAsia="sl-SI"/>
              </w:rPr>
              <w:t xml:space="preserve">   trajne rastline na njivskih površinah</w:t>
            </w:r>
          </w:p>
        </w:tc>
      </w:tr>
      <w:tr w:rsidR="00A62B8F" w:rsidRPr="00A62B8F" w:rsidTr="00A62B8F">
        <w:trPr>
          <w:trHeight w:val="271"/>
        </w:trPr>
        <w:tc>
          <w:tcPr>
            <w:tcW w:w="698" w:type="dxa"/>
            <w:noWrap/>
            <w:vAlign w:val="bottom"/>
            <w:hideMark/>
          </w:tcPr>
          <w:p w:rsidR="00A62B8F" w:rsidRPr="00A62B8F" w:rsidRDefault="00A62B8F" w:rsidP="00A62B8F">
            <w:pPr>
              <w:tabs>
                <w:tab w:val="left" w:pos="567"/>
                <w:tab w:val="left" w:pos="993"/>
              </w:tabs>
              <w:spacing w:line="240" w:lineRule="auto"/>
              <w:jc w:val="right"/>
              <w:rPr>
                <w:rFonts w:cs="Arial"/>
                <w:szCs w:val="22"/>
                <w:lang w:eastAsia="sl-SI"/>
              </w:rPr>
            </w:pPr>
            <w:r w:rsidRPr="00A62B8F">
              <w:rPr>
                <w:rFonts w:cs="Arial"/>
                <w:szCs w:val="22"/>
                <w:lang w:eastAsia="sl-SI"/>
              </w:rPr>
              <w:t>1211</w:t>
            </w:r>
          </w:p>
        </w:tc>
        <w:tc>
          <w:tcPr>
            <w:tcW w:w="3880" w:type="dxa"/>
            <w:noWrap/>
            <w:vAlign w:val="bottom"/>
            <w:hideMark/>
          </w:tcPr>
          <w:p w:rsidR="00A62B8F" w:rsidRPr="00A62B8F" w:rsidRDefault="00A62B8F" w:rsidP="00A62B8F">
            <w:pPr>
              <w:tabs>
                <w:tab w:val="left" w:pos="567"/>
                <w:tab w:val="left" w:pos="993"/>
              </w:tabs>
              <w:spacing w:line="240" w:lineRule="auto"/>
              <w:rPr>
                <w:rFonts w:cs="Arial"/>
                <w:szCs w:val="22"/>
                <w:lang w:eastAsia="sl-SI"/>
              </w:rPr>
            </w:pPr>
            <w:r w:rsidRPr="00A62B8F">
              <w:rPr>
                <w:rFonts w:cs="Arial"/>
                <w:szCs w:val="22"/>
                <w:lang w:eastAsia="sl-SI"/>
              </w:rPr>
              <w:t>vinograd</w:t>
            </w:r>
          </w:p>
        </w:tc>
      </w:tr>
      <w:tr w:rsidR="00A62B8F" w:rsidRPr="00A62B8F" w:rsidTr="00A62B8F">
        <w:trPr>
          <w:trHeight w:val="271"/>
        </w:trPr>
        <w:tc>
          <w:tcPr>
            <w:tcW w:w="698" w:type="dxa"/>
            <w:noWrap/>
            <w:vAlign w:val="bottom"/>
            <w:hideMark/>
          </w:tcPr>
          <w:p w:rsidR="00A62B8F" w:rsidRPr="00A62B8F" w:rsidRDefault="00A62B8F" w:rsidP="00A62B8F">
            <w:pPr>
              <w:tabs>
                <w:tab w:val="left" w:pos="567"/>
                <w:tab w:val="left" w:pos="993"/>
              </w:tabs>
              <w:spacing w:line="240" w:lineRule="auto"/>
              <w:jc w:val="right"/>
              <w:rPr>
                <w:rFonts w:cs="Arial"/>
                <w:szCs w:val="22"/>
                <w:lang w:eastAsia="sl-SI"/>
              </w:rPr>
            </w:pPr>
            <w:r w:rsidRPr="00A62B8F">
              <w:rPr>
                <w:rFonts w:cs="Arial"/>
                <w:szCs w:val="22"/>
                <w:lang w:eastAsia="sl-SI"/>
              </w:rPr>
              <w:t>1212</w:t>
            </w:r>
          </w:p>
        </w:tc>
        <w:tc>
          <w:tcPr>
            <w:tcW w:w="3880" w:type="dxa"/>
            <w:noWrap/>
            <w:vAlign w:val="bottom"/>
            <w:hideMark/>
          </w:tcPr>
          <w:p w:rsidR="00A62B8F" w:rsidRPr="00A62B8F" w:rsidRDefault="00A62B8F" w:rsidP="00A62B8F">
            <w:pPr>
              <w:tabs>
                <w:tab w:val="left" w:pos="567"/>
                <w:tab w:val="left" w:pos="993"/>
              </w:tabs>
              <w:spacing w:line="240" w:lineRule="auto"/>
              <w:rPr>
                <w:rFonts w:cs="Arial"/>
                <w:szCs w:val="22"/>
                <w:lang w:eastAsia="sl-SI"/>
              </w:rPr>
            </w:pPr>
            <w:r w:rsidRPr="00A62B8F">
              <w:rPr>
                <w:rFonts w:cs="Arial"/>
                <w:szCs w:val="22"/>
                <w:lang w:eastAsia="sl-SI"/>
              </w:rPr>
              <w:t>matičnjak</w:t>
            </w:r>
          </w:p>
        </w:tc>
      </w:tr>
      <w:tr w:rsidR="00A62B8F" w:rsidRPr="00A62B8F" w:rsidTr="00A62B8F">
        <w:trPr>
          <w:trHeight w:val="271"/>
        </w:trPr>
        <w:tc>
          <w:tcPr>
            <w:tcW w:w="698" w:type="dxa"/>
            <w:noWrap/>
            <w:vAlign w:val="bottom"/>
            <w:hideMark/>
          </w:tcPr>
          <w:p w:rsidR="00A62B8F" w:rsidRPr="00A62B8F" w:rsidRDefault="00A62B8F" w:rsidP="00A62B8F">
            <w:pPr>
              <w:tabs>
                <w:tab w:val="left" w:pos="567"/>
                <w:tab w:val="left" w:pos="993"/>
              </w:tabs>
              <w:spacing w:line="240" w:lineRule="auto"/>
              <w:jc w:val="right"/>
              <w:rPr>
                <w:rFonts w:cs="Arial"/>
                <w:szCs w:val="22"/>
                <w:lang w:eastAsia="sl-SI"/>
              </w:rPr>
            </w:pPr>
            <w:r w:rsidRPr="00A62B8F">
              <w:rPr>
                <w:rFonts w:cs="Arial"/>
                <w:szCs w:val="22"/>
                <w:lang w:eastAsia="sl-SI"/>
              </w:rPr>
              <w:t>1221</w:t>
            </w:r>
          </w:p>
        </w:tc>
        <w:tc>
          <w:tcPr>
            <w:tcW w:w="3880" w:type="dxa"/>
            <w:noWrap/>
            <w:vAlign w:val="bottom"/>
            <w:hideMark/>
          </w:tcPr>
          <w:p w:rsidR="00A62B8F" w:rsidRPr="00A62B8F" w:rsidRDefault="00A62B8F" w:rsidP="00A62B8F">
            <w:pPr>
              <w:tabs>
                <w:tab w:val="left" w:pos="567"/>
                <w:tab w:val="left" w:pos="993"/>
              </w:tabs>
              <w:spacing w:line="240" w:lineRule="auto"/>
              <w:rPr>
                <w:rFonts w:cs="Arial"/>
                <w:szCs w:val="22"/>
                <w:lang w:eastAsia="sl-SI"/>
              </w:rPr>
            </w:pPr>
            <w:r w:rsidRPr="00A62B8F">
              <w:rPr>
                <w:rFonts w:cs="Arial"/>
                <w:szCs w:val="22"/>
                <w:lang w:eastAsia="sl-SI"/>
              </w:rPr>
              <w:t>intenzivni sadovnjak</w:t>
            </w:r>
          </w:p>
        </w:tc>
      </w:tr>
      <w:tr w:rsidR="00A62B8F" w:rsidRPr="00A62B8F" w:rsidTr="00A62B8F">
        <w:trPr>
          <w:trHeight w:val="271"/>
        </w:trPr>
        <w:tc>
          <w:tcPr>
            <w:tcW w:w="698" w:type="dxa"/>
            <w:noWrap/>
            <w:vAlign w:val="bottom"/>
            <w:hideMark/>
          </w:tcPr>
          <w:p w:rsidR="00A62B8F" w:rsidRPr="00A62B8F" w:rsidRDefault="00A62B8F" w:rsidP="00A62B8F">
            <w:pPr>
              <w:tabs>
                <w:tab w:val="left" w:pos="567"/>
                <w:tab w:val="left" w:pos="993"/>
              </w:tabs>
              <w:spacing w:line="240" w:lineRule="auto"/>
              <w:jc w:val="right"/>
              <w:rPr>
                <w:rFonts w:cs="Arial"/>
                <w:szCs w:val="22"/>
                <w:lang w:eastAsia="sl-SI"/>
              </w:rPr>
            </w:pPr>
            <w:r w:rsidRPr="00A62B8F">
              <w:rPr>
                <w:rFonts w:cs="Arial"/>
                <w:szCs w:val="22"/>
                <w:lang w:eastAsia="sl-SI"/>
              </w:rPr>
              <w:t>1230</w:t>
            </w:r>
          </w:p>
        </w:tc>
        <w:tc>
          <w:tcPr>
            <w:tcW w:w="3880" w:type="dxa"/>
            <w:noWrap/>
            <w:vAlign w:val="bottom"/>
            <w:hideMark/>
          </w:tcPr>
          <w:p w:rsidR="00A62B8F" w:rsidRPr="00A62B8F" w:rsidRDefault="00A62B8F" w:rsidP="00A62B8F">
            <w:pPr>
              <w:tabs>
                <w:tab w:val="left" w:pos="567"/>
                <w:tab w:val="left" w:pos="993"/>
              </w:tabs>
              <w:spacing w:line="240" w:lineRule="auto"/>
              <w:rPr>
                <w:rFonts w:cs="Arial"/>
                <w:szCs w:val="22"/>
                <w:lang w:eastAsia="sl-SI"/>
              </w:rPr>
            </w:pPr>
            <w:r w:rsidRPr="00A62B8F">
              <w:rPr>
                <w:rFonts w:cs="Arial"/>
                <w:szCs w:val="22"/>
                <w:lang w:eastAsia="sl-SI"/>
              </w:rPr>
              <w:t>oljčnik</w:t>
            </w:r>
          </w:p>
        </w:tc>
      </w:tr>
      <w:tr w:rsidR="00A62B8F" w:rsidRPr="00A62B8F" w:rsidTr="00A62B8F">
        <w:trPr>
          <w:trHeight w:val="271"/>
        </w:trPr>
        <w:tc>
          <w:tcPr>
            <w:tcW w:w="698" w:type="dxa"/>
            <w:noWrap/>
            <w:vAlign w:val="bottom"/>
            <w:hideMark/>
          </w:tcPr>
          <w:p w:rsidR="00A62B8F" w:rsidRPr="00A62B8F" w:rsidRDefault="00A62B8F" w:rsidP="00A62B8F">
            <w:pPr>
              <w:tabs>
                <w:tab w:val="left" w:pos="567"/>
                <w:tab w:val="left" w:pos="993"/>
              </w:tabs>
              <w:spacing w:line="240" w:lineRule="auto"/>
              <w:jc w:val="right"/>
              <w:rPr>
                <w:rFonts w:cs="Arial"/>
                <w:szCs w:val="22"/>
                <w:lang w:eastAsia="sl-SI"/>
              </w:rPr>
            </w:pPr>
            <w:r w:rsidRPr="00A62B8F">
              <w:rPr>
                <w:rFonts w:cs="Arial"/>
                <w:szCs w:val="22"/>
                <w:lang w:eastAsia="sl-SI"/>
              </w:rPr>
              <w:t>1240</w:t>
            </w:r>
          </w:p>
        </w:tc>
        <w:tc>
          <w:tcPr>
            <w:tcW w:w="3880" w:type="dxa"/>
            <w:noWrap/>
            <w:vAlign w:val="bottom"/>
            <w:hideMark/>
          </w:tcPr>
          <w:p w:rsidR="00A62B8F" w:rsidRPr="00A62B8F" w:rsidRDefault="00A62B8F" w:rsidP="00A62B8F">
            <w:pPr>
              <w:tabs>
                <w:tab w:val="left" w:pos="567"/>
                <w:tab w:val="left" w:pos="993"/>
              </w:tabs>
              <w:spacing w:line="240" w:lineRule="auto"/>
              <w:rPr>
                <w:rFonts w:cs="Arial"/>
                <w:szCs w:val="22"/>
                <w:lang w:eastAsia="sl-SI"/>
              </w:rPr>
            </w:pPr>
            <w:r w:rsidRPr="00A62B8F">
              <w:rPr>
                <w:rFonts w:cs="Arial"/>
                <w:szCs w:val="22"/>
                <w:lang w:eastAsia="sl-SI"/>
              </w:rPr>
              <w:t>ostali trajni nasadi</w:t>
            </w:r>
          </w:p>
        </w:tc>
      </w:tr>
      <w:tr w:rsidR="00A62B8F" w:rsidRPr="00A62B8F" w:rsidTr="00A62B8F">
        <w:trPr>
          <w:trHeight w:val="271"/>
        </w:trPr>
        <w:tc>
          <w:tcPr>
            <w:tcW w:w="698" w:type="dxa"/>
            <w:noWrap/>
            <w:vAlign w:val="bottom"/>
            <w:hideMark/>
          </w:tcPr>
          <w:p w:rsidR="00A62B8F" w:rsidRPr="00A62B8F" w:rsidRDefault="00A62B8F" w:rsidP="00A62B8F">
            <w:pPr>
              <w:tabs>
                <w:tab w:val="left" w:pos="567"/>
                <w:tab w:val="left" w:pos="993"/>
              </w:tabs>
              <w:spacing w:line="240" w:lineRule="auto"/>
              <w:jc w:val="right"/>
              <w:rPr>
                <w:rFonts w:cs="Arial"/>
                <w:szCs w:val="22"/>
                <w:lang w:eastAsia="sl-SI"/>
              </w:rPr>
            </w:pPr>
            <w:r w:rsidRPr="00A62B8F">
              <w:rPr>
                <w:rFonts w:cs="Arial"/>
                <w:szCs w:val="22"/>
                <w:lang w:eastAsia="sl-SI"/>
              </w:rPr>
              <w:t>1420</w:t>
            </w:r>
          </w:p>
        </w:tc>
        <w:tc>
          <w:tcPr>
            <w:tcW w:w="3880" w:type="dxa"/>
            <w:noWrap/>
            <w:vAlign w:val="bottom"/>
            <w:hideMark/>
          </w:tcPr>
          <w:p w:rsidR="00A62B8F" w:rsidRPr="00A62B8F" w:rsidRDefault="00A62B8F" w:rsidP="00A62B8F">
            <w:pPr>
              <w:tabs>
                <w:tab w:val="left" w:pos="567"/>
                <w:tab w:val="left" w:pos="993"/>
              </w:tabs>
              <w:spacing w:line="240" w:lineRule="auto"/>
              <w:rPr>
                <w:rFonts w:cs="Arial"/>
                <w:szCs w:val="22"/>
                <w:lang w:eastAsia="sl-SI"/>
              </w:rPr>
            </w:pPr>
            <w:r w:rsidRPr="00A62B8F">
              <w:rPr>
                <w:rFonts w:cs="Arial"/>
                <w:szCs w:val="22"/>
                <w:lang w:eastAsia="sl-SI"/>
              </w:rPr>
              <w:t>plantaža gozdnega drevja</w:t>
            </w:r>
          </w:p>
        </w:tc>
      </w:tr>
      <w:tr w:rsidR="00A62B8F" w:rsidRPr="00A62B8F" w:rsidTr="00A62B8F">
        <w:trPr>
          <w:trHeight w:val="271"/>
        </w:trPr>
        <w:tc>
          <w:tcPr>
            <w:tcW w:w="698" w:type="dxa"/>
            <w:noWrap/>
            <w:vAlign w:val="bottom"/>
            <w:hideMark/>
          </w:tcPr>
          <w:p w:rsidR="00A62B8F" w:rsidRPr="00A62B8F" w:rsidRDefault="00A62B8F" w:rsidP="00A62B8F">
            <w:pPr>
              <w:tabs>
                <w:tab w:val="left" w:pos="567"/>
                <w:tab w:val="left" w:pos="993"/>
              </w:tabs>
              <w:spacing w:line="240" w:lineRule="auto"/>
              <w:jc w:val="right"/>
              <w:rPr>
                <w:rFonts w:cs="Arial"/>
                <w:szCs w:val="22"/>
                <w:lang w:eastAsia="sl-SI"/>
              </w:rPr>
            </w:pPr>
            <w:r w:rsidRPr="00A62B8F">
              <w:rPr>
                <w:rFonts w:cs="Arial"/>
                <w:szCs w:val="22"/>
                <w:lang w:eastAsia="sl-SI"/>
              </w:rPr>
              <w:t>2000</w:t>
            </w:r>
          </w:p>
        </w:tc>
        <w:tc>
          <w:tcPr>
            <w:tcW w:w="3880" w:type="dxa"/>
            <w:noWrap/>
            <w:vAlign w:val="bottom"/>
            <w:hideMark/>
          </w:tcPr>
          <w:p w:rsidR="00A62B8F" w:rsidRPr="00A62B8F" w:rsidRDefault="00A62B8F" w:rsidP="00A62B8F">
            <w:pPr>
              <w:tabs>
                <w:tab w:val="left" w:pos="567"/>
                <w:tab w:val="left" w:pos="993"/>
              </w:tabs>
              <w:spacing w:line="240" w:lineRule="auto"/>
              <w:rPr>
                <w:rFonts w:cs="Arial"/>
                <w:szCs w:val="22"/>
                <w:lang w:eastAsia="sl-SI"/>
              </w:rPr>
            </w:pPr>
            <w:r w:rsidRPr="00A62B8F">
              <w:rPr>
                <w:rFonts w:cs="Arial"/>
                <w:szCs w:val="22"/>
                <w:lang w:eastAsia="sl-SI"/>
              </w:rPr>
              <w:t>gozdno zemljišče</w:t>
            </w:r>
          </w:p>
        </w:tc>
      </w:tr>
    </w:tbl>
    <w:p w:rsidR="00290222" w:rsidRPr="00A62B8F" w:rsidRDefault="00290222" w:rsidP="00A62B8F">
      <w:pPr>
        <w:tabs>
          <w:tab w:val="left" w:pos="567"/>
          <w:tab w:val="left" w:pos="993"/>
        </w:tabs>
        <w:spacing w:line="240" w:lineRule="auto"/>
        <w:jc w:val="center"/>
        <w:rPr>
          <w:rFonts w:cs="Arial"/>
          <w:color w:val="000000" w:themeColor="text1"/>
          <w:szCs w:val="22"/>
        </w:rPr>
      </w:pPr>
    </w:p>
    <w:sectPr w:rsidR="00290222" w:rsidRPr="00A62B8F"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665A9B">
      <w:rPr>
        <w:rStyle w:val="tevilkastrani"/>
        <w:noProof/>
        <w:sz w:val="20"/>
        <w:szCs w:val="20"/>
      </w:rPr>
      <w:t>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90222"/>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381"/>
    <w:rsid w:val="00424652"/>
    <w:rsid w:val="00434D5F"/>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5A9B"/>
    <w:rsid w:val="00666E90"/>
    <w:rsid w:val="00667C80"/>
    <w:rsid w:val="00692EA5"/>
    <w:rsid w:val="006A454D"/>
    <w:rsid w:val="006A708A"/>
    <w:rsid w:val="006C3D91"/>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23B49"/>
    <w:rsid w:val="00A418F5"/>
    <w:rsid w:val="00A4447F"/>
    <w:rsid w:val="00A530B4"/>
    <w:rsid w:val="00A60F7A"/>
    <w:rsid w:val="00A62B8F"/>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40AB2"/>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predpisaZnak">
    <w:name w:val="Naslov_predpisa Znak"/>
    <w:link w:val="Naslovpredpisa"/>
    <w:uiPriority w:val="99"/>
    <w:locked/>
    <w:rsid w:val="00290222"/>
    <w:rPr>
      <w:rFonts w:ascii="Arial" w:hAnsi="Arial" w:cs="Arial"/>
      <w:b/>
    </w:rPr>
  </w:style>
  <w:style w:type="paragraph" w:customStyle="1" w:styleId="Naslovpredpisa">
    <w:name w:val="Naslov_predpisa"/>
    <w:basedOn w:val="Navaden"/>
    <w:link w:val="NaslovpredpisaZnak"/>
    <w:uiPriority w:val="99"/>
    <w:rsid w:val="00290222"/>
    <w:pPr>
      <w:suppressAutoHyphens/>
      <w:overflowPunct w:val="0"/>
      <w:autoSpaceDE w:val="0"/>
      <w:autoSpaceDN w:val="0"/>
      <w:adjustRightInd w:val="0"/>
      <w:spacing w:before="120" w:after="160" w:line="200" w:lineRule="exact"/>
      <w:jc w:val="center"/>
    </w:pPr>
    <w:rPr>
      <w:rFonts w:cs="Arial"/>
      <w:b/>
      <w:sz w:val="20"/>
      <w:szCs w:val="20"/>
      <w:lang w:eastAsia="sl-SI"/>
    </w:rPr>
  </w:style>
  <w:style w:type="paragraph" w:customStyle="1" w:styleId="Poglavje">
    <w:name w:val="Poglavje"/>
    <w:basedOn w:val="Navaden"/>
    <w:uiPriority w:val="99"/>
    <w:rsid w:val="00290222"/>
    <w:pPr>
      <w:suppressAutoHyphens/>
      <w:overflowPunct w:val="0"/>
      <w:autoSpaceDE w:val="0"/>
      <w:autoSpaceDN w:val="0"/>
      <w:adjustRightInd w:val="0"/>
      <w:spacing w:before="360" w:after="60" w:line="200" w:lineRule="exact"/>
      <w:jc w:val="center"/>
      <w:outlineLvl w:val="3"/>
    </w:pPr>
    <w:rPr>
      <w:rFonts w:cs="Arial"/>
      <w:b/>
      <w:szCs w:val="22"/>
      <w:lang w:eastAsia="sl-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predpisaZnak">
    <w:name w:val="Naslov_predpisa Znak"/>
    <w:link w:val="Naslovpredpisa"/>
    <w:uiPriority w:val="99"/>
    <w:locked/>
    <w:rsid w:val="00290222"/>
    <w:rPr>
      <w:rFonts w:ascii="Arial" w:hAnsi="Arial" w:cs="Arial"/>
      <w:b/>
    </w:rPr>
  </w:style>
  <w:style w:type="paragraph" w:customStyle="1" w:styleId="Naslovpredpisa">
    <w:name w:val="Naslov_predpisa"/>
    <w:basedOn w:val="Navaden"/>
    <w:link w:val="NaslovpredpisaZnak"/>
    <w:uiPriority w:val="99"/>
    <w:rsid w:val="00290222"/>
    <w:pPr>
      <w:suppressAutoHyphens/>
      <w:overflowPunct w:val="0"/>
      <w:autoSpaceDE w:val="0"/>
      <w:autoSpaceDN w:val="0"/>
      <w:adjustRightInd w:val="0"/>
      <w:spacing w:before="120" w:after="160" w:line="200" w:lineRule="exact"/>
      <w:jc w:val="center"/>
    </w:pPr>
    <w:rPr>
      <w:rFonts w:cs="Arial"/>
      <w:b/>
      <w:sz w:val="20"/>
      <w:szCs w:val="20"/>
      <w:lang w:eastAsia="sl-SI"/>
    </w:rPr>
  </w:style>
  <w:style w:type="paragraph" w:customStyle="1" w:styleId="Poglavje">
    <w:name w:val="Poglavje"/>
    <w:basedOn w:val="Navaden"/>
    <w:uiPriority w:val="99"/>
    <w:rsid w:val="00290222"/>
    <w:pPr>
      <w:suppressAutoHyphens/>
      <w:overflowPunct w:val="0"/>
      <w:autoSpaceDE w:val="0"/>
      <w:autoSpaceDN w:val="0"/>
      <w:adjustRightInd w:val="0"/>
      <w:spacing w:before="360" w:after="60" w:line="200" w:lineRule="exact"/>
      <w:jc w:val="center"/>
      <w:outlineLvl w:val="3"/>
    </w:pPr>
    <w:rPr>
      <w:rFonts w:cs="Arial"/>
      <w:b/>
      <w:szCs w:val="22"/>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8782399">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252351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23</TotalTime>
  <Pages>3</Pages>
  <Words>745</Words>
  <Characters>4486</Characters>
  <Application>Microsoft Office Word</Application>
  <DocSecurity>0</DocSecurity>
  <Lines>37</Lines>
  <Paragraphs>10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5221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2014-05-22T06:25:00Z</cp:lastPrinted>
  <dcterms:created xsi:type="dcterms:W3CDTF">2014-05-14T06:16:00Z</dcterms:created>
  <dcterms:modified xsi:type="dcterms:W3CDTF">2014-06-03T12:42:00Z</dcterms:modified>
</cp:coreProperties>
</file>