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25D" w:rsidRDefault="006F525D" w:rsidP="00263FCA">
      <w:pPr>
        <w:tabs>
          <w:tab w:val="left" w:pos="567"/>
          <w:tab w:val="left" w:pos="993"/>
        </w:tabs>
        <w:jc w:val="center"/>
        <w:rPr>
          <w:rFonts w:cs="Arial"/>
          <w:b/>
          <w:spacing w:val="54"/>
          <w:szCs w:val="22"/>
        </w:rPr>
      </w:pPr>
      <w:bookmarkStart w:id="0" w:name="_GoBack"/>
      <w:bookmarkEnd w:id="0"/>
    </w:p>
    <w:p w:rsidR="00263FCA" w:rsidRPr="00263FCA" w:rsidRDefault="00263FCA" w:rsidP="00263FCA">
      <w:pPr>
        <w:tabs>
          <w:tab w:val="left" w:pos="567"/>
          <w:tab w:val="left" w:pos="993"/>
        </w:tabs>
        <w:jc w:val="center"/>
        <w:rPr>
          <w:rFonts w:cs="Arial"/>
          <w:b/>
          <w:spacing w:val="54"/>
          <w:szCs w:val="22"/>
        </w:rPr>
      </w:pPr>
      <w:r w:rsidRPr="00263FCA">
        <w:rPr>
          <w:rFonts w:cs="Arial"/>
          <w:b/>
          <w:spacing w:val="54"/>
          <w:szCs w:val="22"/>
        </w:rPr>
        <w:t>ZAKON</w:t>
      </w:r>
    </w:p>
    <w:p w:rsidR="00263FCA" w:rsidRDefault="00263FCA" w:rsidP="00263FCA">
      <w:pPr>
        <w:tabs>
          <w:tab w:val="left" w:pos="567"/>
          <w:tab w:val="left" w:pos="993"/>
        </w:tabs>
        <w:jc w:val="center"/>
        <w:rPr>
          <w:rFonts w:cs="Arial"/>
          <w:b/>
          <w:szCs w:val="22"/>
        </w:rPr>
      </w:pPr>
    </w:p>
    <w:p w:rsidR="00263FCA" w:rsidRDefault="00263FCA" w:rsidP="00263FCA">
      <w:pPr>
        <w:tabs>
          <w:tab w:val="left" w:pos="567"/>
          <w:tab w:val="left" w:pos="993"/>
        </w:tabs>
        <w:jc w:val="center"/>
        <w:rPr>
          <w:rFonts w:cs="Arial"/>
          <w:b/>
          <w:szCs w:val="22"/>
        </w:rPr>
      </w:pPr>
      <w:r w:rsidRPr="00263FCA">
        <w:rPr>
          <w:rFonts w:cs="Arial"/>
          <w:b/>
          <w:szCs w:val="22"/>
        </w:rPr>
        <w:t>O SPREMEMBAH IN DOPOLNITVAH ZAKONA O UVELJAVLJANJU</w:t>
      </w:r>
    </w:p>
    <w:p w:rsidR="00263FCA" w:rsidRPr="00263FCA" w:rsidRDefault="00263FCA" w:rsidP="00263FCA">
      <w:pPr>
        <w:tabs>
          <w:tab w:val="left" w:pos="567"/>
          <w:tab w:val="left" w:pos="993"/>
        </w:tabs>
        <w:jc w:val="center"/>
        <w:rPr>
          <w:rFonts w:cs="Arial"/>
          <w:b/>
          <w:szCs w:val="22"/>
        </w:rPr>
      </w:pPr>
      <w:r w:rsidRPr="00263FCA">
        <w:rPr>
          <w:rFonts w:cs="Arial"/>
          <w:b/>
          <w:szCs w:val="22"/>
        </w:rPr>
        <w:t>PRAVIC IZ JAVNIH SREDSTEV (</w:t>
      </w:r>
      <w:proofErr w:type="spellStart"/>
      <w:r w:rsidRPr="00263FCA">
        <w:rPr>
          <w:rFonts w:cs="Arial"/>
          <w:b/>
          <w:szCs w:val="22"/>
        </w:rPr>
        <w:t>ZUPJS</w:t>
      </w:r>
      <w:proofErr w:type="spellEnd"/>
      <w:r w:rsidRPr="00263FCA">
        <w:rPr>
          <w:rFonts w:cs="Arial"/>
          <w:b/>
          <w:szCs w:val="22"/>
        </w:rPr>
        <w:t>-C)</w:t>
      </w:r>
    </w:p>
    <w:p w:rsid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jc w:val="center"/>
        <w:rPr>
          <w:rFonts w:cs="Arial"/>
          <w:szCs w:val="22"/>
        </w:rPr>
      </w:pPr>
      <w:r w:rsidRPr="00263FCA">
        <w:rPr>
          <w:rFonts w:cs="Arial"/>
          <w:szCs w:val="22"/>
        </w:rPr>
        <w:t>1.</w:t>
      </w:r>
      <w:r>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r>
        <w:rPr>
          <w:rFonts w:cs="Arial"/>
          <w:szCs w:val="22"/>
        </w:rPr>
        <w:tab/>
      </w:r>
      <w:r>
        <w:rPr>
          <w:rFonts w:cs="Arial"/>
          <w:szCs w:val="22"/>
        </w:rPr>
        <w:tab/>
      </w:r>
      <w:r w:rsidRPr="00263FCA">
        <w:rPr>
          <w:rFonts w:cs="Arial"/>
          <w:szCs w:val="22"/>
        </w:rPr>
        <w:t xml:space="preserve">V Zakonu o uveljavljanju pravic iz javnih sredstev (Uradni list RS, št. 62/10, 40/11, 110/11 </w:t>
      </w:r>
      <w:r>
        <w:rPr>
          <w:rFonts w:cs="Arial"/>
          <w:szCs w:val="22"/>
        </w:rPr>
        <w:t>–</w:t>
      </w:r>
      <w:r w:rsidRPr="00263FCA">
        <w:rPr>
          <w:rFonts w:cs="Arial"/>
          <w:szCs w:val="22"/>
        </w:rPr>
        <w:t xml:space="preserve"> ZDIU12, 40/12 </w:t>
      </w:r>
      <w:r>
        <w:rPr>
          <w:rFonts w:cs="Arial"/>
          <w:szCs w:val="22"/>
        </w:rPr>
        <w:t>–</w:t>
      </w:r>
      <w:r w:rsidRPr="00263FCA">
        <w:rPr>
          <w:rFonts w:cs="Arial"/>
          <w:szCs w:val="22"/>
        </w:rPr>
        <w:t xml:space="preserve"> </w:t>
      </w:r>
      <w:proofErr w:type="spellStart"/>
      <w:r w:rsidRPr="00263FCA">
        <w:rPr>
          <w:rFonts w:cs="Arial"/>
          <w:szCs w:val="22"/>
        </w:rPr>
        <w:t>ZUJF</w:t>
      </w:r>
      <w:proofErr w:type="spellEnd"/>
      <w:r w:rsidRPr="00263FCA">
        <w:rPr>
          <w:rFonts w:cs="Arial"/>
          <w:szCs w:val="22"/>
        </w:rPr>
        <w:t xml:space="preserve">, 57/12 </w:t>
      </w:r>
      <w:r>
        <w:rPr>
          <w:rFonts w:cs="Arial"/>
          <w:szCs w:val="22"/>
        </w:rPr>
        <w:t>–</w:t>
      </w:r>
      <w:r w:rsidRPr="00263FCA">
        <w:rPr>
          <w:rFonts w:cs="Arial"/>
          <w:szCs w:val="22"/>
        </w:rPr>
        <w:t xml:space="preserve"> ZPCP-2D,</w:t>
      </w:r>
      <w:r>
        <w:rPr>
          <w:rFonts w:cs="Arial"/>
          <w:szCs w:val="22"/>
        </w:rPr>
        <w:t xml:space="preserve"> </w:t>
      </w:r>
      <w:r w:rsidRPr="00263FCA">
        <w:rPr>
          <w:rFonts w:cs="Arial"/>
          <w:szCs w:val="22"/>
        </w:rPr>
        <w:t xml:space="preserve">14/13 in 56/13 – </w:t>
      </w:r>
      <w:proofErr w:type="spellStart"/>
      <w:r w:rsidRPr="00263FCA">
        <w:rPr>
          <w:rFonts w:cs="Arial"/>
          <w:szCs w:val="22"/>
        </w:rPr>
        <w:t>Zštip</w:t>
      </w:r>
      <w:proofErr w:type="spellEnd"/>
      <w:r w:rsidRPr="00263FCA">
        <w:rPr>
          <w:rFonts w:cs="Arial"/>
          <w:szCs w:val="22"/>
        </w:rPr>
        <w:t>-1) se v 3. členu:</w:t>
      </w:r>
    </w:p>
    <w:p w:rsidR="00263FCA" w:rsidRDefault="00263FCA" w:rsidP="00263FCA">
      <w:pPr>
        <w:pStyle w:val="Odstavekseznama"/>
        <w:numPr>
          <w:ilvl w:val="0"/>
          <w:numId w:val="5"/>
        </w:numPr>
        <w:tabs>
          <w:tab w:val="left" w:pos="567"/>
          <w:tab w:val="left" w:pos="993"/>
        </w:tabs>
        <w:rPr>
          <w:rFonts w:cs="Arial"/>
          <w:szCs w:val="22"/>
        </w:rPr>
      </w:pPr>
      <w:r w:rsidRPr="00263FCA">
        <w:rPr>
          <w:rFonts w:cs="Arial"/>
          <w:szCs w:val="22"/>
        </w:rPr>
        <w:t>v 1. točki beseda »najemnik« nadomesti z besedo »lastnik«,</w:t>
      </w:r>
    </w:p>
    <w:p w:rsidR="00263FCA" w:rsidRPr="00263FCA" w:rsidRDefault="00263FCA" w:rsidP="00C97933">
      <w:pPr>
        <w:pStyle w:val="Odstavekseznama"/>
        <w:numPr>
          <w:ilvl w:val="0"/>
          <w:numId w:val="5"/>
        </w:numPr>
        <w:rPr>
          <w:rFonts w:cs="Arial"/>
          <w:szCs w:val="22"/>
        </w:rPr>
      </w:pPr>
      <w:r w:rsidRPr="00263FCA">
        <w:rPr>
          <w:rFonts w:cs="Arial"/>
          <w:szCs w:val="22"/>
        </w:rPr>
        <w:t>za 7. točko dodata novi 8. in 9. točka, ki se glasita:</w:t>
      </w:r>
    </w:p>
    <w:p w:rsidR="00263FCA" w:rsidRPr="00263FCA" w:rsidRDefault="00C97933" w:rsidP="00C97933">
      <w:pPr>
        <w:tabs>
          <w:tab w:val="left" w:pos="567"/>
          <w:tab w:val="left" w:pos="993"/>
        </w:tabs>
        <w:ind w:left="360" w:hanging="360"/>
        <w:rPr>
          <w:rFonts w:cs="Arial"/>
          <w:szCs w:val="22"/>
        </w:rPr>
      </w:pPr>
      <w:r>
        <w:rPr>
          <w:rFonts w:cs="Arial"/>
          <w:szCs w:val="22"/>
        </w:rPr>
        <w:tab/>
      </w:r>
      <w:r w:rsidR="00263FCA" w:rsidRPr="00263FCA">
        <w:rPr>
          <w:rFonts w:cs="Arial"/>
          <w:szCs w:val="22"/>
        </w:rPr>
        <w:t>»8.</w:t>
      </w:r>
      <w:r>
        <w:rPr>
          <w:rFonts w:cs="Arial"/>
          <w:szCs w:val="22"/>
        </w:rPr>
        <w:t xml:space="preserve"> </w:t>
      </w:r>
      <w:r w:rsidR="00263FCA" w:rsidRPr="00263FCA">
        <w:rPr>
          <w:rFonts w:cs="Arial"/>
          <w:szCs w:val="22"/>
        </w:rPr>
        <w:t>sprememba vrste periodičnih dohodkov – izguba ali začetek prejemanja plače skupaj z regresom, nadomestila plače, pokojnine, nadomestila in drugih dohodkov iz naslova obveznega socialnega zavarovanja, starševskega dodatka, preživnine, delnega plačila za izgubljeni dohodek, nadomestila za invalidnost in sprememba dohodka zaradi dela za najmanj polovični oziroma polni delovni čas;</w:t>
      </w:r>
    </w:p>
    <w:p w:rsidR="00263FCA" w:rsidRPr="00263FCA" w:rsidRDefault="00C97933" w:rsidP="00C97933">
      <w:pPr>
        <w:tabs>
          <w:tab w:val="left" w:pos="567"/>
          <w:tab w:val="left" w:pos="993"/>
        </w:tabs>
        <w:ind w:left="360" w:hanging="360"/>
        <w:rPr>
          <w:rFonts w:cs="Arial"/>
          <w:szCs w:val="22"/>
        </w:rPr>
      </w:pPr>
      <w:r>
        <w:rPr>
          <w:rFonts w:cs="Arial"/>
          <w:szCs w:val="22"/>
        </w:rPr>
        <w:tab/>
      </w:r>
      <w:r w:rsidR="00263FCA" w:rsidRPr="00263FCA">
        <w:rPr>
          <w:rFonts w:cs="Arial"/>
          <w:szCs w:val="22"/>
        </w:rPr>
        <w:t>9.</w:t>
      </w:r>
      <w:r>
        <w:rPr>
          <w:rFonts w:cs="Arial"/>
          <w:szCs w:val="22"/>
        </w:rPr>
        <w:t xml:space="preserve"> </w:t>
      </w:r>
      <w:r w:rsidR="00263FCA" w:rsidRPr="00263FCA">
        <w:rPr>
          <w:rFonts w:cs="Arial"/>
          <w:szCs w:val="22"/>
        </w:rPr>
        <w:t>meja socialne varnosti – znesek, ki mora po predpisu, ki določa merila za oprostitev plačila socialnovarstvenih storitev, ostati osebam, ki se upoštevajo pri ugotavljanju materialnega položaja po tem zakonu za preživljanje po plačilu prispevka za opravljeno storitev.«.</w:t>
      </w:r>
    </w:p>
    <w:p w:rsidR="00263FCA" w:rsidRPr="00263FCA" w:rsidRDefault="00263FCA" w:rsidP="00263FCA">
      <w:pPr>
        <w:tabs>
          <w:tab w:val="left" w:pos="567"/>
          <w:tab w:val="left" w:pos="993"/>
        </w:tabs>
        <w:rPr>
          <w:rFonts w:cs="Arial"/>
          <w:szCs w:val="22"/>
        </w:rPr>
      </w:pPr>
    </w:p>
    <w:p w:rsidR="00C97933" w:rsidRDefault="00C97933"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2.</w:t>
      </w:r>
      <w:r w:rsidR="00C97933">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Za tretjim odstavkom 10. člena se doda nov četrti odstavek, ki se glasi:</w:t>
      </w: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Ne glede na sporazum o preživljanju, ki ga ima oseba iz 2. točke prvega odstavka tega člena sklenjenega z obema staršema ali z enim od staršev, če je drugi umrl ali je neznan, se pri ugotavljanju materialnega položaja, osebe upoštevajo v skladu z drugim odstavkom tega člena.«.</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Na koncu desetega odstavka se pika nadomesti z vejico in doda besedilo</w:t>
      </w:r>
      <w:r>
        <w:rPr>
          <w:rFonts w:cs="Arial"/>
          <w:szCs w:val="22"/>
        </w:rPr>
        <w:t xml:space="preserve"> </w:t>
      </w:r>
      <w:r w:rsidR="00263FCA" w:rsidRPr="00263FCA">
        <w:rPr>
          <w:rFonts w:cs="Arial"/>
          <w:szCs w:val="22"/>
        </w:rPr>
        <w:t>»ali kadar gre za osebo, ki je v institucionalnem varstvu in je delno ali v celoti oproščena plačila storitev, razen kadar uveljavlja oprostitev plačila te storitve.«.</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Dosedanji četrti, peti, šesti, sedmi, osmi, deveti, deseti in enajsti odstavek postanejo novi peti, šesti, sedmi, osmi, deveti, deseti, enajsti in dvanajsti odstavek.</w:t>
      </w:r>
    </w:p>
    <w:p w:rsidR="00263FCA" w:rsidRPr="00263FCA" w:rsidRDefault="00263FCA" w:rsidP="00263FCA">
      <w:pPr>
        <w:tabs>
          <w:tab w:val="left" w:pos="567"/>
          <w:tab w:val="left" w:pos="993"/>
        </w:tabs>
        <w:rPr>
          <w:rFonts w:cs="Arial"/>
          <w:szCs w:val="22"/>
        </w:rPr>
      </w:pPr>
    </w:p>
    <w:p w:rsidR="00C97933" w:rsidRDefault="00C97933"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3.</w:t>
      </w:r>
      <w:r w:rsidR="00C97933">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11. členu se:</w:t>
      </w:r>
    </w:p>
    <w:p w:rsidR="00263FCA" w:rsidRPr="00C97933" w:rsidRDefault="00263FCA" w:rsidP="00C97933">
      <w:pPr>
        <w:pStyle w:val="Odstavekseznama"/>
        <w:numPr>
          <w:ilvl w:val="0"/>
          <w:numId w:val="8"/>
        </w:numPr>
        <w:tabs>
          <w:tab w:val="left" w:pos="567"/>
          <w:tab w:val="left" w:pos="993"/>
        </w:tabs>
        <w:rPr>
          <w:rFonts w:cs="Arial"/>
          <w:szCs w:val="22"/>
        </w:rPr>
      </w:pPr>
      <w:r w:rsidRPr="00C97933">
        <w:rPr>
          <w:rFonts w:cs="Arial"/>
          <w:szCs w:val="22"/>
        </w:rPr>
        <w:t xml:space="preserve">na koncu 3. točke doda besedilo »ali pogrešani zakonec«, </w:t>
      </w:r>
    </w:p>
    <w:p w:rsidR="00263FCA" w:rsidRPr="00C97933" w:rsidRDefault="00263FCA" w:rsidP="00C97933">
      <w:pPr>
        <w:pStyle w:val="Odstavekseznama"/>
        <w:numPr>
          <w:ilvl w:val="0"/>
          <w:numId w:val="8"/>
        </w:numPr>
        <w:tabs>
          <w:tab w:val="left" w:pos="567"/>
          <w:tab w:val="left" w:pos="993"/>
        </w:tabs>
        <w:rPr>
          <w:rFonts w:cs="Arial"/>
          <w:szCs w:val="22"/>
        </w:rPr>
      </w:pPr>
      <w:r w:rsidRPr="00C97933">
        <w:rPr>
          <w:rFonts w:cs="Arial"/>
          <w:szCs w:val="22"/>
        </w:rPr>
        <w:t xml:space="preserve">6. točka spremeni tako, da se glasi: </w:t>
      </w:r>
    </w:p>
    <w:p w:rsidR="00C97933" w:rsidRDefault="00C97933" w:rsidP="00C97933">
      <w:pPr>
        <w:tabs>
          <w:tab w:val="left" w:pos="567"/>
          <w:tab w:val="left" w:pos="993"/>
        </w:tabs>
        <w:ind w:left="360" w:hanging="360"/>
        <w:rPr>
          <w:rFonts w:cs="Arial"/>
          <w:szCs w:val="22"/>
        </w:rPr>
      </w:pPr>
      <w:r>
        <w:rPr>
          <w:rFonts w:cs="Arial"/>
          <w:szCs w:val="22"/>
        </w:rPr>
        <w:tab/>
      </w:r>
      <w:r w:rsidR="00263FCA" w:rsidRPr="00263FCA">
        <w:rPr>
          <w:rFonts w:cs="Arial"/>
          <w:szCs w:val="22"/>
        </w:rPr>
        <w:t>»6.</w:t>
      </w:r>
      <w:r>
        <w:rPr>
          <w:rFonts w:cs="Arial"/>
          <w:szCs w:val="22"/>
        </w:rPr>
        <w:t xml:space="preserve"> </w:t>
      </w:r>
      <w:r w:rsidR="00263FCA" w:rsidRPr="00263FCA">
        <w:rPr>
          <w:rFonts w:cs="Arial"/>
          <w:szCs w:val="22"/>
        </w:rPr>
        <w:t>otroci ali polnoletne osebe, ki so nameščene v rejniško družino na podlagi odločbe o namestitvi otroka v rejniško družino;«</w:t>
      </w:r>
    </w:p>
    <w:p w:rsidR="00263FCA" w:rsidRPr="00C97933" w:rsidRDefault="00263FCA" w:rsidP="00C97933">
      <w:pPr>
        <w:pStyle w:val="Odstavekseznama"/>
        <w:numPr>
          <w:ilvl w:val="0"/>
          <w:numId w:val="9"/>
        </w:numPr>
        <w:tabs>
          <w:tab w:val="left" w:pos="567"/>
          <w:tab w:val="left" w:pos="993"/>
        </w:tabs>
        <w:rPr>
          <w:rFonts w:cs="Arial"/>
          <w:szCs w:val="22"/>
        </w:rPr>
      </w:pPr>
      <w:r w:rsidRPr="00C97933">
        <w:rPr>
          <w:rFonts w:cs="Arial"/>
          <w:szCs w:val="22"/>
        </w:rPr>
        <w:t>za 6. točko dodata novi 7. in 8. točka, ki se glasita:</w:t>
      </w:r>
    </w:p>
    <w:p w:rsidR="00263FCA" w:rsidRPr="00263FCA" w:rsidRDefault="00C97933" w:rsidP="00C97933">
      <w:pPr>
        <w:tabs>
          <w:tab w:val="left" w:pos="284"/>
          <w:tab w:val="left" w:pos="567"/>
          <w:tab w:val="left" w:pos="993"/>
        </w:tabs>
        <w:ind w:left="360" w:hanging="360"/>
        <w:rPr>
          <w:rFonts w:cs="Arial"/>
          <w:szCs w:val="22"/>
        </w:rPr>
      </w:pPr>
      <w:r>
        <w:rPr>
          <w:rFonts w:cs="Arial"/>
          <w:szCs w:val="22"/>
        </w:rPr>
        <w:tab/>
      </w:r>
      <w:r w:rsidR="00263FCA" w:rsidRPr="00263FCA">
        <w:rPr>
          <w:rFonts w:cs="Arial"/>
          <w:szCs w:val="22"/>
        </w:rPr>
        <w:t>»7. otroci, ki imajo podaljšano roditeljsko pravico;</w:t>
      </w:r>
    </w:p>
    <w:p w:rsidR="00263FCA" w:rsidRPr="00263FCA" w:rsidRDefault="00C97933" w:rsidP="00C97933">
      <w:pPr>
        <w:tabs>
          <w:tab w:val="left" w:pos="284"/>
          <w:tab w:val="left" w:pos="567"/>
          <w:tab w:val="left" w:pos="993"/>
        </w:tabs>
        <w:ind w:left="360" w:hanging="360"/>
        <w:rPr>
          <w:rFonts w:cs="Arial"/>
          <w:szCs w:val="22"/>
        </w:rPr>
      </w:pPr>
      <w:r>
        <w:rPr>
          <w:rFonts w:cs="Arial"/>
          <w:szCs w:val="22"/>
        </w:rPr>
        <w:t xml:space="preserve"> </w:t>
      </w:r>
      <w:r>
        <w:rPr>
          <w:rFonts w:cs="Arial"/>
          <w:szCs w:val="22"/>
        </w:rPr>
        <w:tab/>
      </w:r>
      <w:r w:rsidR="00263FCA" w:rsidRPr="00263FCA">
        <w:rPr>
          <w:rFonts w:cs="Arial"/>
          <w:szCs w:val="22"/>
        </w:rPr>
        <w:t>8.</w:t>
      </w:r>
      <w:r>
        <w:rPr>
          <w:rFonts w:cs="Arial"/>
          <w:szCs w:val="22"/>
        </w:rPr>
        <w:t xml:space="preserve"> </w:t>
      </w:r>
      <w:r w:rsidR="00263FCA" w:rsidRPr="00263FCA">
        <w:rPr>
          <w:rFonts w:cs="Arial"/>
          <w:szCs w:val="22"/>
        </w:rPr>
        <w:t>mladoletna oseba, ki je brez staršev, ker so ti umrli, ali ker v življenjski skupnosti zaradi nasilja v družini, zaradi katerega so sproženi ali že tečejo postopki v skladu s predpisi, ki urejajo preprečevanje nasilja v družini, ni več dejansko povezana z njimi.«.</w:t>
      </w:r>
    </w:p>
    <w:p w:rsidR="00263FCA" w:rsidRPr="00263FCA" w:rsidRDefault="00263FCA" w:rsidP="00263FCA">
      <w:pPr>
        <w:tabs>
          <w:tab w:val="left" w:pos="567"/>
          <w:tab w:val="left" w:pos="993"/>
        </w:tabs>
        <w:rPr>
          <w:rFonts w:cs="Arial"/>
          <w:szCs w:val="22"/>
        </w:rPr>
      </w:pPr>
    </w:p>
    <w:p w:rsidR="00C97933" w:rsidRDefault="00C97933"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4.</w:t>
      </w:r>
      <w:r w:rsidR="00C97933">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12. člen se spremeni tako, da se glasi:</w:t>
      </w:r>
    </w:p>
    <w:p w:rsidR="00263FCA" w:rsidRPr="00263FCA" w:rsidRDefault="00263FCA"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»12. člen</w:t>
      </w:r>
    </w:p>
    <w:p w:rsidR="00C30C9A" w:rsidRDefault="00C30C9A" w:rsidP="00C30C9A">
      <w:pPr>
        <w:tabs>
          <w:tab w:val="left" w:pos="567"/>
          <w:tab w:val="left" w:pos="993"/>
        </w:tabs>
        <w:rPr>
          <w:rFonts w:cs="Arial"/>
          <w:color w:val="000000"/>
          <w:szCs w:val="22"/>
          <w:lang w:eastAsia="sl-SI"/>
        </w:rPr>
      </w:pPr>
    </w:p>
    <w:p w:rsidR="00C30C9A" w:rsidRDefault="00C30C9A" w:rsidP="00C30C9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(1) V dohodek, ki se upošteva, se štejejo dohodki in prejemki vseh oseb, in sicer:</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obdavčljivi dohodki po zakonu, ki ureja dohodnino, ki niso oproščeni plačila dohodnine;</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pokojninske rente in odkupne vrednosti, izplačane skladno z zakonom, ki ureja prvi pokojninski sklad Republike Slovenije in preoblikovanje pooblaščenih investicijskih družb, ter dodatne starostne pokojnine na podlagi zakona, ki ureja pokojninsko in invalidsko zavarovanje;</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dohodki, razen povračil stroškov, prejeti na podlagi pogodbe o prostovoljnem služenju vojaškega roka;</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preživnina, nadomestilo preživnine in drugi prejemki, prejeti na podlagi izvršilnega pravnega naslova z namenom kritja življenjskih stroškov, pri otrocih in pastorkih iz 3. točke osmega odstavka 10. člena tega zakona pa do višine minimalnega dohodka, ki bi jim pripadala po zakonu, ki ureja socialnovarstvene prejemke, če ne bi imeli drugih dohodkov;</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nagrada skrbniku skladno z zakonom, ki ureja zakonsko zvezo in družinska razmerja;</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plačilo dela rejniku, ki se izplačuje iz proračuna skladno z zakonom, ki ureja rejniško dejavnost;</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starševski dodatek;</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otroški dodatek brez dodatka za enostarševsko družino in brez dodatka za otroka, ki ni vključen v vrtec, zmanjšan za 20 % višine otroškega dodatka za prvega otroka iz prvega dohodkovnega razreda;</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denarna socialna pomoč, razen izredna denarna socialna pomoč;</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varstveni dodatek;</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državna štipendija, zmanjšana za znesek, ki je enak dodatku za bivanje, dodatku za uspeh ter dodatku za štipendiste s posebnimi potrebami;</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dodatek za aktivnost po predpisih, ki urejajo zaposlovanje;</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dodatek k pokojnini po zakonu, ki ureja zagotavljanje socialne varnosti slovenskim državljanom, ki so upravičeni do pokojnin iz republik nekdanje SFRJ;</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rente iz življenjskega zavarovanja po zakonu, ki ureja zavarovalništvo;</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veteranski dodatek po zakonu, ki ureja področje vojnih veteranov;</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invalidski dodatek in družinski dodatek po zakonu, ki ureja področje vojnih invalidov, ter nadomestilo za invalidnost po zakonu, ki ureja družbeno varstvo duševno in telesno prizadetih oseb;</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sredstva za nego in pomoč ter druge oblike denarnih nadomestil, ki jih dobiva oseba, za katero skrbi oseba, ki se upošteva pri ugotavljanju materialnega položaja, v polovični višini prejetih sredstev;</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prejemki za delo pripornikov in obsojencev;</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 xml:space="preserve">pomoči v obliki denarnih sredstev, ki jih socialno ali drugače ogrožene osebe prejmejo od organizacij, ki imajo skladno z zakonom, ki ureja humanitarne organizacije, status humanitarne organizacije, ki deluje v javnem interesu na področju socialnega ali zdravstvenega varstva, in od organizacij, ki imajo skladno z zakonom, ki ureja invalidske organizacije, status invalidske organizacije, ki deluje v javnem interesu na področju invalidskega varstva, namenjene za preživetje, zmanjšane za višino minimalnega dohodka, ki bi pripadal posamezni </w:t>
      </w:r>
      <w:r w:rsidRPr="00C30C9A">
        <w:rPr>
          <w:rFonts w:cs="Arial"/>
          <w:color w:val="000000"/>
          <w:szCs w:val="22"/>
          <w:lang w:eastAsia="sl-SI"/>
        </w:rPr>
        <w:lastRenderedPageBreak/>
        <w:t>osebi, če ne bi imela drugih dohodkov, kot ga določa zakon, ki ureja socialnovarstvene prejemke, razen pomoči v obliki denarnih sredstev, za katere dajalec sredstev opredeli namen porabe;</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pomoči v obliki denarnih sredstev, ki jih pomoči potrebne osebe prejmejo od dobrodelnih ustanov, katerih ustanovitev in poslovanje sta skladna z zakonom, ki ureja ustanove, namenjene za preživetje, zmanjšane za višino minimalnega dohodka, ki bi pripadal posamezni osebi, če ne bi imela drugih dohodkov, kot ga določa zakon, ki ureja socialnovarstvene prejemke, razen pomoči v obliki denarnih sredstev, za katere dajalec sredstev opredeli namen porabe;</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plačila za vodenje knjigovodstva na kmetijah po uradni metodologiji Evropske unije za zbiranje računovodskih podatkov o dohodkih in poslovanju kmetijskih gospodarstev, ki so namenjena vodenju knjigovodstva v povezavi z opravljanjem osnovne kmetijske in osnovne gozdarske dejavnosti, kot je določena z zakonom, ki ureja dohodnino;</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dohodki, prejeti na podlagi pogodbe o vojaški službi v rezervni sestavi, razen nadomestila plače oziroma izgubljeni zaslužek ter razen dohodkov za čas opravljanja vojaške službe (v miru ter v izrednem in vojnem stanju);</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dohodki, prejeti na podlagi pogodbe o službi v Civilni zaščiti, razen nadomestila plače;</w:t>
      </w:r>
    </w:p>
    <w:p w:rsidR="00C30C9A" w:rsidRPr="00C30C9A" w:rsidRDefault="00C30C9A" w:rsidP="00C30C9A">
      <w:pPr>
        <w:pStyle w:val="Odstavekseznama"/>
        <w:numPr>
          <w:ilvl w:val="0"/>
          <w:numId w:val="24"/>
        </w:numPr>
        <w:tabs>
          <w:tab w:val="left" w:pos="567"/>
          <w:tab w:val="left" w:pos="993"/>
        </w:tabs>
        <w:ind w:left="567" w:hanging="567"/>
        <w:rPr>
          <w:rFonts w:cs="Arial"/>
          <w:color w:val="000000"/>
          <w:szCs w:val="22"/>
          <w:lang w:eastAsia="sl-SI"/>
        </w:rPr>
      </w:pPr>
      <w:r w:rsidRPr="00C30C9A">
        <w:rPr>
          <w:rFonts w:cs="Arial"/>
          <w:color w:val="000000"/>
          <w:szCs w:val="22"/>
          <w:lang w:eastAsia="sl-SI"/>
        </w:rPr>
        <w:t>obdavčljivi dohodki po zakonu, ki ureja davke na dobitke pri klasičnih igrah na srečo.</w:t>
      </w:r>
    </w:p>
    <w:p w:rsidR="00C30C9A" w:rsidRDefault="00C30C9A" w:rsidP="00C30C9A">
      <w:pPr>
        <w:tabs>
          <w:tab w:val="left" w:pos="567"/>
          <w:tab w:val="left" w:pos="993"/>
        </w:tabs>
        <w:rPr>
          <w:rFonts w:cs="Arial"/>
          <w:color w:val="000000"/>
          <w:szCs w:val="22"/>
          <w:lang w:eastAsia="sl-SI"/>
        </w:rPr>
      </w:pPr>
    </w:p>
    <w:p w:rsidR="00C30C9A" w:rsidRDefault="00C30C9A" w:rsidP="00C30C9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(2) Ne glede na določbo prejšnjega odstavka se pri ugotavljanju upravičenosti do denarne socialne pomoči, varstvenega dodatka, subvencije najemnine, pravice do kritja razlike do polne vrednosti zdravstvenih storitev, pravice do plačila prispevka za obvezno zdravstveno zavarovanje, oprostitve plačila socialnovarstvenih storitev ter prispevka k plačilu družinskega pomočnika upoštevajo tudi naslednji dohodki:</w:t>
      </w:r>
    </w:p>
    <w:p w:rsidR="00C30C9A" w:rsidRPr="00C30C9A" w:rsidRDefault="00C30C9A" w:rsidP="00C30C9A">
      <w:pPr>
        <w:pStyle w:val="Odstavekseznama"/>
        <w:numPr>
          <w:ilvl w:val="0"/>
          <w:numId w:val="26"/>
        </w:numPr>
        <w:tabs>
          <w:tab w:val="left" w:pos="993"/>
        </w:tabs>
        <w:ind w:left="567" w:hanging="567"/>
        <w:rPr>
          <w:rFonts w:cs="Arial"/>
          <w:color w:val="000000"/>
          <w:szCs w:val="22"/>
          <w:lang w:eastAsia="sl-SI"/>
        </w:rPr>
      </w:pPr>
      <w:r w:rsidRPr="00C30C9A">
        <w:rPr>
          <w:rFonts w:cs="Arial"/>
          <w:color w:val="000000"/>
          <w:szCs w:val="22"/>
          <w:lang w:eastAsia="sl-SI"/>
        </w:rPr>
        <w:t>dediščine;</w:t>
      </w:r>
    </w:p>
    <w:p w:rsidR="00C30C9A" w:rsidRPr="00C30C9A" w:rsidRDefault="00C30C9A" w:rsidP="00C30C9A">
      <w:pPr>
        <w:pStyle w:val="Odstavekseznama"/>
        <w:numPr>
          <w:ilvl w:val="0"/>
          <w:numId w:val="26"/>
        </w:numPr>
        <w:tabs>
          <w:tab w:val="left" w:pos="993"/>
        </w:tabs>
        <w:ind w:left="567" w:hanging="567"/>
        <w:rPr>
          <w:rFonts w:cs="Arial"/>
          <w:color w:val="000000"/>
          <w:szCs w:val="22"/>
          <w:lang w:eastAsia="sl-SI"/>
        </w:rPr>
      </w:pPr>
      <w:r w:rsidRPr="00C30C9A">
        <w:rPr>
          <w:rFonts w:cs="Arial"/>
          <w:color w:val="000000"/>
          <w:szCs w:val="22"/>
          <w:lang w:eastAsia="sl-SI"/>
        </w:rPr>
        <w:t>volila;</w:t>
      </w:r>
    </w:p>
    <w:p w:rsidR="00C30C9A" w:rsidRPr="00C30C9A" w:rsidRDefault="00C30C9A" w:rsidP="00C30C9A">
      <w:pPr>
        <w:pStyle w:val="Odstavekseznama"/>
        <w:numPr>
          <w:ilvl w:val="0"/>
          <w:numId w:val="26"/>
        </w:numPr>
        <w:tabs>
          <w:tab w:val="left" w:pos="993"/>
        </w:tabs>
        <w:ind w:left="567" w:hanging="567"/>
        <w:rPr>
          <w:rFonts w:cs="Arial"/>
          <w:color w:val="000000"/>
          <w:szCs w:val="22"/>
          <w:lang w:eastAsia="sl-SI"/>
        </w:rPr>
      </w:pPr>
      <w:r w:rsidRPr="00C30C9A">
        <w:rPr>
          <w:rFonts w:cs="Arial"/>
          <w:color w:val="000000"/>
          <w:szCs w:val="22"/>
          <w:lang w:eastAsia="sl-SI"/>
        </w:rPr>
        <w:t>izplačila, ki jih prejme fizična oseba na podlagi zavarovanja za primer bolezni, poškodbe ali invalidnosti, katerega zakon, ki ureja zavarovalništvo, ne določa kot obvezno zavarovanje;</w:t>
      </w:r>
    </w:p>
    <w:p w:rsidR="00C30C9A" w:rsidRPr="00C30C9A" w:rsidRDefault="00C30C9A" w:rsidP="00C30C9A">
      <w:pPr>
        <w:pStyle w:val="Odstavekseznama"/>
        <w:numPr>
          <w:ilvl w:val="0"/>
          <w:numId w:val="26"/>
        </w:numPr>
        <w:tabs>
          <w:tab w:val="left" w:pos="993"/>
        </w:tabs>
        <w:ind w:left="567" w:hanging="567"/>
        <w:rPr>
          <w:rFonts w:cs="Arial"/>
          <w:color w:val="000000"/>
          <w:szCs w:val="22"/>
          <w:lang w:eastAsia="sl-SI"/>
        </w:rPr>
      </w:pPr>
      <w:r w:rsidRPr="00C30C9A">
        <w:rPr>
          <w:rFonts w:cs="Arial"/>
          <w:color w:val="000000"/>
          <w:szCs w:val="22"/>
          <w:lang w:eastAsia="sl-SI"/>
        </w:rPr>
        <w:t>drugi dohodki po zakonu, ki ureja dohodnino, ne glede nato, ali so oproščeni plačila dohodnine, razen:</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subvencije, ki se v skladu s posebnimi predpisi izplačujejo iz proračuna za določene namene, razen subvencij, ki jih posameznik prejme v zvezi z doseganjem dohodkov iz dohodka iz zaposlitve, dejavnosti, osnovne kmetijske in osnovne gozdarske dejavnosti, oddajanja premoženja v najem in iz prenosa premoženjskih pravic in kapitala;</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subvencija, ki pripada mladi družini kot spodbuda za prvo reševanje stanovanjskega vprašanja po zakonu, ki ureja nacionalno stanovanjsko varčevalno shemo in subvencije mladim družinam za prvo reševanje stanovanjskega vprašanja;</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enkratne denarne pomoči po zakonu, ki ureja varstvo pred naravnimi in drugimi nesrečami, zakonu, ki ureja obrambo, in zakonu, ki ureja notranje zadeve;</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enkratna solidarnostna pomoč, ki jo izplača sindikat svojim članom z namenom nudenja materialne pomoči v primerih socialne ogroženosti ter v primerih reševanja izjemnih razmer (kot so smrt, naravne in druge nesreče), če je izplačana pod pogoji, ki so določeni z aktom, ki ga sprejme reprezentativni sindikat na ravni države;</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 xml:space="preserve">povračila škode za sredstva, ki jih je zavezanec dal na razpolago za obrambne potrebe in za potrebe varstva pred naravnimi in drugimi </w:t>
      </w:r>
      <w:r w:rsidRPr="00C30C9A">
        <w:rPr>
          <w:rFonts w:cs="Arial"/>
          <w:color w:val="000000"/>
          <w:szCs w:val="22"/>
          <w:lang w:eastAsia="sl-SI"/>
        </w:rPr>
        <w:lastRenderedPageBreak/>
        <w:t>nesrečami, v skladu z zakonom, ki ureja obrambo, zakonom, ki ureja materialno dolžnost in zakonom, ki ureja varstvo pred naravnimi nesrečami;</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dohodki, povezani s kmetijsko in gozdarsko dejavnostjo, ki jih kot izjeme določi minister, pristojen za socialne zadeve, v soglasju z ministrom, pristojnim za kmetijstvo, in ki ne predstavljajo dohodka oziroma nadomestila za izpad dohodka, ampak so namenjeni povračilu stroškov, povezanih z opravljanjem dejavnosti;</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štipendije in drugi prejemki, izplačani osebi, ki je vpisana kot učenka ali učenec (v nadaljnjem besedilu: učenec), dijakinja ali dijak (v nadaljnjem besedilu: dijak) ali študentka ali študent (v nadaljnjem besedilu: študent), v zvezi z izobraževanjem ali usposabljanjem na podlagi posebnih predpisov, in sicer iz proračuna ali sklada, ki je financiran iz proračuna in od navedenih prejemkov, ki jih financira tuja država ali mednarodna organizacija oziroma izobraževalna, kulturna ali znanstveno-raziskovalna ustanova, razen prejemkov, ki so prejeti kot nadomestilo za izgubljeni dohodek ali v zvezi z opravljanjem dela oziroma storitev;</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prejemki, izplačani za kritje šolnine in stroškov prevoza ter prebivanja osebi, ki je vpisana kot učenec, dijak ali študent za polni učni ali študijski čas, ki jih izplača pristojni organ za zaposlovanje, ustanova, ustanovljena z namenom štipendiranja, ki ni povezana oseba ali sedanji, prejšnji ali bodoči delodajalec prejemnika ali osebe, ki je povezana s prejemnikom;</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prejemki, ki so namenjeni plačilu izobraževanja ali usposabljanja;</w:t>
      </w:r>
    </w:p>
    <w:p w:rsidR="00C30C9A" w:rsidRPr="00C30C9A" w:rsidRDefault="00C30C9A" w:rsidP="00C30C9A">
      <w:pPr>
        <w:pStyle w:val="Odstavekseznama"/>
        <w:numPr>
          <w:ilvl w:val="1"/>
          <w:numId w:val="28"/>
        </w:numPr>
        <w:rPr>
          <w:rFonts w:cs="Arial"/>
          <w:color w:val="000000"/>
          <w:szCs w:val="22"/>
          <w:lang w:eastAsia="sl-SI"/>
        </w:rPr>
      </w:pPr>
      <w:r w:rsidRPr="00C30C9A">
        <w:rPr>
          <w:rFonts w:cs="Arial"/>
          <w:color w:val="000000"/>
          <w:szCs w:val="22"/>
          <w:lang w:eastAsia="sl-SI"/>
        </w:rPr>
        <w:t>prejemki, namenjeni pokritju stroškov prehrane med delom in prevoza na delo ter stroški v skladu z 2., 3., 4. in 5. točko 107. člena in četrtim odstavkom 108. člena Zakona o dohodnini (Uradni list RS št. 33/11</w:t>
      </w:r>
      <w:r w:rsidR="003126E5">
        <w:rPr>
          <w:rFonts w:cs="Arial"/>
          <w:color w:val="000000"/>
          <w:szCs w:val="22"/>
          <w:lang w:eastAsia="sl-SI"/>
        </w:rPr>
        <w:t xml:space="preserve"> – uradno prečiščeno besedilo</w:t>
      </w:r>
      <w:r w:rsidRPr="00C30C9A">
        <w:rPr>
          <w:rFonts w:cs="Arial"/>
          <w:color w:val="000000"/>
          <w:szCs w:val="22"/>
          <w:lang w:eastAsia="sl-SI"/>
        </w:rPr>
        <w:t xml:space="preserve">, 9/12 </w:t>
      </w:r>
      <w:r w:rsidR="003126E5">
        <w:rPr>
          <w:rFonts w:cs="Arial"/>
          <w:color w:val="000000"/>
          <w:szCs w:val="22"/>
          <w:lang w:eastAsia="sl-SI"/>
        </w:rPr>
        <w:t xml:space="preserve">– odločba </w:t>
      </w:r>
      <w:r w:rsidRPr="00C30C9A">
        <w:rPr>
          <w:rFonts w:cs="Arial"/>
          <w:color w:val="000000"/>
          <w:szCs w:val="22"/>
          <w:lang w:eastAsia="sl-SI"/>
        </w:rPr>
        <w:t>US, 24/12, 30/12, 40/12</w:t>
      </w:r>
      <w:r w:rsidR="003126E5">
        <w:rPr>
          <w:rFonts w:cs="Arial"/>
          <w:color w:val="000000"/>
          <w:szCs w:val="22"/>
          <w:lang w:eastAsia="sl-SI"/>
        </w:rPr>
        <w:t xml:space="preserve"> – </w:t>
      </w:r>
      <w:proofErr w:type="spellStart"/>
      <w:r w:rsidRPr="00C30C9A">
        <w:rPr>
          <w:rFonts w:cs="Arial"/>
          <w:color w:val="000000"/>
          <w:szCs w:val="22"/>
          <w:lang w:eastAsia="sl-SI"/>
        </w:rPr>
        <w:t>ZUJF</w:t>
      </w:r>
      <w:proofErr w:type="spellEnd"/>
      <w:r w:rsidRPr="00C30C9A">
        <w:rPr>
          <w:rFonts w:cs="Arial"/>
          <w:color w:val="000000"/>
          <w:szCs w:val="22"/>
          <w:lang w:eastAsia="sl-SI"/>
        </w:rPr>
        <w:t>, 71/12</w:t>
      </w:r>
      <w:r w:rsidR="003126E5">
        <w:rPr>
          <w:rFonts w:cs="Arial"/>
          <w:color w:val="000000"/>
          <w:szCs w:val="22"/>
          <w:lang w:eastAsia="sl-SI"/>
        </w:rPr>
        <w:t xml:space="preserve"> – odločba </w:t>
      </w:r>
      <w:r w:rsidRPr="00C30C9A">
        <w:rPr>
          <w:rFonts w:cs="Arial"/>
          <w:color w:val="000000"/>
          <w:szCs w:val="22"/>
          <w:lang w:eastAsia="sl-SI"/>
        </w:rPr>
        <w:t>US, 75/12, 94/12 in 5</w:t>
      </w:r>
      <w:r w:rsidR="00E0079F">
        <w:rPr>
          <w:rFonts w:cs="Arial"/>
          <w:color w:val="000000"/>
          <w:szCs w:val="22"/>
          <w:lang w:eastAsia="sl-SI"/>
        </w:rPr>
        <w:t>2</w:t>
      </w:r>
      <w:r w:rsidRPr="00C30C9A">
        <w:rPr>
          <w:rFonts w:cs="Arial"/>
          <w:color w:val="000000"/>
          <w:szCs w:val="22"/>
          <w:lang w:eastAsia="sl-SI"/>
        </w:rPr>
        <w:t>/13).</w:t>
      </w:r>
    </w:p>
    <w:p w:rsidR="00C30C9A" w:rsidRDefault="00C30C9A" w:rsidP="00C30C9A">
      <w:pPr>
        <w:tabs>
          <w:tab w:val="left" w:pos="567"/>
          <w:tab w:val="left" w:pos="993"/>
        </w:tabs>
        <w:rPr>
          <w:rFonts w:cs="Arial"/>
          <w:color w:val="000000"/>
          <w:szCs w:val="22"/>
          <w:lang w:eastAsia="sl-SI"/>
        </w:rPr>
      </w:pPr>
    </w:p>
    <w:p w:rsidR="00C30C9A" w:rsidRDefault="003126E5" w:rsidP="00C30C9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C30C9A">
        <w:rPr>
          <w:rFonts w:cs="Arial"/>
          <w:color w:val="000000"/>
          <w:szCs w:val="22"/>
          <w:lang w:eastAsia="sl-SI"/>
        </w:rPr>
        <w:t>(3) Podrobnejšo opredelitev podatkov o dohodkih iz 1. točke prvega odstavka tega člena, ki jih zagotavlja Davčna uprava Republike Slovenije (v nadaljnjem besedilu: DURS), določi minister, pristojen za socialno varstvo, ob predhodnem soglasju ministra, pristojnega za finance.</w:t>
      </w:r>
    </w:p>
    <w:p w:rsidR="00C30C9A" w:rsidRDefault="00C30C9A" w:rsidP="00C30C9A">
      <w:pPr>
        <w:tabs>
          <w:tab w:val="left" w:pos="567"/>
          <w:tab w:val="left" w:pos="993"/>
        </w:tabs>
        <w:rPr>
          <w:rFonts w:cs="Arial"/>
          <w:color w:val="000000"/>
          <w:szCs w:val="22"/>
          <w:lang w:eastAsia="sl-SI"/>
        </w:rPr>
      </w:pPr>
    </w:p>
    <w:p w:rsidR="00C30C9A" w:rsidRDefault="005C6B2D" w:rsidP="00C30C9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C30C9A">
        <w:rPr>
          <w:rFonts w:cs="Arial"/>
          <w:color w:val="000000"/>
          <w:szCs w:val="22"/>
          <w:lang w:eastAsia="sl-SI"/>
        </w:rPr>
        <w:t xml:space="preserve">(4) </w:t>
      </w:r>
      <w:proofErr w:type="spellStart"/>
      <w:r w:rsidR="00C30C9A">
        <w:rPr>
          <w:rFonts w:cs="Arial"/>
          <w:color w:val="000000"/>
          <w:szCs w:val="22"/>
          <w:lang w:eastAsia="sl-SI"/>
        </w:rPr>
        <w:t>Neprejemanje</w:t>
      </w:r>
      <w:proofErr w:type="spellEnd"/>
      <w:r w:rsidR="00C30C9A">
        <w:rPr>
          <w:rFonts w:cs="Arial"/>
          <w:color w:val="000000"/>
          <w:szCs w:val="22"/>
          <w:lang w:eastAsia="sl-SI"/>
        </w:rPr>
        <w:t xml:space="preserve"> prejemkov iz 4. točke prvega odstavka tega člena se ugotavlja zlasti s predlogom za izvršbo, potrdilom sodišča o njegovi vložitvi, sklepom o izvršbi, z dokazilom o neuspeli izvršbi ali s potrdilom pristojnega ministrstva, da je začel teči postopek za izterjavo iz tujine.</w:t>
      </w:r>
    </w:p>
    <w:p w:rsidR="00C30C9A" w:rsidRDefault="00C30C9A" w:rsidP="00C30C9A">
      <w:pPr>
        <w:tabs>
          <w:tab w:val="left" w:pos="567"/>
          <w:tab w:val="left" w:pos="993"/>
        </w:tabs>
        <w:rPr>
          <w:rFonts w:cs="Arial"/>
          <w:color w:val="000000"/>
          <w:szCs w:val="22"/>
          <w:lang w:eastAsia="sl-SI"/>
        </w:rPr>
      </w:pPr>
    </w:p>
    <w:p w:rsidR="00C30C9A" w:rsidRDefault="005C6B2D" w:rsidP="00C30C9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C30C9A">
        <w:rPr>
          <w:rFonts w:cs="Arial"/>
          <w:color w:val="000000"/>
          <w:szCs w:val="22"/>
          <w:lang w:eastAsia="sl-SI"/>
        </w:rPr>
        <w:t>(5) Če v primeru iz 17. točke prvega odstavka tega člena oseba dokaže, da nego in pomoč nudi v nižji vrednosti, se kot dohodek upošteva višina sredstev v polovični višini teh sredstev.</w:t>
      </w:r>
    </w:p>
    <w:p w:rsidR="00C30C9A" w:rsidRDefault="00C30C9A" w:rsidP="00C30C9A">
      <w:pPr>
        <w:tabs>
          <w:tab w:val="left" w:pos="567"/>
          <w:tab w:val="left" w:pos="993"/>
        </w:tabs>
        <w:rPr>
          <w:rFonts w:cs="Arial"/>
          <w:color w:val="000000"/>
          <w:szCs w:val="22"/>
          <w:lang w:eastAsia="sl-SI"/>
        </w:rPr>
      </w:pPr>
    </w:p>
    <w:p w:rsidR="00C30C9A" w:rsidRDefault="005C6B2D" w:rsidP="00C30C9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C30C9A">
        <w:rPr>
          <w:rFonts w:cs="Arial"/>
          <w:color w:val="000000"/>
          <w:szCs w:val="22"/>
          <w:lang w:eastAsia="sl-SI"/>
        </w:rPr>
        <w:t>(6) Dohodki in prejemki iz prvega odstavka tega člena se upoštevajo po zmanjšanju za normirane stroške oziroma dejanske stroške, priznane po zakonu, ki ureja dohodnino, ter za davke in obvezne prispevke za socialno varnost, odtegnjene od teh dohodkov in prejemkov.</w:t>
      </w:r>
    </w:p>
    <w:p w:rsidR="00C30C9A" w:rsidRDefault="00C30C9A" w:rsidP="00C30C9A">
      <w:pPr>
        <w:tabs>
          <w:tab w:val="left" w:pos="567"/>
          <w:tab w:val="left" w:pos="993"/>
        </w:tabs>
        <w:rPr>
          <w:rFonts w:cs="Arial"/>
          <w:color w:val="000000"/>
          <w:szCs w:val="22"/>
          <w:lang w:eastAsia="sl-SI"/>
        </w:rPr>
      </w:pPr>
    </w:p>
    <w:p w:rsidR="00C30C9A" w:rsidRDefault="005C6B2D" w:rsidP="00C30C9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C30C9A">
        <w:rPr>
          <w:rFonts w:cs="Arial"/>
          <w:color w:val="000000"/>
          <w:szCs w:val="22"/>
          <w:lang w:eastAsia="sl-SI"/>
        </w:rPr>
        <w:t>(7) Pri ugotavljanju materialnega položaja se ne upošteva oseba, ki je neutemeljeno opustila uveljavljanje pravice do dohodkov iz prvega odstavka tega člena, razen pravic po tem zakonu, ki bi vplivali na socialno-ekonomski položaj te osebe ali drugih oseb, ki se poleg nje upoštevajo pri ugotavljanju materialnega položaja, kljub temu pa se pri uveljavljanju pravic po tem zakonu upoštevajo njeni dohodki in premoženje.«.</w:t>
      </w:r>
    </w:p>
    <w:p w:rsidR="00263FCA" w:rsidRPr="00263FCA" w:rsidRDefault="00263FCA" w:rsidP="00263FCA">
      <w:pPr>
        <w:tabs>
          <w:tab w:val="left" w:pos="567"/>
          <w:tab w:val="left" w:pos="993"/>
        </w:tabs>
        <w:rPr>
          <w:rFonts w:cs="Arial"/>
          <w:szCs w:val="22"/>
        </w:rPr>
      </w:pPr>
    </w:p>
    <w:p w:rsidR="00C97933" w:rsidRDefault="00C97933"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5.</w:t>
      </w:r>
      <w:r w:rsidR="00C97933">
        <w:rPr>
          <w:rFonts w:cs="Arial"/>
          <w:szCs w:val="22"/>
        </w:rPr>
        <w:t xml:space="preserve"> </w:t>
      </w:r>
      <w:r w:rsidRPr="00263FCA">
        <w:rPr>
          <w:rFonts w:cs="Arial"/>
          <w:szCs w:val="22"/>
        </w:rPr>
        <w:t>člen</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15. člen se spremeni tako, da se glasi:</w:t>
      </w:r>
    </w:p>
    <w:p w:rsidR="00C97933" w:rsidRDefault="00C97933"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»15. člen</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w:t>
      </w:r>
      <w:r>
        <w:rPr>
          <w:rFonts w:cs="Arial"/>
          <w:szCs w:val="22"/>
        </w:rPr>
        <w:t xml:space="preserve"> </w:t>
      </w:r>
      <w:r w:rsidR="00263FCA" w:rsidRPr="00263FCA">
        <w:rPr>
          <w:rFonts w:cs="Arial"/>
          <w:szCs w:val="22"/>
        </w:rPr>
        <w:t>Pri ugotavljanju upravičenosti do denarne socialne pomoči, varstvenega dodatka, oprostitve plačila socialnovarstvenih storitev, prispevka k plačilu družinskega pomočnika, subvencije najemnine, pravice do kritja razlike do polne vrednosti zdravstvenih storitev in do pravice do plačila prispevka za obvezno zdravstveno zavarovanje se dohodek upošteva na način in glede na obdobje, določeno skladno z zakonom, ki ureja socialnovarstvene prejemke.</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w:t>
      </w:r>
      <w:r>
        <w:rPr>
          <w:rFonts w:cs="Arial"/>
          <w:szCs w:val="22"/>
        </w:rPr>
        <w:t xml:space="preserve"> </w:t>
      </w:r>
      <w:r w:rsidR="00263FCA" w:rsidRPr="00263FCA">
        <w:rPr>
          <w:rFonts w:cs="Arial"/>
          <w:szCs w:val="22"/>
        </w:rPr>
        <w:t>Pri ugotavljanju upravičenosti do otroškega dodatka, znižanega plačila vrtca in državne štipendije se upošteva dohodek v preteklem koledarskem letu pred vložitvijo vloge, razen dohodkov iz 4., 8., 9., 10. in 11. točke prvega odstavka 12. člena tega zakona, ki se vedno upoštevajo kot tekoči dohodki.</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(3)</w:t>
      </w:r>
      <w:r>
        <w:rPr>
          <w:rFonts w:cs="Arial"/>
          <w:szCs w:val="22"/>
        </w:rPr>
        <w:t xml:space="preserve"> </w:t>
      </w:r>
      <w:r w:rsidR="00263FCA" w:rsidRPr="00263FCA">
        <w:rPr>
          <w:rFonts w:cs="Arial"/>
          <w:szCs w:val="22"/>
        </w:rPr>
        <w:t>Pri ugotavljanju dohodka se upoštevajo podatki iz odločb o odmeri dohodnine in podatki iz davčnega obračuna akontacije dohodnine ali dohodnine od dohodka iz dejavnosti, podatki, ki jih davčnemu organu posredujejo osebe, zavezane za dajanje podatkov, in podatki, potrebni za izračun akontacije dohodnine. Pri ugotavljanju upravičenosti do pravice iz javnih sredstev se primarno uporabijo podatki iz odločb o odmeri dohodnine in podatki iz davčnega obračuna akontacije dohodnine ali dohodnine od dohodka iz dejavnosti za preteklo leto.</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w:t>
      </w:r>
      <w:r>
        <w:rPr>
          <w:rFonts w:cs="Arial"/>
          <w:szCs w:val="22"/>
        </w:rPr>
        <w:t xml:space="preserve"> </w:t>
      </w:r>
      <w:r w:rsidR="00263FCA" w:rsidRPr="00263FCA">
        <w:rPr>
          <w:rFonts w:cs="Arial"/>
          <w:szCs w:val="22"/>
        </w:rPr>
        <w:t>Pri ugotavljanju dohodka se upoštevajo tudi podatki iz uradnih evidenc centrov za socialno delo in drugih upravljavcev zbirk podatkov, ki vodijo uradne evidence o izplačanih dohodkih oziroma pravicah iz javnih sredstev, in druga dokazila skladno z zakonom, ki ureja splošni upravni postopek.</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(5)</w:t>
      </w:r>
      <w:r>
        <w:rPr>
          <w:rFonts w:cs="Arial"/>
          <w:szCs w:val="22"/>
        </w:rPr>
        <w:t xml:space="preserve"> </w:t>
      </w:r>
      <w:r w:rsidR="00263FCA" w:rsidRPr="00263FCA">
        <w:rPr>
          <w:rFonts w:cs="Arial"/>
          <w:szCs w:val="22"/>
        </w:rPr>
        <w:t>Kadar v času odločanja o pravicah iz drugega odstavka tega člena podatki za preteklo leto še niso na voljo, se upoštevajo podatki iz odločb o odmeri dohodnine in podatki iz davčnega obračuna akontacije dohodnine ali dohodnine od dohodka iz dejavnosti za predpreteklo leto, preračunani na raven preteklega koledarskega leta, tako da se povečajo za rast neto povprečne plače na zaposlenega v obdobju januar</w:t>
      </w:r>
      <w:r>
        <w:rPr>
          <w:rFonts w:cs="Arial"/>
          <w:szCs w:val="22"/>
        </w:rPr>
        <w:t>–</w:t>
      </w:r>
      <w:r w:rsidR="00263FCA" w:rsidRPr="00263FCA">
        <w:rPr>
          <w:rFonts w:cs="Arial"/>
          <w:szCs w:val="22"/>
        </w:rPr>
        <w:t>december preteklega leta v primerjavi z istim obdobjem predpreteklega leta.</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(6)</w:t>
      </w:r>
      <w:r>
        <w:rPr>
          <w:rFonts w:cs="Arial"/>
          <w:szCs w:val="22"/>
        </w:rPr>
        <w:t xml:space="preserve"> </w:t>
      </w:r>
      <w:r w:rsidR="00263FCA" w:rsidRPr="00263FCA">
        <w:rPr>
          <w:rFonts w:cs="Arial"/>
          <w:szCs w:val="22"/>
        </w:rPr>
        <w:t>Če oseba v preteklem koledarskem letu pred vložitvijo vloge ni imela dohodkov, ima pa jih v tekočem koledarskem letu, se pri določitvi mesečnega dohodka upoštevajo njeni tekoči dohodki. Tekoči dohodki se upoštevajo tako, da se pomnožijo s količnikom, ki se izračuna iz razmerja med neto povprečno plačo na zaposlenega v obdobju januar–december preteklega leta in zadnjo neto povprečno plačo na zaposlenega v mesecu izplačila tekočega dohodka. Tekoči dohodki se ugotavljajo na podlagi podatkov iz obračunov davčnega odtegljaja ali drugih dokazil izplačevalcev dohodka. Če podatki iz obračunov davčnega odtegljaja ali drugih dokazil izplačevalcev dohodka niso na voljo, se upoštevajo podatki iz dokazil, ki jih predloži oseba.</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(7)</w:t>
      </w:r>
      <w:r>
        <w:rPr>
          <w:rFonts w:cs="Arial"/>
          <w:szCs w:val="22"/>
        </w:rPr>
        <w:t xml:space="preserve"> </w:t>
      </w:r>
      <w:r w:rsidR="00263FCA" w:rsidRPr="00263FCA">
        <w:rPr>
          <w:rFonts w:cs="Arial"/>
          <w:szCs w:val="22"/>
        </w:rPr>
        <w:t xml:space="preserve">Kadar je iz ugotovljenega dejanskega stanja razvidno, da je prišlo do spremembe vrste periodičnega dohodka, ker oseba določenega periodičnega dohodka ne prejema več ali prejema drugo vrsto periodičnega dohodka, se periodični dohodek, </w:t>
      </w:r>
      <w:r w:rsidR="00263FCA" w:rsidRPr="00263FCA">
        <w:rPr>
          <w:rFonts w:cs="Arial"/>
          <w:szCs w:val="22"/>
        </w:rPr>
        <w:lastRenderedPageBreak/>
        <w:t>ki ga ne prejema več, ne upošteva, upošteva pa se morebitni novi periodični dohodek na način kot velja za upoštevanje tekočih dohodkov.</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(8)</w:t>
      </w:r>
      <w:r>
        <w:rPr>
          <w:rFonts w:cs="Arial"/>
          <w:szCs w:val="22"/>
        </w:rPr>
        <w:t xml:space="preserve"> </w:t>
      </w:r>
      <w:r w:rsidR="00263FCA" w:rsidRPr="00263FCA">
        <w:rPr>
          <w:rFonts w:cs="Arial"/>
          <w:szCs w:val="22"/>
        </w:rPr>
        <w:t>Ne glede na drugi odstavek tega člena se pri upravičencih do denarne socialne pomoči upoštevajo le njihovi tekoči dohodki, ne glede na to, ali so v preteklem letu imeli periodične dohodke iz 8. točke 3. člena tega zakona.</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(9)</w:t>
      </w:r>
      <w:r>
        <w:rPr>
          <w:rFonts w:cs="Arial"/>
          <w:szCs w:val="22"/>
        </w:rPr>
        <w:t xml:space="preserve"> </w:t>
      </w:r>
      <w:r w:rsidR="00263FCA" w:rsidRPr="00263FCA">
        <w:rPr>
          <w:rFonts w:cs="Arial"/>
          <w:szCs w:val="22"/>
        </w:rPr>
        <w:t>Tekoči dohodki so periodični dohodki iz 8. točke 3. člena tega zakona, ki jih oseba v preteklem letu ni imela, ima pa jih izplačane v mesecu pred mesecem vložitve vloge, razen če je iz ugotovljenega dejanskega stanja razvidno, da jih je začela prejemati v mesecu vložitve vloge, preračunani na letno raven, in dohodki iz 4., 8., 9., 10. in 11. točke prvega odstavka 12. člena tega zakona, ki se upoštevajo v višini, kakršna velja ali bo veljala z začetkom priznanja pravice.</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(10) Podrobnejši način upoštevanja dohodkov pri ugotavljanju upravičenosti do pravic iz drugega odstavka tega člena določi minister, pristojen za socialne zadeve.«</w:t>
      </w:r>
      <w:r>
        <w:rPr>
          <w:rFonts w:cs="Arial"/>
          <w:szCs w:val="22"/>
        </w:rPr>
        <w:t>.</w:t>
      </w:r>
    </w:p>
    <w:p w:rsidR="00263FCA" w:rsidRPr="00263FCA" w:rsidRDefault="00263FCA" w:rsidP="00263FCA">
      <w:pPr>
        <w:tabs>
          <w:tab w:val="left" w:pos="567"/>
          <w:tab w:val="left" w:pos="993"/>
        </w:tabs>
        <w:rPr>
          <w:rFonts w:cs="Arial"/>
          <w:szCs w:val="22"/>
        </w:rPr>
      </w:pPr>
    </w:p>
    <w:p w:rsidR="00C97933" w:rsidRDefault="00C97933"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6.</w:t>
      </w:r>
      <w:r w:rsidR="00C97933">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18. člen se spremeni tako, da se glasi:</w:t>
      </w:r>
    </w:p>
    <w:p w:rsidR="00263FCA" w:rsidRPr="00263FCA" w:rsidRDefault="00263FCA"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»18. člen</w:t>
      </w:r>
    </w:p>
    <w:p w:rsidR="00C97933" w:rsidRDefault="00C97933"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w:t>
      </w:r>
      <w:r>
        <w:rPr>
          <w:rFonts w:cs="Arial"/>
          <w:szCs w:val="22"/>
        </w:rPr>
        <w:t xml:space="preserve"> </w:t>
      </w:r>
      <w:r w:rsidR="00263FCA" w:rsidRPr="00263FCA">
        <w:rPr>
          <w:rFonts w:cs="Arial"/>
          <w:szCs w:val="22"/>
        </w:rPr>
        <w:t>V premoženje se ne štejejo:</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stanovanje ali stanovanjska hiša (v nadaljevanju stanovanje), v katerem oseba dejansko prebiva in ima prijavljeno stalno prebivališče, do vrednosti primernega stanovanja;</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osebni avtomobili oziroma enosledna vozila do vrednosti 28-</w:t>
      </w:r>
      <w:proofErr w:type="spellStart"/>
      <w:r w:rsidRPr="00C97933">
        <w:rPr>
          <w:rFonts w:cs="Arial"/>
          <w:szCs w:val="22"/>
        </w:rPr>
        <w:t>kratnika</w:t>
      </w:r>
      <w:proofErr w:type="spellEnd"/>
      <w:r w:rsidRPr="00C97933">
        <w:rPr>
          <w:rFonts w:cs="Arial"/>
          <w:szCs w:val="22"/>
        </w:rPr>
        <w:t xml:space="preserve"> osnovnega zneska minimalnega dohodka, določenega s predpisi, ki urejajo socialnovarstvene prejemke, za vsak avtomobil oziroma enosledno vozilo, in osebno vozilo, prilagojeno prevozu težko gibalno oviranih oseb;</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premoženje, za katerega ima oseba kot najemojemalec sklenjen finančni najem ali poslovni najem (</w:t>
      </w:r>
      <w:proofErr w:type="spellStart"/>
      <w:r w:rsidRPr="00C97933">
        <w:rPr>
          <w:rFonts w:cs="Arial"/>
          <w:szCs w:val="22"/>
        </w:rPr>
        <w:t>leasing</w:t>
      </w:r>
      <w:proofErr w:type="spellEnd"/>
      <w:r w:rsidRPr="00C97933">
        <w:rPr>
          <w:rFonts w:cs="Arial"/>
          <w:szCs w:val="22"/>
        </w:rPr>
        <w:t>);</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predmeti, ki so po predpisih, ki urejajo izvršbo, izvzeti iz izvršbe, razen gotovine;</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poslovni prostori in poslovne stavbe, drugi objekti in premično premoženje, ki ga vlagatelj ali druga oseba, ki se upošteva pri ugotavljanju materialnega položaja, uporablja za oziroma pri pridobivanju dohodka iz dejavnosti, dokler ta dohodek iz dejavnosti mesečno dosega vsaj višino 75 % bruto minimalne plače;</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kmetijsko, vodno in gozdno zemljišče, ki daje dohodek, ki se po tem zakonu upošteva pri ugotavljanju materialnega položaja;</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sredstva iz naslova dodatnega pokojninskega zavarovanja, vpisana na osebnem računu zavarovanca pri skladu obveznega dodatnega pokojninskega zavarovanja oziroma pri pokojninskem skladu ali zavarovalnici, ki izvaja prostovoljno dodatno pokojninsko zavarovanje.</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bančna sredstva, ki jih je oseba prejela izključno za nakup ali gradnjo stanovanja;</w:t>
      </w:r>
    </w:p>
    <w:p w:rsidR="00263FCA" w:rsidRPr="00C97933" w:rsidRDefault="00263FCA" w:rsidP="00C97933">
      <w:pPr>
        <w:pStyle w:val="Odstavekseznama"/>
        <w:numPr>
          <w:ilvl w:val="0"/>
          <w:numId w:val="15"/>
        </w:numPr>
        <w:tabs>
          <w:tab w:val="left" w:pos="567"/>
          <w:tab w:val="left" w:pos="993"/>
        </w:tabs>
        <w:rPr>
          <w:rFonts w:cs="Arial"/>
          <w:szCs w:val="22"/>
        </w:rPr>
      </w:pPr>
      <w:r w:rsidRPr="00C97933">
        <w:rPr>
          <w:rFonts w:cs="Arial"/>
          <w:szCs w:val="22"/>
        </w:rPr>
        <w:t>kmetijsko in gozdno zemljišče, ki ga oseba zaradi starosti nad 63 let za ženske in nad 65 let za moške, bolezni, invalidnosti ali drugih osebnih lastnosti upravičenca, na katere upravičenec ni mogel vplivati oziroma jih ni mogel preprečiti, ni bila sposobna obdelati, dohodka pa s prodajo ali oddajo v najem ali zakup ni mogoče pridobiti pri čemer nezmožnost obdelovanja do starosti 63 let za ženske in 65 let za moške ugotavlja invalidska komisija po predpisih o pokojninskem in invalidskem zavarovanju.</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(2) Pri ugotavljanju upravičenosti do denarne socialne pomoči se kot premoženje ne upoštevajo denarna sredstva samske osebe, če nima prihrankov, višjih od treh minimalnih dohodkov, ki pripadajo samski osebi oziroma treh minimalnih dohodkov, ki pripadajo družini, vendar največ do 2500 </w:t>
      </w:r>
      <w:proofErr w:type="spellStart"/>
      <w:r w:rsidR="00263FCA" w:rsidRPr="00263FCA">
        <w:rPr>
          <w:rFonts w:cs="Arial"/>
          <w:szCs w:val="22"/>
        </w:rPr>
        <w:t>eurov</w:t>
      </w:r>
      <w:proofErr w:type="spellEnd"/>
      <w:r w:rsidR="00263FCA" w:rsidRPr="00263FCA">
        <w:rPr>
          <w:rFonts w:cs="Arial"/>
          <w:szCs w:val="22"/>
        </w:rPr>
        <w:t>.</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(3) Pri osebah, ki so trajno nezaposljive, trajno nezmožne za delo ali so starejše od 63 let za ženske in 65 let za moške in niso zaposlene, oziroma pri družinah s takšno osebo se kot premoženje ne upoštevajo denarna sredstva samske osebe, če nima prihrankov, višjih od 2500 </w:t>
      </w:r>
      <w:proofErr w:type="spellStart"/>
      <w:r w:rsidR="00263FCA" w:rsidRPr="00263FCA">
        <w:rPr>
          <w:rFonts w:cs="Arial"/>
          <w:szCs w:val="22"/>
        </w:rPr>
        <w:t>eurov</w:t>
      </w:r>
      <w:proofErr w:type="spellEnd"/>
      <w:r w:rsidR="00263FCA" w:rsidRPr="00263FCA">
        <w:rPr>
          <w:rFonts w:cs="Arial"/>
          <w:szCs w:val="22"/>
        </w:rPr>
        <w:t xml:space="preserve">, oziroma družina do 3500 </w:t>
      </w:r>
      <w:proofErr w:type="spellStart"/>
      <w:r w:rsidR="00263FCA" w:rsidRPr="00263FCA">
        <w:rPr>
          <w:rFonts w:cs="Arial"/>
          <w:szCs w:val="22"/>
        </w:rPr>
        <w:t>eurov</w:t>
      </w:r>
      <w:proofErr w:type="spellEnd"/>
      <w:r w:rsidR="00263FCA" w:rsidRPr="00263FCA">
        <w:rPr>
          <w:rFonts w:cs="Arial"/>
          <w:szCs w:val="22"/>
        </w:rPr>
        <w:t>.</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Pri uveljavljanju pravice do oprostitve plačila socialnovarstvene storitve in prispevka k plačilu družinskega pomočnika se kot premoženje upravičenca do socialnovarstvene storitve ali invalidne osebe ne upoštevajo nepremičnine in denarna sredstva na transakcijskem ali drugem računu ter denarna sredstva osebe iz 1. točke prvega odstavka 10. člena tega zakona.</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(5) Če imajo vlagatelj in osebe, ki se upoštevajo pri ugotavljanju materialnega položaja, v lasti več stanovanj, se kot premoženje pod pogoji iz prve točke prvega odstavka tega člena ne upošteva le tisto stanovanje, kjer ima stalno prebivališče večina oseb. V primeru, da je na več stanovanjih prijavljeno enako število oseb pa tisto, kjer ima vlagatelj stalno prebivališče.</w:t>
      </w:r>
      <w:r>
        <w:rPr>
          <w:rFonts w:cs="Arial"/>
          <w:szCs w:val="22"/>
        </w:rPr>
        <w:t>«</w:t>
      </w:r>
      <w:r w:rsidR="00263FCA" w:rsidRPr="00263FCA">
        <w:rPr>
          <w:rFonts w:cs="Arial"/>
          <w:szCs w:val="22"/>
        </w:rPr>
        <w:t>.</w:t>
      </w:r>
    </w:p>
    <w:p w:rsidR="00263FCA" w:rsidRPr="00263FCA" w:rsidRDefault="00263FCA" w:rsidP="00263FCA">
      <w:pPr>
        <w:tabs>
          <w:tab w:val="left" w:pos="567"/>
          <w:tab w:val="left" w:pos="993"/>
        </w:tabs>
        <w:rPr>
          <w:rFonts w:cs="Arial"/>
          <w:szCs w:val="22"/>
        </w:rPr>
      </w:pPr>
    </w:p>
    <w:p w:rsidR="00C97933" w:rsidRDefault="00C97933" w:rsidP="00263FCA">
      <w:pPr>
        <w:tabs>
          <w:tab w:val="left" w:pos="567"/>
          <w:tab w:val="left" w:pos="993"/>
        </w:tabs>
        <w:rPr>
          <w:rFonts w:cs="Arial"/>
          <w:szCs w:val="22"/>
        </w:rPr>
      </w:pPr>
    </w:p>
    <w:p w:rsidR="00263FCA" w:rsidRPr="00263FCA" w:rsidRDefault="00263FCA" w:rsidP="00C97933">
      <w:pPr>
        <w:tabs>
          <w:tab w:val="left" w:pos="567"/>
          <w:tab w:val="left" w:pos="993"/>
        </w:tabs>
        <w:jc w:val="center"/>
        <w:rPr>
          <w:rFonts w:cs="Arial"/>
          <w:szCs w:val="22"/>
        </w:rPr>
      </w:pPr>
      <w:r w:rsidRPr="00263FCA">
        <w:rPr>
          <w:rFonts w:cs="Arial"/>
          <w:szCs w:val="22"/>
        </w:rPr>
        <w:t>7.</w:t>
      </w:r>
      <w:r w:rsidR="00C97933">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Drugi odstavek 22. člena se spremeni tako, da se glasi:</w:t>
      </w:r>
    </w:p>
    <w:p w:rsidR="00263FCA" w:rsidRDefault="00C97933"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 Otroški dodatek glede na uvrstitev v dohodkovni razred znaša mesečno:</w:t>
      </w:r>
    </w:p>
    <w:p w:rsidR="0062647A" w:rsidRDefault="0062647A" w:rsidP="00263FCA">
      <w:pPr>
        <w:tabs>
          <w:tab w:val="left" w:pos="567"/>
          <w:tab w:val="left" w:pos="993"/>
        </w:tabs>
        <w:rPr>
          <w:rFonts w:cs="Arial"/>
          <w:szCs w:val="22"/>
        </w:rPr>
      </w:pPr>
    </w:p>
    <w:tbl>
      <w:tblPr>
        <w:tblW w:w="0" w:type="auto"/>
        <w:tblCellMar>
          <w:left w:w="70" w:type="dxa"/>
          <w:right w:w="70" w:type="dxa"/>
        </w:tblCellMar>
        <w:tblLook w:val="00A0" w:firstRow="1" w:lastRow="0" w:firstColumn="1" w:lastColumn="0" w:noHBand="0" w:noVBand="0"/>
      </w:tblPr>
      <w:tblGrid>
        <w:gridCol w:w="1251"/>
        <w:gridCol w:w="1118"/>
        <w:gridCol w:w="888"/>
        <w:gridCol w:w="888"/>
        <w:gridCol w:w="1355"/>
        <w:gridCol w:w="891"/>
        <w:gridCol w:w="891"/>
        <w:gridCol w:w="1363"/>
      </w:tblGrid>
      <w:tr w:rsidR="004442CF" w:rsidRPr="0062647A" w:rsidTr="004442CF">
        <w:trPr>
          <w:trHeight w:val="1050"/>
        </w:trPr>
        <w:tc>
          <w:tcPr>
            <w:tcW w:w="0" w:type="auto"/>
            <w:tcBorders>
              <w:top w:val="double" w:sz="6" w:space="0" w:color="auto"/>
              <w:left w:val="double" w:sz="6" w:space="0" w:color="auto"/>
              <w:bottom w:val="nil"/>
              <w:right w:val="double" w:sz="6" w:space="0" w:color="auto"/>
            </w:tcBorders>
            <w:vAlign w:val="bottom"/>
            <w:hideMark/>
          </w:tcPr>
          <w:p w:rsidR="0062647A" w:rsidRPr="0062647A" w:rsidRDefault="0062647A" w:rsidP="0062647A">
            <w:pPr>
              <w:spacing w:line="276" w:lineRule="auto"/>
              <w:rPr>
                <w:rFonts w:cs="Arial"/>
                <w:sz w:val="20"/>
                <w:szCs w:val="20"/>
                <w:lang w:eastAsia="sl-SI"/>
              </w:rPr>
            </w:pPr>
            <w:r>
              <w:rPr>
                <w:rFonts w:cs="Arial"/>
                <w:sz w:val="20"/>
                <w:szCs w:val="20"/>
                <w:lang w:eastAsia="sl-SI"/>
              </w:rPr>
              <w:t>d</w:t>
            </w:r>
            <w:r w:rsidRPr="0062647A">
              <w:rPr>
                <w:rFonts w:cs="Arial"/>
                <w:sz w:val="20"/>
                <w:szCs w:val="20"/>
                <w:lang w:eastAsia="sl-SI"/>
              </w:rPr>
              <w:t>ohodkovni</w:t>
            </w:r>
            <w:r>
              <w:rPr>
                <w:rFonts w:cs="Arial"/>
                <w:sz w:val="20"/>
                <w:szCs w:val="20"/>
                <w:lang w:eastAsia="sl-SI"/>
              </w:rPr>
              <w:t xml:space="preserve"> razred</w:t>
            </w:r>
          </w:p>
        </w:tc>
        <w:tc>
          <w:tcPr>
            <w:tcW w:w="0" w:type="auto"/>
            <w:tcBorders>
              <w:top w:val="double" w:sz="6" w:space="0" w:color="auto"/>
              <w:left w:val="nil"/>
              <w:bottom w:val="nil"/>
              <w:right w:val="double" w:sz="6" w:space="0" w:color="auto"/>
            </w:tcBorders>
            <w:vAlign w:val="bottom"/>
            <w:hideMark/>
          </w:tcPr>
          <w:p w:rsidR="0062647A" w:rsidRPr="0062647A" w:rsidRDefault="0062647A" w:rsidP="0062647A">
            <w:pPr>
              <w:spacing w:line="276" w:lineRule="auto"/>
              <w:rPr>
                <w:rFonts w:cs="Arial"/>
                <w:sz w:val="20"/>
                <w:szCs w:val="20"/>
                <w:lang w:eastAsia="sl-SI"/>
              </w:rPr>
            </w:pPr>
            <w:r w:rsidRPr="0062647A">
              <w:rPr>
                <w:rFonts w:cs="Arial"/>
                <w:sz w:val="20"/>
                <w:szCs w:val="20"/>
                <w:lang w:eastAsia="sl-SI"/>
              </w:rPr>
              <w:t>povprečni mesečni</w:t>
            </w:r>
          </w:p>
          <w:p w:rsidR="0062647A" w:rsidRPr="0062647A" w:rsidRDefault="0062647A" w:rsidP="0062647A">
            <w:pPr>
              <w:spacing w:line="276" w:lineRule="auto"/>
              <w:rPr>
                <w:rFonts w:cs="Arial"/>
                <w:sz w:val="20"/>
                <w:szCs w:val="20"/>
                <w:lang w:eastAsia="sl-SI"/>
              </w:rPr>
            </w:pPr>
            <w:r w:rsidRPr="0062647A">
              <w:rPr>
                <w:rFonts w:cs="Arial"/>
                <w:sz w:val="20"/>
                <w:szCs w:val="20"/>
                <w:lang w:eastAsia="sl-SI"/>
              </w:rPr>
              <w:t xml:space="preserve">dohodek na osebo </w:t>
            </w:r>
          </w:p>
        </w:tc>
        <w:tc>
          <w:tcPr>
            <w:tcW w:w="0" w:type="auto"/>
            <w:gridSpan w:val="3"/>
            <w:tcBorders>
              <w:top w:val="double" w:sz="6" w:space="0" w:color="auto"/>
              <w:left w:val="nil"/>
              <w:bottom w:val="double" w:sz="6" w:space="0" w:color="auto"/>
              <w:right w:val="double" w:sz="6" w:space="0" w:color="000000"/>
            </w:tcBorders>
            <w:vAlign w:val="bottom"/>
            <w:hideMark/>
          </w:tcPr>
          <w:p w:rsidR="0062647A" w:rsidRPr="0062647A" w:rsidRDefault="0062647A" w:rsidP="0062647A">
            <w:pPr>
              <w:spacing w:line="276" w:lineRule="auto"/>
              <w:rPr>
                <w:rFonts w:cs="Arial"/>
                <w:sz w:val="20"/>
                <w:szCs w:val="20"/>
                <w:lang w:eastAsia="sl-SI"/>
              </w:rPr>
            </w:pPr>
            <w:r w:rsidRPr="0062647A">
              <w:rPr>
                <w:rFonts w:cs="Arial"/>
                <w:sz w:val="20"/>
                <w:szCs w:val="20"/>
                <w:lang w:eastAsia="sl-SI"/>
              </w:rPr>
              <w:t>znesek otroškega dodatka za otroka do konca osnovne šole ali do 18</w:t>
            </w:r>
            <w:r w:rsidR="004442CF">
              <w:rPr>
                <w:rFonts w:cs="Arial"/>
                <w:sz w:val="20"/>
                <w:szCs w:val="20"/>
                <w:lang w:eastAsia="sl-SI"/>
              </w:rPr>
              <w:t>.</w:t>
            </w:r>
            <w:r w:rsidRPr="0062647A">
              <w:rPr>
                <w:rFonts w:cs="Arial"/>
                <w:sz w:val="20"/>
                <w:szCs w:val="20"/>
                <w:lang w:eastAsia="sl-SI"/>
              </w:rPr>
              <w:t xml:space="preserve"> leta (v </w:t>
            </w:r>
            <w:proofErr w:type="spellStart"/>
            <w:r w:rsidRPr="0062647A">
              <w:rPr>
                <w:rFonts w:cs="Arial"/>
                <w:sz w:val="20"/>
                <w:szCs w:val="20"/>
                <w:lang w:eastAsia="sl-SI"/>
              </w:rPr>
              <w:t>eurih</w:t>
            </w:r>
            <w:proofErr w:type="spellEnd"/>
            <w:r w:rsidRPr="0062647A">
              <w:rPr>
                <w:rFonts w:cs="Arial"/>
                <w:sz w:val="20"/>
                <w:szCs w:val="20"/>
                <w:lang w:eastAsia="sl-SI"/>
              </w:rPr>
              <w:t>)</w:t>
            </w:r>
          </w:p>
        </w:tc>
        <w:tc>
          <w:tcPr>
            <w:tcW w:w="0" w:type="auto"/>
            <w:gridSpan w:val="3"/>
            <w:tcBorders>
              <w:top w:val="double" w:sz="6" w:space="0" w:color="auto"/>
              <w:left w:val="nil"/>
              <w:bottom w:val="double" w:sz="6" w:space="0" w:color="auto"/>
              <w:right w:val="double" w:sz="6" w:space="0" w:color="000000"/>
            </w:tcBorders>
            <w:vAlign w:val="bottom"/>
            <w:hideMark/>
          </w:tcPr>
          <w:p w:rsidR="0062647A" w:rsidRPr="0062647A" w:rsidRDefault="0062647A" w:rsidP="0062647A">
            <w:pPr>
              <w:spacing w:line="276" w:lineRule="auto"/>
              <w:rPr>
                <w:rFonts w:cs="Arial"/>
                <w:sz w:val="20"/>
                <w:szCs w:val="20"/>
                <w:lang w:eastAsia="sl-SI"/>
              </w:rPr>
            </w:pPr>
            <w:r w:rsidRPr="0062647A">
              <w:rPr>
                <w:rFonts w:cs="Arial"/>
                <w:sz w:val="20"/>
                <w:szCs w:val="20"/>
                <w:lang w:eastAsia="sl-SI"/>
              </w:rPr>
              <w:t>znesek otroškega dodatka za otroka v srednji šoli vendar najdlje do 18</w:t>
            </w:r>
            <w:r w:rsidR="004442CF">
              <w:rPr>
                <w:rFonts w:cs="Arial"/>
                <w:sz w:val="20"/>
                <w:szCs w:val="20"/>
                <w:lang w:eastAsia="sl-SI"/>
              </w:rPr>
              <w:t>.</w:t>
            </w:r>
            <w:r w:rsidRPr="0062647A">
              <w:rPr>
                <w:rFonts w:cs="Arial"/>
                <w:sz w:val="20"/>
                <w:szCs w:val="20"/>
                <w:lang w:eastAsia="sl-SI"/>
              </w:rPr>
              <w:t xml:space="preserve"> leta (v </w:t>
            </w:r>
            <w:proofErr w:type="spellStart"/>
            <w:r w:rsidRPr="0062647A">
              <w:rPr>
                <w:rFonts w:cs="Arial"/>
                <w:sz w:val="20"/>
                <w:szCs w:val="20"/>
                <w:lang w:eastAsia="sl-SI"/>
              </w:rPr>
              <w:t>eurih</w:t>
            </w:r>
            <w:proofErr w:type="spellEnd"/>
            <w:r w:rsidRPr="0062647A">
              <w:rPr>
                <w:rFonts w:cs="Arial"/>
                <w:sz w:val="20"/>
                <w:szCs w:val="20"/>
                <w:lang w:eastAsia="sl-SI"/>
              </w:rPr>
              <w:t>)</w:t>
            </w:r>
          </w:p>
        </w:tc>
      </w:tr>
      <w:tr w:rsidR="004442CF" w:rsidRPr="0062647A" w:rsidTr="004442CF">
        <w:trPr>
          <w:trHeight w:val="795"/>
        </w:trPr>
        <w:tc>
          <w:tcPr>
            <w:tcW w:w="0" w:type="auto"/>
            <w:tcBorders>
              <w:top w:val="nil"/>
              <w:left w:val="double" w:sz="6" w:space="0" w:color="auto"/>
              <w:bottom w:val="double" w:sz="6" w:space="0" w:color="auto"/>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(v % )</w:t>
            </w:r>
          </w:p>
        </w:tc>
        <w:tc>
          <w:tcPr>
            <w:tcW w:w="0" w:type="auto"/>
            <w:tcBorders>
              <w:top w:val="nil"/>
              <w:left w:val="nil"/>
              <w:bottom w:val="double" w:sz="6" w:space="0" w:color="auto"/>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 otrok</w:t>
            </w:r>
          </w:p>
        </w:tc>
        <w:tc>
          <w:tcPr>
            <w:tcW w:w="0" w:type="auto"/>
            <w:tcBorders>
              <w:top w:val="nil"/>
              <w:left w:val="nil"/>
              <w:bottom w:val="double" w:sz="6" w:space="0" w:color="auto"/>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2. otrok</w:t>
            </w:r>
          </w:p>
        </w:tc>
        <w:tc>
          <w:tcPr>
            <w:tcW w:w="0" w:type="auto"/>
            <w:tcBorders>
              <w:top w:val="nil"/>
              <w:left w:val="nil"/>
              <w:bottom w:val="double" w:sz="6" w:space="0" w:color="auto"/>
              <w:right w:val="double" w:sz="6" w:space="0" w:color="auto"/>
            </w:tcBorders>
            <w:vAlign w:val="bottom"/>
            <w:hideMark/>
          </w:tcPr>
          <w:p w:rsidR="0062647A" w:rsidRPr="0062647A" w:rsidRDefault="0062647A" w:rsidP="00AB06D6">
            <w:pPr>
              <w:spacing w:line="276" w:lineRule="auto"/>
              <w:jc w:val="left"/>
              <w:rPr>
                <w:rFonts w:cs="Arial"/>
                <w:sz w:val="20"/>
                <w:szCs w:val="20"/>
                <w:lang w:eastAsia="sl-SI"/>
              </w:rPr>
            </w:pPr>
            <w:r w:rsidRPr="0062647A">
              <w:rPr>
                <w:rFonts w:cs="Arial"/>
                <w:sz w:val="20"/>
                <w:szCs w:val="20"/>
                <w:lang w:eastAsia="sl-SI"/>
              </w:rPr>
              <w:t>3. in naslednji otrok</w:t>
            </w:r>
          </w:p>
        </w:tc>
        <w:tc>
          <w:tcPr>
            <w:tcW w:w="0" w:type="auto"/>
            <w:tcBorders>
              <w:top w:val="nil"/>
              <w:left w:val="nil"/>
              <w:bottom w:val="double" w:sz="6" w:space="0" w:color="auto"/>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 otrok</w:t>
            </w:r>
          </w:p>
        </w:tc>
        <w:tc>
          <w:tcPr>
            <w:tcW w:w="0" w:type="auto"/>
            <w:tcBorders>
              <w:top w:val="nil"/>
              <w:left w:val="nil"/>
              <w:bottom w:val="double" w:sz="6" w:space="0" w:color="auto"/>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2. otrok</w:t>
            </w:r>
          </w:p>
        </w:tc>
        <w:tc>
          <w:tcPr>
            <w:tcW w:w="0" w:type="auto"/>
            <w:tcBorders>
              <w:top w:val="nil"/>
              <w:left w:val="nil"/>
              <w:bottom w:val="double" w:sz="6" w:space="0" w:color="auto"/>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 in naslednji otrok</w:t>
            </w:r>
          </w:p>
        </w:tc>
      </w:tr>
      <w:tr w:rsidR="004442CF" w:rsidRPr="0062647A" w:rsidTr="004442CF">
        <w:trPr>
          <w:trHeight w:val="270"/>
        </w:trPr>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w:t>
            </w:r>
          </w:p>
        </w:tc>
        <w:tc>
          <w:tcPr>
            <w:tcW w:w="0" w:type="auto"/>
            <w:tcBorders>
              <w:top w:val="nil"/>
              <w:left w:val="nil"/>
              <w:bottom w:val="nil"/>
              <w:right w:val="double" w:sz="6" w:space="0" w:color="auto"/>
            </w:tcBorders>
            <w:vAlign w:val="center"/>
            <w:hideMark/>
          </w:tcPr>
          <w:p w:rsidR="0062647A" w:rsidRPr="0062647A" w:rsidRDefault="0062647A" w:rsidP="0062647A">
            <w:pPr>
              <w:spacing w:line="360" w:lineRule="auto"/>
              <w:jc w:val="left"/>
              <w:rPr>
                <w:rFonts w:cs="Arial"/>
                <w:sz w:val="20"/>
                <w:szCs w:val="20"/>
                <w:lang w:eastAsia="sl-SI"/>
              </w:rPr>
            </w:pPr>
            <w:r>
              <w:rPr>
                <w:rFonts w:cs="Arial"/>
                <w:sz w:val="20"/>
                <w:szCs w:val="20"/>
                <w:lang w:eastAsia="sl-SI"/>
              </w:rPr>
              <w:t>do 18 %</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114,31</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125,73</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137,18</w:t>
            </w:r>
          </w:p>
        </w:tc>
        <w:tc>
          <w:tcPr>
            <w:tcW w:w="0" w:type="auto"/>
            <w:vMerge w:val="restart"/>
            <w:tcBorders>
              <w:top w:val="double" w:sz="6" w:space="0" w:color="auto"/>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114,31</w:t>
            </w:r>
          </w:p>
        </w:tc>
        <w:tc>
          <w:tcPr>
            <w:tcW w:w="0" w:type="auto"/>
            <w:vMerge w:val="restart"/>
            <w:tcBorders>
              <w:top w:val="double" w:sz="6" w:space="0" w:color="auto"/>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125,73</w:t>
            </w:r>
          </w:p>
        </w:tc>
        <w:tc>
          <w:tcPr>
            <w:tcW w:w="0" w:type="auto"/>
            <w:vMerge w:val="restart"/>
            <w:tcBorders>
              <w:top w:val="double" w:sz="6" w:space="0" w:color="auto"/>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137,18</w:t>
            </w:r>
          </w:p>
        </w:tc>
      </w:tr>
      <w:tr w:rsidR="0062647A" w:rsidRPr="0062647A" w:rsidTr="000577B9">
        <w:trPr>
          <w:trHeight w:val="167"/>
        </w:trPr>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center"/>
          </w:tcPr>
          <w:p w:rsidR="0062647A" w:rsidRPr="0062647A" w:rsidRDefault="0062647A" w:rsidP="0062647A">
            <w:pPr>
              <w:spacing w:line="360" w:lineRule="auto"/>
              <w:jc w:val="left"/>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r>
      <w:tr w:rsidR="004442CF" w:rsidRPr="0062647A" w:rsidTr="004442CF">
        <w:trPr>
          <w:trHeight w:val="525"/>
        </w:trPr>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2</w:t>
            </w:r>
          </w:p>
        </w:tc>
        <w:tc>
          <w:tcPr>
            <w:tcW w:w="0" w:type="auto"/>
            <w:tcBorders>
              <w:top w:val="nil"/>
              <w:left w:val="nil"/>
              <w:bottom w:val="nil"/>
              <w:right w:val="double" w:sz="6" w:space="0" w:color="auto"/>
            </w:tcBorders>
            <w:vAlign w:val="center"/>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nad 18 % do 30 %</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97,73</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108,04</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118,28</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97,73</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108,04</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118,28</w:t>
            </w:r>
          </w:p>
        </w:tc>
      </w:tr>
      <w:tr w:rsidR="0062647A" w:rsidRPr="0062647A" w:rsidTr="004442CF">
        <w:trPr>
          <w:trHeight w:val="35"/>
        </w:trPr>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center"/>
          </w:tcPr>
          <w:p w:rsidR="0062647A" w:rsidRPr="0062647A" w:rsidRDefault="0062647A" w:rsidP="0062647A">
            <w:pPr>
              <w:spacing w:line="276" w:lineRule="auto"/>
              <w:jc w:val="left"/>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r>
      <w:tr w:rsidR="004442CF" w:rsidRPr="0062647A" w:rsidTr="004442CF">
        <w:trPr>
          <w:trHeight w:val="525"/>
        </w:trPr>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w:t>
            </w:r>
          </w:p>
        </w:tc>
        <w:tc>
          <w:tcPr>
            <w:tcW w:w="0" w:type="auto"/>
            <w:tcBorders>
              <w:top w:val="nil"/>
              <w:left w:val="nil"/>
              <w:bottom w:val="nil"/>
              <w:right w:val="double" w:sz="6" w:space="0" w:color="auto"/>
            </w:tcBorders>
            <w:vAlign w:val="center"/>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nad 30 % do 36 %</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74,48</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83,25</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91,98</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74,48</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83,25</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91,98</w:t>
            </w:r>
          </w:p>
        </w:tc>
      </w:tr>
      <w:tr w:rsidR="0062647A" w:rsidRPr="0062647A" w:rsidTr="004442CF">
        <w:trPr>
          <w:trHeight w:val="139"/>
        </w:trPr>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center"/>
          </w:tcPr>
          <w:p w:rsidR="0062647A" w:rsidRPr="0062647A" w:rsidRDefault="0062647A" w:rsidP="0062647A">
            <w:pPr>
              <w:spacing w:line="276" w:lineRule="auto"/>
              <w:jc w:val="left"/>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r>
      <w:tr w:rsidR="004442CF" w:rsidRPr="0062647A" w:rsidTr="004442CF">
        <w:trPr>
          <w:trHeight w:val="525"/>
        </w:trPr>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4</w:t>
            </w:r>
          </w:p>
        </w:tc>
        <w:tc>
          <w:tcPr>
            <w:tcW w:w="0" w:type="auto"/>
            <w:tcBorders>
              <w:top w:val="nil"/>
              <w:left w:val="nil"/>
              <w:bottom w:val="nil"/>
              <w:right w:val="double" w:sz="6" w:space="0" w:color="auto"/>
            </w:tcBorders>
            <w:vAlign w:val="center"/>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nad 36 % do 42 %</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58,75</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67,03</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75,47</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58,75</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67,03</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75,47</w:t>
            </w:r>
          </w:p>
        </w:tc>
      </w:tr>
      <w:tr w:rsidR="0062647A" w:rsidRPr="0062647A" w:rsidTr="004442CF">
        <w:trPr>
          <w:trHeight w:val="29"/>
        </w:trPr>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center"/>
          </w:tcPr>
          <w:p w:rsidR="0062647A" w:rsidRPr="0062647A" w:rsidRDefault="0062647A" w:rsidP="0062647A">
            <w:pPr>
              <w:spacing w:line="276" w:lineRule="auto"/>
              <w:jc w:val="left"/>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r>
      <w:tr w:rsidR="004442CF" w:rsidRPr="0062647A" w:rsidTr="004442CF">
        <w:trPr>
          <w:trHeight w:val="525"/>
        </w:trPr>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5</w:t>
            </w:r>
          </w:p>
        </w:tc>
        <w:tc>
          <w:tcPr>
            <w:tcW w:w="0" w:type="auto"/>
            <w:tcBorders>
              <w:top w:val="nil"/>
              <w:left w:val="nil"/>
              <w:bottom w:val="nil"/>
              <w:right w:val="double" w:sz="6" w:space="0" w:color="auto"/>
            </w:tcBorders>
            <w:vAlign w:val="center"/>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nad 42 % do 53 %</w:t>
            </w:r>
          </w:p>
        </w:tc>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48,04</w:t>
            </w:r>
          </w:p>
        </w:tc>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56,06</w:t>
            </w:r>
          </w:p>
        </w:tc>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64,03</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48,04</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56,06</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64,03</w:t>
            </w:r>
          </w:p>
        </w:tc>
      </w:tr>
      <w:tr w:rsidR="0062647A" w:rsidRPr="0062647A" w:rsidTr="000577B9">
        <w:trPr>
          <w:trHeight w:val="162"/>
        </w:trPr>
        <w:tc>
          <w:tcPr>
            <w:tcW w:w="0" w:type="auto"/>
            <w:vMerge/>
            <w:tcBorders>
              <w:top w:val="nil"/>
              <w:left w:val="double" w:sz="6" w:space="0" w:color="auto"/>
              <w:bottom w:val="single" w:sz="4" w:space="0" w:color="auto"/>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tcBorders>
              <w:top w:val="nil"/>
              <w:left w:val="nil"/>
              <w:bottom w:val="single" w:sz="4" w:space="0" w:color="auto"/>
              <w:right w:val="double" w:sz="6" w:space="0" w:color="auto"/>
            </w:tcBorders>
            <w:vAlign w:val="center"/>
          </w:tcPr>
          <w:p w:rsidR="0062647A" w:rsidRPr="0062647A" w:rsidRDefault="0062647A" w:rsidP="0062647A">
            <w:pPr>
              <w:spacing w:line="276" w:lineRule="auto"/>
              <w:jc w:val="left"/>
              <w:rPr>
                <w:rFonts w:cs="Arial"/>
                <w:bCs/>
                <w:sz w:val="20"/>
                <w:szCs w:val="20"/>
                <w:lang w:eastAsia="sl-SI"/>
              </w:rPr>
            </w:pPr>
          </w:p>
        </w:tc>
        <w:tc>
          <w:tcPr>
            <w:tcW w:w="0" w:type="auto"/>
            <w:vMerge/>
            <w:tcBorders>
              <w:top w:val="nil"/>
              <w:left w:val="double" w:sz="6" w:space="0" w:color="auto"/>
              <w:bottom w:val="single" w:sz="4" w:space="0" w:color="auto"/>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single" w:sz="4" w:space="0" w:color="auto"/>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single" w:sz="4" w:space="0" w:color="auto"/>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single" w:sz="4" w:space="0" w:color="auto"/>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single" w:sz="4" w:space="0" w:color="auto"/>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single" w:sz="4" w:space="0" w:color="auto"/>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r>
      <w:tr w:rsidR="004442CF" w:rsidRPr="0062647A" w:rsidTr="000577B9">
        <w:trPr>
          <w:trHeight w:val="525"/>
        </w:trPr>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lastRenderedPageBreak/>
              <w:t>6</w:t>
            </w:r>
          </w:p>
        </w:tc>
        <w:tc>
          <w:tcPr>
            <w:tcW w:w="0" w:type="auto"/>
            <w:tcBorders>
              <w:top w:val="single" w:sz="4" w:space="0" w:color="auto"/>
              <w:left w:val="nil"/>
              <w:bottom w:val="nil"/>
              <w:right w:val="double" w:sz="6" w:space="0" w:color="auto"/>
            </w:tcBorders>
            <w:vAlign w:val="center"/>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nad 53 % do 64 %</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30,44</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38,10</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45,71</w:t>
            </w:r>
          </w:p>
        </w:tc>
        <w:tc>
          <w:tcPr>
            <w:tcW w:w="0" w:type="auto"/>
            <w:vMerge w:val="restart"/>
            <w:tcBorders>
              <w:top w:val="single" w:sz="4" w:space="0" w:color="auto"/>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color w:val="000000"/>
                <w:sz w:val="20"/>
                <w:szCs w:val="20"/>
                <w:lang w:eastAsia="sl-SI"/>
              </w:rPr>
            </w:pPr>
            <w:r w:rsidRPr="0062647A">
              <w:rPr>
                <w:rFonts w:cs="Arial"/>
                <w:color w:val="000000"/>
                <w:sz w:val="20"/>
                <w:szCs w:val="20"/>
                <w:lang w:eastAsia="sl-SI"/>
              </w:rPr>
              <w:t>30,44</w:t>
            </w:r>
          </w:p>
        </w:tc>
        <w:tc>
          <w:tcPr>
            <w:tcW w:w="0" w:type="auto"/>
            <w:vMerge w:val="restart"/>
            <w:tcBorders>
              <w:top w:val="single" w:sz="4" w:space="0" w:color="auto"/>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color w:val="000000"/>
                <w:sz w:val="20"/>
                <w:szCs w:val="20"/>
                <w:lang w:eastAsia="sl-SI"/>
              </w:rPr>
            </w:pPr>
            <w:r w:rsidRPr="0062647A">
              <w:rPr>
                <w:rFonts w:cs="Arial"/>
                <w:color w:val="000000"/>
                <w:sz w:val="20"/>
                <w:szCs w:val="20"/>
                <w:lang w:eastAsia="sl-SI"/>
              </w:rPr>
              <w:t>38,10</w:t>
            </w:r>
          </w:p>
        </w:tc>
        <w:tc>
          <w:tcPr>
            <w:tcW w:w="0" w:type="auto"/>
            <w:vMerge w:val="restart"/>
            <w:tcBorders>
              <w:top w:val="single" w:sz="4" w:space="0" w:color="auto"/>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45,71</w:t>
            </w:r>
          </w:p>
        </w:tc>
      </w:tr>
      <w:tr w:rsidR="0062647A" w:rsidRPr="0062647A" w:rsidTr="004442CF">
        <w:trPr>
          <w:trHeight w:val="29"/>
        </w:trPr>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center"/>
          </w:tcPr>
          <w:p w:rsidR="0062647A" w:rsidRPr="0062647A" w:rsidRDefault="0062647A" w:rsidP="0062647A">
            <w:pPr>
              <w:spacing w:line="276" w:lineRule="auto"/>
              <w:jc w:val="left"/>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bottom"/>
            <w:hideMark/>
          </w:tcPr>
          <w:p w:rsidR="0062647A" w:rsidRPr="0062647A" w:rsidRDefault="0062647A" w:rsidP="0062647A">
            <w:pPr>
              <w:spacing w:line="240" w:lineRule="auto"/>
              <w:jc w:val="left"/>
              <w:rPr>
                <w:rFonts w:cs="Arial"/>
                <w:sz w:val="20"/>
                <w:szCs w:val="20"/>
                <w:lang w:eastAsia="sl-SI"/>
              </w:rPr>
            </w:pPr>
          </w:p>
        </w:tc>
      </w:tr>
      <w:tr w:rsidR="0062647A" w:rsidRPr="0062647A" w:rsidTr="004442CF">
        <w:trPr>
          <w:trHeight w:val="525"/>
        </w:trPr>
        <w:tc>
          <w:tcPr>
            <w:tcW w:w="0" w:type="auto"/>
            <w:vMerge w:val="restart"/>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7</w:t>
            </w:r>
          </w:p>
        </w:tc>
        <w:tc>
          <w:tcPr>
            <w:tcW w:w="0" w:type="auto"/>
            <w:tcBorders>
              <w:top w:val="nil"/>
              <w:left w:val="nil"/>
              <w:bottom w:val="nil"/>
              <w:right w:val="double" w:sz="6" w:space="0" w:color="auto"/>
            </w:tcBorders>
            <w:vAlign w:val="center"/>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nad 64 % do 82 %</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22,83</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30,44</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38,10</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28,83</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36,44</w:t>
            </w:r>
          </w:p>
        </w:tc>
        <w:tc>
          <w:tcPr>
            <w:tcW w:w="0" w:type="auto"/>
            <w:vMerge w:val="restart"/>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49,65</w:t>
            </w:r>
          </w:p>
        </w:tc>
      </w:tr>
      <w:tr w:rsidR="004442CF" w:rsidRPr="0062647A" w:rsidTr="004442CF">
        <w:trPr>
          <w:trHeight w:val="29"/>
        </w:trPr>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center"/>
          </w:tcPr>
          <w:p w:rsidR="0062647A" w:rsidRPr="0062647A" w:rsidRDefault="0062647A" w:rsidP="0062647A">
            <w:pPr>
              <w:spacing w:line="276" w:lineRule="auto"/>
              <w:jc w:val="left"/>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bottom"/>
            <w:hideMark/>
          </w:tcPr>
          <w:p w:rsidR="0062647A" w:rsidRPr="0062647A" w:rsidRDefault="0062647A" w:rsidP="0062647A">
            <w:pPr>
              <w:spacing w:line="240" w:lineRule="auto"/>
              <w:jc w:val="left"/>
              <w:rPr>
                <w:rFonts w:cs="Arial"/>
                <w:sz w:val="20"/>
                <w:szCs w:val="20"/>
                <w:lang w:eastAsia="sl-SI"/>
              </w:rPr>
            </w:pPr>
          </w:p>
        </w:tc>
      </w:tr>
      <w:tr w:rsidR="0062647A" w:rsidTr="004442CF">
        <w:trPr>
          <w:trHeight w:val="609"/>
        </w:trPr>
        <w:tc>
          <w:tcPr>
            <w:tcW w:w="0" w:type="auto"/>
            <w:tcBorders>
              <w:top w:val="nil"/>
              <w:left w:val="double" w:sz="6" w:space="0" w:color="auto"/>
              <w:bottom w:val="double" w:sz="6" w:space="0" w:color="000000"/>
              <w:right w:val="double" w:sz="6" w:space="0" w:color="auto"/>
            </w:tcBorders>
            <w:vAlign w:val="bottom"/>
            <w:hideMark/>
          </w:tcPr>
          <w:p w:rsidR="0062647A" w:rsidRPr="0062647A" w:rsidRDefault="0062647A" w:rsidP="004442CF">
            <w:pPr>
              <w:spacing w:line="276" w:lineRule="auto"/>
              <w:jc w:val="left"/>
              <w:rPr>
                <w:rFonts w:cs="Arial"/>
                <w:sz w:val="20"/>
                <w:szCs w:val="20"/>
                <w:lang w:eastAsia="sl-SI"/>
              </w:rPr>
            </w:pPr>
            <w:r w:rsidRPr="0062647A">
              <w:rPr>
                <w:rFonts w:cs="Arial"/>
                <w:sz w:val="20"/>
                <w:szCs w:val="20"/>
                <w:lang w:eastAsia="sl-SI"/>
              </w:rPr>
              <w:t>8</w:t>
            </w:r>
          </w:p>
        </w:tc>
        <w:tc>
          <w:tcPr>
            <w:tcW w:w="0" w:type="auto"/>
            <w:tcBorders>
              <w:top w:val="double" w:sz="6" w:space="0" w:color="auto"/>
              <w:left w:val="nil"/>
              <w:bottom w:val="double" w:sz="6" w:space="0" w:color="auto"/>
              <w:right w:val="double" w:sz="6" w:space="0" w:color="auto"/>
            </w:tcBorders>
            <w:vAlign w:val="center"/>
          </w:tcPr>
          <w:p w:rsidR="0062647A" w:rsidRPr="0062647A" w:rsidRDefault="0062647A" w:rsidP="0062647A">
            <w:pPr>
              <w:spacing w:line="276" w:lineRule="auto"/>
              <w:jc w:val="left"/>
              <w:rPr>
                <w:rFonts w:cs="Arial"/>
                <w:bCs/>
                <w:sz w:val="20"/>
                <w:szCs w:val="20"/>
                <w:lang w:eastAsia="sl-SI"/>
              </w:rPr>
            </w:pPr>
            <w:r w:rsidRPr="0062647A">
              <w:rPr>
                <w:rFonts w:cs="Arial"/>
                <w:sz w:val="20"/>
                <w:szCs w:val="20"/>
                <w:lang w:eastAsia="sl-SI"/>
              </w:rPr>
              <w:t>nad 82 % do 99 %</w:t>
            </w:r>
          </w:p>
          <w:p w:rsidR="0062647A" w:rsidRPr="0062647A" w:rsidRDefault="0062647A" w:rsidP="0062647A">
            <w:pPr>
              <w:spacing w:line="276" w:lineRule="auto"/>
              <w:jc w:val="left"/>
              <w:rPr>
                <w:rFonts w:cs="Arial"/>
                <w:sz w:val="20"/>
                <w:szCs w:val="20"/>
                <w:lang w:eastAsia="sl-SI"/>
              </w:rPr>
            </w:pPr>
          </w:p>
        </w:tc>
        <w:tc>
          <w:tcPr>
            <w:tcW w:w="0" w:type="auto"/>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19,88</w:t>
            </w:r>
          </w:p>
        </w:tc>
        <w:tc>
          <w:tcPr>
            <w:tcW w:w="0" w:type="auto"/>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27,50</w:t>
            </w:r>
          </w:p>
        </w:tc>
        <w:tc>
          <w:tcPr>
            <w:tcW w:w="0" w:type="auto"/>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35,11</w:t>
            </w:r>
          </w:p>
        </w:tc>
        <w:tc>
          <w:tcPr>
            <w:tcW w:w="0" w:type="auto"/>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22,88</w:t>
            </w:r>
          </w:p>
        </w:tc>
        <w:tc>
          <w:tcPr>
            <w:tcW w:w="0" w:type="auto"/>
            <w:tcBorders>
              <w:top w:val="nil"/>
              <w:left w:val="double" w:sz="6" w:space="0" w:color="auto"/>
              <w:bottom w:val="double" w:sz="6" w:space="0" w:color="000000"/>
              <w:right w:val="double" w:sz="6" w:space="0" w:color="auto"/>
            </w:tcBorders>
            <w:shd w:val="clear" w:color="auto" w:fill="FFFFFF"/>
            <w:vAlign w:val="bottom"/>
            <w:hideMark/>
          </w:tcPr>
          <w:p w:rsidR="0062647A" w:rsidRPr="0062647A" w:rsidRDefault="0062647A" w:rsidP="0062647A">
            <w:pPr>
              <w:spacing w:line="276" w:lineRule="auto"/>
              <w:jc w:val="left"/>
              <w:rPr>
                <w:rFonts w:cs="Arial"/>
                <w:sz w:val="20"/>
                <w:szCs w:val="20"/>
                <w:lang w:eastAsia="sl-SI"/>
              </w:rPr>
            </w:pPr>
            <w:r w:rsidRPr="0062647A">
              <w:rPr>
                <w:rFonts w:cs="Arial"/>
                <w:sz w:val="20"/>
                <w:szCs w:val="20"/>
                <w:lang w:eastAsia="sl-SI"/>
              </w:rPr>
              <w:t>30,50</w:t>
            </w:r>
          </w:p>
        </w:tc>
        <w:tc>
          <w:tcPr>
            <w:tcW w:w="0" w:type="auto"/>
            <w:tcBorders>
              <w:top w:val="nil"/>
              <w:left w:val="double" w:sz="6" w:space="0" w:color="auto"/>
              <w:bottom w:val="double" w:sz="6" w:space="0" w:color="000000"/>
              <w:right w:val="double" w:sz="6" w:space="0" w:color="auto"/>
            </w:tcBorders>
            <w:shd w:val="clear" w:color="auto" w:fill="FFFFFF"/>
            <w:vAlign w:val="bottom"/>
            <w:hideMark/>
          </w:tcPr>
          <w:p w:rsidR="0062647A" w:rsidRDefault="0062647A" w:rsidP="0062647A">
            <w:pPr>
              <w:spacing w:line="276" w:lineRule="auto"/>
              <w:jc w:val="left"/>
              <w:rPr>
                <w:rFonts w:cs="Arial"/>
                <w:sz w:val="20"/>
                <w:szCs w:val="20"/>
                <w:lang w:eastAsia="sl-SI"/>
              </w:rPr>
            </w:pPr>
            <w:r w:rsidRPr="0062647A">
              <w:rPr>
                <w:rFonts w:cs="Arial"/>
                <w:sz w:val="20"/>
                <w:szCs w:val="20"/>
                <w:lang w:eastAsia="sl-SI"/>
              </w:rPr>
              <w:t>39,89</w:t>
            </w:r>
          </w:p>
        </w:tc>
      </w:tr>
    </w:tbl>
    <w:p w:rsidR="0062647A" w:rsidRDefault="004442CF" w:rsidP="00263FCA">
      <w:pPr>
        <w:tabs>
          <w:tab w:val="left" w:pos="567"/>
          <w:tab w:val="left" w:pos="993"/>
        </w:tabs>
        <w:rPr>
          <w:rFonts w:cs="Arial"/>
          <w:szCs w:val="22"/>
        </w:rPr>
      </w:pPr>
      <w:r>
        <w:rPr>
          <w:rFonts w:cs="Arial"/>
          <w:szCs w:val="22"/>
        </w:rPr>
        <w:t>«.</w:t>
      </w:r>
    </w:p>
    <w:p w:rsidR="0062647A" w:rsidRDefault="0062647A" w:rsidP="00263FCA">
      <w:pPr>
        <w:tabs>
          <w:tab w:val="left" w:pos="567"/>
          <w:tab w:val="left" w:pos="993"/>
        </w:tabs>
        <w:rPr>
          <w:rFonts w:cs="Arial"/>
          <w:szCs w:val="22"/>
        </w:rPr>
      </w:pPr>
    </w:p>
    <w:p w:rsidR="00263FCA" w:rsidRPr="00263FCA" w:rsidRDefault="00263FCA" w:rsidP="0062647A">
      <w:pPr>
        <w:tabs>
          <w:tab w:val="left" w:pos="567"/>
          <w:tab w:val="left" w:pos="993"/>
        </w:tabs>
        <w:jc w:val="center"/>
        <w:rPr>
          <w:rFonts w:cs="Arial"/>
          <w:szCs w:val="22"/>
        </w:rPr>
      </w:pPr>
      <w:r w:rsidRPr="00263FCA">
        <w:rPr>
          <w:rFonts w:cs="Arial"/>
          <w:szCs w:val="22"/>
        </w:rPr>
        <w:t>8.</w:t>
      </w:r>
      <w:r w:rsidR="0062647A">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62647A"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23. člen se spremeni tako, da se glasi:</w:t>
      </w:r>
    </w:p>
    <w:p w:rsidR="00263FCA" w:rsidRPr="00263FCA" w:rsidRDefault="00263FCA" w:rsidP="00263FCA">
      <w:pPr>
        <w:tabs>
          <w:tab w:val="left" w:pos="567"/>
          <w:tab w:val="left" w:pos="993"/>
        </w:tabs>
        <w:rPr>
          <w:rFonts w:cs="Arial"/>
          <w:szCs w:val="22"/>
        </w:rPr>
      </w:pPr>
    </w:p>
    <w:p w:rsidR="00263FCA" w:rsidRPr="00263FCA" w:rsidRDefault="00263FCA" w:rsidP="0062647A">
      <w:pPr>
        <w:tabs>
          <w:tab w:val="left" w:pos="567"/>
          <w:tab w:val="left" w:pos="993"/>
        </w:tabs>
        <w:jc w:val="center"/>
        <w:rPr>
          <w:rFonts w:cs="Arial"/>
          <w:szCs w:val="22"/>
        </w:rPr>
      </w:pPr>
      <w:r w:rsidRPr="00263FCA">
        <w:rPr>
          <w:rFonts w:cs="Arial"/>
          <w:szCs w:val="22"/>
        </w:rPr>
        <w:t>»23. člen</w:t>
      </w:r>
    </w:p>
    <w:p w:rsidR="00263FCA" w:rsidRPr="00263FCA" w:rsidRDefault="00263FCA" w:rsidP="00263FCA">
      <w:pPr>
        <w:tabs>
          <w:tab w:val="left" w:pos="567"/>
          <w:tab w:val="left" w:pos="993"/>
        </w:tabs>
        <w:rPr>
          <w:rFonts w:cs="Arial"/>
          <w:szCs w:val="22"/>
        </w:rPr>
      </w:pPr>
    </w:p>
    <w:p w:rsidR="00263FCA" w:rsidRPr="00263FCA" w:rsidRDefault="0062647A"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 Do državne štipendije so upravičeni državljani Republike Slovenije, ki izpolnjujejo pogoje po zakonu, ki ureja štipendiranje, in pri katerih povprečni mesečni dohodek na osebo v preteklem letu pred vložitvijo vloge ne presega 64 % neto povprečne plače na osebo v istem obdobju.</w:t>
      </w:r>
    </w:p>
    <w:p w:rsidR="00263FCA" w:rsidRPr="00263FCA" w:rsidRDefault="00263FCA" w:rsidP="00263FCA">
      <w:pPr>
        <w:tabs>
          <w:tab w:val="left" w:pos="567"/>
          <w:tab w:val="left" w:pos="993"/>
        </w:tabs>
        <w:rPr>
          <w:rFonts w:cs="Arial"/>
          <w:szCs w:val="22"/>
        </w:rPr>
      </w:pPr>
    </w:p>
    <w:p w:rsidR="00263FCA" w:rsidRPr="00263FCA" w:rsidRDefault="0062647A"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 Državna štipendija brez dodatkov glede na uvrstitev v dohodkovni razred znaša:</w:t>
      </w:r>
    </w:p>
    <w:p w:rsidR="00263FCA" w:rsidRDefault="00263FCA" w:rsidP="00263FCA">
      <w:pPr>
        <w:tabs>
          <w:tab w:val="left" w:pos="567"/>
          <w:tab w:val="left" w:pos="993"/>
        </w:tabs>
        <w:rPr>
          <w:rFonts w:cs="Arial"/>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47"/>
        <w:gridCol w:w="2570"/>
        <w:gridCol w:w="2330"/>
        <w:gridCol w:w="2374"/>
      </w:tblGrid>
      <w:tr w:rsidR="004442CF" w:rsidRPr="004442CF" w:rsidTr="004442CF">
        <w:trPr>
          <w:trHeight w:val="1377"/>
          <w:jc w:val="center"/>
        </w:trPr>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jc w:val="left"/>
              <w:rPr>
                <w:rFonts w:cs="Arial"/>
                <w:sz w:val="20"/>
                <w:szCs w:val="20"/>
              </w:rPr>
            </w:pPr>
            <w:r w:rsidRPr="004442CF">
              <w:rPr>
                <w:rFonts w:cs="Arial"/>
                <w:sz w:val="20"/>
                <w:szCs w:val="20"/>
              </w:rPr>
              <w:t>Dohodkovni razred</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jc w:val="left"/>
              <w:rPr>
                <w:rFonts w:cs="Arial"/>
                <w:sz w:val="20"/>
                <w:szCs w:val="20"/>
              </w:rPr>
            </w:pPr>
            <w:r w:rsidRPr="004442CF">
              <w:rPr>
                <w:rFonts w:cs="Arial"/>
                <w:sz w:val="20"/>
                <w:szCs w:val="20"/>
              </w:rPr>
              <w:t>Povprečni mesečni dohodek na osebo v % od neto povprečne plače</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rsidP="004442CF">
            <w:pPr>
              <w:spacing w:line="276" w:lineRule="auto"/>
              <w:jc w:val="left"/>
              <w:rPr>
                <w:rFonts w:cs="Arial"/>
                <w:sz w:val="20"/>
                <w:szCs w:val="20"/>
              </w:rPr>
            </w:pPr>
            <w:r w:rsidRPr="004442CF">
              <w:rPr>
                <w:rFonts w:cs="Arial"/>
                <w:sz w:val="20"/>
                <w:szCs w:val="20"/>
              </w:rPr>
              <w:t xml:space="preserve">Osnovna višina </w:t>
            </w:r>
            <w:proofErr w:type="spellStart"/>
            <w:r w:rsidRPr="004442CF">
              <w:rPr>
                <w:rFonts w:cs="Arial"/>
                <w:sz w:val="20"/>
                <w:szCs w:val="20"/>
              </w:rPr>
              <w:t>eurih</w:t>
            </w:r>
            <w:proofErr w:type="spellEnd"/>
            <w:r w:rsidRPr="004442CF">
              <w:rPr>
                <w:rFonts w:cs="Arial"/>
                <w:sz w:val="20"/>
                <w:szCs w:val="20"/>
              </w:rPr>
              <w:t xml:space="preserve"> za upravičenca do 18 let</w:t>
            </w:r>
            <w:r>
              <w:rPr>
                <w:rFonts w:cs="Arial"/>
                <w:sz w:val="20"/>
                <w:szCs w:val="20"/>
              </w:rPr>
              <w:t xml:space="preserve"> </w:t>
            </w:r>
            <w:r w:rsidRPr="004442CF">
              <w:rPr>
                <w:rFonts w:cs="Arial"/>
                <w:sz w:val="20"/>
                <w:szCs w:val="20"/>
              </w:rPr>
              <w:t>starosti</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jc w:val="left"/>
              <w:rPr>
                <w:rFonts w:cs="Arial"/>
                <w:sz w:val="20"/>
                <w:szCs w:val="20"/>
              </w:rPr>
            </w:pPr>
            <w:r w:rsidRPr="004442CF">
              <w:rPr>
                <w:rFonts w:cs="Arial"/>
                <w:sz w:val="20"/>
                <w:szCs w:val="20"/>
              </w:rPr>
              <w:t xml:space="preserve">Osnova višina v </w:t>
            </w:r>
            <w:proofErr w:type="spellStart"/>
            <w:r w:rsidRPr="004442CF">
              <w:rPr>
                <w:rFonts w:cs="Arial"/>
                <w:sz w:val="20"/>
                <w:szCs w:val="20"/>
              </w:rPr>
              <w:t>eurih</w:t>
            </w:r>
            <w:proofErr w:type="spellEnd"/>
            <w:r w:rsidRPr="004442CF">
              <w:rPr>
                <w:rFonts w:cs="Arial"/>
                <w:sz w:val="20"/>
                <w:szCs w:val="20"/>
              </w:rPr>
              <w:t xml:space="preserve"> za upravičenca nad 18 let starosti</w:t>
            </w:r>
          </w:p>
        </w:tc>
      </w:tr>
      <w:tr w:rsidR="004442CF" w:rsidRPr="004442CF" w:rsidTr="004442CF">
        <w:trPr>
          <w:trHeight w:val="272"/>
          <w:jc w:val="center"/>
        </w:trPr>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1</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do 30</w:t>
            </w:r>
            <w:r>
              <w:rPr>
                <w:rFonts w:cs="Arial"/>
                <w:sz w:val="20"/>
                <w:szCs w:val="20"/>
              </w:rPr>
              <w:t xml:space="preserve"> </w:t>
            </w:r>
            <w:r w:rsidRPr="004442CF">
              <w:rPr>
                <w:rFonts w:cs="Arial"/>
                <w:sz w:val="20"/>
                <w:szCs w:val="20"/>
              </w:rPr>
              <w:t>%</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95</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190</w:t>
            </w:r>
          </w:p>
        </w:tc>
      </w:tr>
      <w:tr w:rsidR="004442CF" w:rsidRPr="004442CF" w:rsidTr="004442CF">
        <w:trPr>
          <w:trHeight w:val="272"/>
          <w:jc w:val="center"/>
        </w:trPr>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2</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nad 30</w:t>
            </w:r>
            <w:r>
              <w:rPr>
                <w:rFonts w:cs="Arial"/>
                <w:sz w:val="20"/>
                <w:szCs w:val="20"/>
              </w:rPr>
              <w:t xml:space="preserve"> </w:t>
            </w:r>
            <w:r w:rsidRPr="004442CF">
              <w:rPr>
                <w:rFonts w:cs="Arial"/>
                <w:sz w:val="20"/>
                <w:szCs w:val="20"/>
              </w:rPr>
              <w:t>% do 36</w:t>
            </w:r>
            <w:r>
              <w:rPr>
                <w:rFonts w:cs="Arial"/>
                <w:sz w:val="20"/>
                <w:szCs w:val="20"/>
              </w:rPr>
              <w:t xml:space="preserve"> </w:t>
            </w:r>
            <w:r w:rsidRPr="004442CF">
              <w:rPr>
                <w:rFonts w:cs="Arial"/>
                <w:sz w:val="20"/>
                <w:szCs w:val="20"/>
              </w:rPr>
              <w:t>%</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80</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160</w:t>
            </w:r>
          </w:p>
        </w:tc>
      </w:tr>
      <w:tr w:rsidR="004442CF" w:rsidRPr="004442CF" w:rsidTr="004442CF">
        <w:trPr>
          <w:trHeight w:val="272"/>
          <w:jc w:val="center"/>
        </w:trPr>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3</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nad 36</w:t>
            </w:r>
            <w:r>
              <w:rPr>
                <w:rFonts w:cs="Arial"/>
                <w:sz w:val="20"/>
                <w:szCs w:val="20"/>
              </w:rPr>
              <w:t xml:space="preserve"> </w:t>
            </w:r>
            <w:r w:rsidRPr="004442CF">
              <w:rPr>
                <w:rFonts w:cs="Arial"/>
                <w:sz w:val="20"/>
                <w:szCs w:val="20"/>
              </w:rPr>
              <w:t>% do 42</w:t>
            </w:r>
            <w:r>
              <w:rPr>
                <w:rFonts w:cs="Arial"/>
                <w:sz w:val="20"/>
                <w:szCs w:val="20"/>
              </w:rPr>
              <w:t xml:space="preserve"> </w:t>
            </w:r>
            <w:r w:rsidRPr="004442CF">
              <w:rPr>
                <w:rFonts w:cs="Arial"/>
                <w:sz w:val="20"/>
                <w:szCs w:val="20"/>
              </w:rPr>
              <w:t>%</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65</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130</w:t>
            </w:r>
          </w:p>
        </w:tc>
      </w:tr>
      <w:tr w:rsidR="004442CF" w:rsidRPr="004442CF" w:rsidTr="004442CF">
        <w:trPr>
          <w:trHeight w:val="272"/>
          <w:jc w:val="center"/>
        </w:trPr>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4</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nad 42</w:t>
            </w:r>
            <w:r>
              <w:rPr>
                <w:rFonts w:cs="Arial"/>
                <w:sz w:val="20"/>
                <w:szCs w:val="20"/>
              </w:rPr>
              <w:t xml:space="preserve"> </w:t>
            </w:r>
            <w:r w:rsidRPr="004442CF">
              <w:rPr>
                <w:rFonts w:cs="Arial"/>
                <w:sz w:val="20"/>
                <w:szCs w:val="20"/>
              </w:rPr>
              <w:t>% do 53</w:t>
            </w:r>
            <w:r>
              <w:rPr>
                <w:rFonts w:cs="Arial"/>
                <w:sz w:val="20"/>
                <w:szCs w:val="20"/>
              </w:rPr>
              <w:t xml:space="preserve"> </w:t>
            </w:r>
            <w:r w:rsidRPr="004442CF">
              <w:rPr>
                <w:rFonts w:cs="Arial"/>
                <w:sz w:val="20"/>
                <w:szCs w:val="20"/>
              </w:rPr>
              <w:t>%</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50</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100</w:t>
            </w:r>
          </w:p>
        </w:tc>
      </w:tr>
      <w:tr w:rsidR="004442CF" w:rsidRPr="004442CF" w:rsidTr="004442CF">
        <w:trPr>
          <w:trHeight w:val="272"/>
          <w:jc w:val="center"/>
        </w:trPr>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5</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nad 53</w:t>
            </w:r>
            <w:r>
              <w:rPr>
                <w:rFonts w:cs="Arial"/>
                <w:sz w:val="20"/>
                <w:szCs w:val="20"/>
              </w:rPr>
              <w:t xml:space="preserve"> </w:t>
            </w:r>
            <w:r w:rsidRPr="004442CF">
              <w:rPr>
                <w:rFonts w:cs="Arial"/>
                <w:sz w:val="20"/>
                <w:szCs w:val="20"/>
              </w:rPr>
              <w:t>% do 64</w:t>
            </w:r>
            <w:r>
              <w:rPr>
                <w:rFonts w:cs="Arial"/>
                <w:sz w:val="20"/>
                <w:szCs w:val="20"/>
              </w:rPr>
              <w:t xml:space="preserve"> </w:t>
            </w:r>
            <w:r w:rsidRPr="004442CF">
              <w:rPr>
                <w:rFonts w:cs="Arial"/>
                <w:sz w:val="20"/>
                <w:szCs w:val="20"/>
              </w:rPr>
              <w:t>%</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35</w:t>
            </w:r>
          </w:p>
        </w:tc>
        <w:tc>
          <w:tcPr>
            <w:tcW w:w="0" w:type="auto"/>
            <w:tcBorders>
              <w:top w:val="single" w:sz="4" w:space="0" w:color="000000"/>
              <w:left w:val="single" w:sz="4" w:space="0" w:color="000000"/>
              <w:bottom w:val="single" w:sz="4" w:space="0" w:color="000000"/>
              <w:right w:val="single" w:sz="4" w:space="0" w:color="000000"/>
            </w:tcBorders>
            <w:hideMark/>
          </w:tcPr>
          <w:p w:rsidR="004442CF" w:rsidRPr="004442CF" w:rsidRDefault="004442CF">
            <w:pPr>
              <w:spacing w:line="276" w:lineRule="auto"/>
              <w:rPr>
                <w:rFonts w:cs="Arial"/>
                <w:sz w:val="20"/>
                <w:szCs w:val="20"/>
              </w:rPr>
            </w:pPr>
            <w:r w:rsidRPr="004442CF">
              <w:rPr>
                <w:rFonts w:cs="Arial"/>
                <w:sz w:val="20"/>
                <w:szCs w:val="20"/>
              </w:rPr>
              <w:t>70</w:t>
            </w:r>
          </w:p>
        </w:tc>
      </w:tr>
    </w:tbl>
    <w:p w:rsidR="00263FCA" w:rsidRPr="00263FCA" w:rsidRDefault="004442CF" w:rsidP="00263FCA">
      <w:pPr>
        <w:tabs>
          <w:tab w:val="left" w:pos="567"/>
          <w:tab w:val="left" w:pos="993"/>
        </w:tabs>
        <w:rPr>
          <w:rFonts w:cs="Arial"/>
          <w:szCs w:val="22"/>
        </w:rPr>
      </w:pPr>
      <w:r>
        <w:rPr>
          <w:rFonts w:cs="Arial"/>
          <w:szCs w:val="22"/>
        </w:rPr>
        <w:t>«.</w:t>
      </w: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9.</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25. člen se spremeni tako, da se glasi:</w:t>
      </w: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»25. 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 Subvencija malice pripada tistim učencem, ki se redno izobražujejo, so prijavljeni na malico in pri katerih povprečni mesečni dohodek na osebo, ugotovljen v odločbi o otroškem dodatku, ne presega 53 % neto povprečne plače v Republiki Sloveniji. Subvencija pripada v višini cene malice.</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 Subvencija malice pripada tistim dijakom, ki se redno izobražujejo, so prijavljeni na malico in pri katerih povprečni mesečni dohodek na osebo, ugotovljen v odločbi o otroškem dodatku ali državni štipendiji, znaša:</w:t>
      </w:r>
    </w:p>
    <w:p w:rsidR="00263FCA" w:rsidRPr="004442CF" w:rsidRDefault="00263FCA" w:rsidP="004442CF">
      <w:pPr>
        <w:pStyle w:val="Odstavekseznama"/>
        <w:numPr>
          <w:ilvl w:val="0"/>
          <w:numId w:val="21"/>
        </w:numPr>
        <w:rPr>
          <w:rFonts w:cs="Arial"/>
          <w:szCs w:val="22"/>
        </w:rPr>
      </w:pPr>
      <w:r w:rsidRPr="004442CF">
        <w:rPr>
          <w:rFonts w:cs="Arial"/>
          <w:szCs w:val="22"/>
        </w:rPr>
        <w:t>do 42 % neto povprečne plače v Republiki Sloveniji, pripada subvencija malice v višini cene malice;</w:t>
      </w:r>
    </w:p>
    <w:p w:rsidR="00263FCA" w:rsidRPr="004442CF" w:rsidRDefault="00263FCA" w:rsidP="004442CF">
      <w:pPr>
        <w:pStyle w:val="Odstavekseznama"/>
        <w:numPr>
          <w:ilvl w:val="0"/>
          <w:numId w:val="21"/>
        </w:numPr>
        <w:rPr>
          <w:rFonts w:cs="Arial"/>
          <w:szCs w:val="22"/>
        </w:rPr>
      </w:pPr>
      <w:r w:rsidRPr="004442CF">
        <w:rPr>
          <w:rFonts w:cs="Arial"/>
          <w:szCs w:val="22"/>
        </w:rPr>
        <w:lastRenderedPageBreak/>
        <w:t>nad 42 do 53 % neto povprečne plače v Republiki Sloveniji, pripada subvencija malice v višini 70 % cene malice;</w:t>
      </w:r>
    </w:p>
    <w:p w:rsidR="00263FCA" w:rsidRPr="004442CF" w:rsidRDefault="00263FCA" w:rsidP="004442CF">
      <w:pPr>
        <w:pStyle w:val="Odstavekseznama"/>
        <w:numPr>
          <w:ilvl w:val="0"/>
          <w:numId w:val="21"/>
        </w:numPr>
        <w:rPr>
          <w:rFonts w:cs="Arial"/>
          <w:szCs w:val="22"/>
        </w:rPr>
      </w:pPr>
      <w:r w:rsidRPr="004442CF">
        <w:rPr>
          <w:rFonts w:cs="Arial"/>
          <w:szCs w:val="22"/>
        </w:rPr>
        <w:t>nad 53 do 64 % neto povprečne plače v Republiki Sloveniji, pripada subvencija malice v višini 40 % cene malice.</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(3) Izvajalec na osnovi podatkov o povprečnem mesečnem dohodku na osebo, ugotovljenem v odloč</w:t>
      </w:r>
      <w:r w:rsidR="005C6B2D">
        <w:rPr>
          <w:rFonts w:cs="Arial"/>
          <w:szCs w:val="22"/>
        </w:rPr>
        <w:t>b</w:t>
      </w:r>
      <w:r w:rsidR="00263FCA" w:rsidRPr="00263FCA">
        <w:rPr>
          <w:rFonts w:cs="Arial"/>
          <w:szCs w:val="22"/>
        </w:rPr>
        <w:t>i o otroškem dodatku ali državni štipendiji, upošteva višino subvencije iz prvega in drugega odstavka tega člena pri plačilu malice.</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Če nobena od povezanih oseb učenca ali dijaka ne razpolaga z veljavno odločbo o pravici do otroškega dodatka ali državne štipendije, se uvrstitev v dohodkovni razred, ugotovljen na način, kot velja za pravico do otroškega dodatka, ugotovi na podlagi vloge za priznanje pravice do subvencije malice.</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(5) Ne glede na prvi in drugi odstavek tega člena imajo učenci in dijaki, ki so nameščeni v rejniško družino na podlagi odločbe o namestitvi otroka v rejniško družino, učenci in dijaki, ki so prosilci za azil ter učenci in dijaki, ki so nameščeni v zavode za vzgojo in izobraževanje otrok in mladostnikov s posebnimi potrebami oziroma v domove za učence in obiskujejo šolo izven zavoda, pravico do brezplačne malice.«.</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10.</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26. člen se spremeni tako, da se glasi:</w:t>
      </w:r>
    </w:p>
    <w:p w:rsidR="004442CF" w:rsidRDefault="004442CF"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»26. člen</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w:t>
      </w:r>
      <w:r>
        <w:rPr>
          <w:rFonts w:cs="Arial"/>
          <w:szCs w:val="22"/>
        </w:rPr>
        <w:t xml:space="preserve"> </w:t>
      </w:r>
      <w:r w:rsidR="00263FCA" w:rsidRPr="00263FCA">
        <w:rPr>
          <w:rFonts w:cs="Arial"/>
          <w:szCs w:val="22"/>
        </w:rPr>
        <w:t>Subvencija kosila pripada učencem, ki se redno šolajo, so prijavljeni na kosilo in pri katerih povprečni mesečni dohodek na osebo, ugotovljen v odločbi o otroškem dodatku, ne presega 18 % neto povprečne plače v Republiki Sloveniji.</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w:t>
      </w:r>
      <w:r>
        <w:rPr>
          <w:rFonts w:cs="Arial"/>
          <w:szCs w:val="22"/>
        </w:rPr>
        <w:t xml:space="preserve"> </w:t>
      </w:r>
      <w:r w:rsidR="00263FCA" w:rsidRPr="00263FCA">
        <w:rPr>
          <w:rFonts w:cs="Arial"/>
          <w:szCs w:val="22"/>
        </w:rPr>
        <w:t>Izvajalec na osnovi podatkov o povprečnem mesečnem dohodku na osebo, ugotovljenem v odločbi o otroškem dodatku, upošteva višino subvencije iz prejšnjega odstavka pri plačilu kosila.</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(3)</w:t>
      </w:r>
      <w:r>
        <w:rPr>
          <w:rFonts w:cs="Arial"/>
          <w:szCs w:val="22"/>
        </w:rPr>
        <w:t xml:space="preserve"> </w:t>
      </w:r>
      <w:r w:rsidR="00263FCA" w:rsidRPr="00263FCA">
        <w:rPr>
          <w:rFonts w:cs="Arial"/>
          <w:szCs w:val="22"/>
        </w:rPr>
        <w:t>Če nobena od povezanih oseb učenca ne razpolaga z veljavno odločbo o pravici do otroškega dodatka ali državne štipendije, se uvrstitev v dohodkovni razred, ugotovljen na način, kot velja za pravico do otroškega dodatka, ugotovi na podlagi vloge za priznanje pravice do subvencije kosila.</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w:t>
      </w:r>
      <w:r>
        <w:rPr>
          <w:rFonts w:cs="Arial"/>
          <w:szCs w:val="22"/>
        </w:rPr>
        <w:t xml:space="preserve"> </w:t>
      </w:r>
      <w:r w:rsidR="00263FCA" w:rsidRPr="00263FCA">
        <w:rPr>
          <w:rFonts w:cs="Arial"/>
          <w:szCs w:val="22"/>
        </w:rPr>
        <w:t>Ne glede na prvi odstavek tega člena imajo učenci, ki so nameščeni v rejniško družino na podlagi odločbe o namestitvi otroka v rejniško družino, pravico do brezplačnega kosila.</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(5)</w:t>
      </w:r>
      <w:r>
        <w:rPr>
          <w:rFonts w:cs="Arial"/>
          <w:szCs w:val="22"/>
        </w:rPr>
        <w:t xml:space="preserve"> </w:t>
      </w:r>
      <w:r w:rsidR="00263FCA" w:rsidRPr="00263FCA">
        <w:rPr>
          <w:rFonts w:cs="Arial"/>
          <w:szCs w:val="22"/>
        </w:rPr>
        <w:t>Učencem pripada subvencija za kosilo v višini cene kosila.«.</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11.</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prvem odstavku 28. člena se za besedilom »ki ne presega višine njihovega minimalnega dohodka« doda besedilo »brez dodatka za delovno aktivnost«.</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Za prvim odstavkom se doda nov drugi odstavek, ki se glasi:</w:t>
      </w:r>
    </w:p>
    <w:p w:rsidR="00263FCA" w:rsidRPr="00263FCA" w:rsidRDefault="004442CF" w:rsidP="00263FCA">
      <w:pPr>
        <w:tabs>
          <w:tab w:val="left" w:pos="567"/>
          <w:tab w:val="left" w:pos="993"/>
        </w:tabs>
        <w:rPr>
          <w:rFonts w:cs="Arial"/>
          <w:szCs w:val="22"/>
        </w:rPr>
      </w:pPr>
      <w:r>
        <w:rPr>
          <w:rFonts w:cs="Arial"/>
          <w:szCs w:val="22"/>
        </w:rPr>
        <w:lastRenderedPageBreak/>
        <w:tab/>
      </w:r>
      <w:r>
        <w:rPr>
          <w:rFonts w:cs="Arial"/>
          <w:szCs w:val="22"/>
        </w:rPr>
        <w:tab/>
      </w:r>
      <w:r w:rsidR="00263FCA" w:rsidRPr="00263FCA">
        <w:rPr>
          <w:rFonts w:cs="Arial"/>
          <w:szCs w:val="22"/>
        </w:rPr>
        <w:t>»(2) Za osebe, navedene v najemni pogodbi, ki niso osebe iz prvega odstavka 10. člena tega zakona, se pri izračunu minimalnega dohodka upošteva višina minimalnega dohodka, ki pripada vsaki naslednji odrasli osebi po zakonu, ki ureja socialnovarstvene prejemke.«.</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Dosedanji drugi odstavek postane tretji odstavek.</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Na koncu dosedanjega tretjega odstavka, ki postane četrti odstavek, se za piko doda nov stavek, ki se glasi</w:t>
      </w:r>
      <w:r>
        <w:rPr>
          <w:rFonts w:cs="Arial"/>
          <w:szCs w:val="22"/>
        </w:rPr>
        <w:t>:</w:t>
      </w:r>
      <w:r w:rsidR="00263FCA" w:rsidRPr="00263FCA">
        <w:rPr>
          <w:rFonts w:cs="Arial"/>
          <w:szCs w:val="22"/>
        </w:rPr>
        <w:t xml:space="preserve"> »Najemnik tržnega stanovanja je upravičen do subvencije najemnine, če ima na naslovu tržnega stanovanja prijavljeno stalno ali začasno prebivališče.«.</w:t>
      </w:r>
    </w:p>
    <w:p w:rsidR="00263FCA" w:rsidRPr="00263FCA" w:rsidRDefault="00263FCA" w:rsidP="00263FCA">
      <w:pPr>
        <w:tabs>
          <w:tab w:val="left" w:pos="567"/>
          <w:tab w:val="left" w:pos="993"/>
        </w:tabs>
        <w:rPr>
          <w:rFonts w:cs="Arial"/>
          <w:szCs w:val="22"/>
        </w:rPr>
      </w:pPr>
    </w:p>
    <w:p w:rsidR="004442CF" w:rsidRDefault="004442CF"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12.</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Četrti odstavek 29. člena se spremeni tako, da se glasi:</w:t>
      </w: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 »(4) Ministrstvo obvesti o številki, datumu in obdobju veljavnosti izdane odločbe za posameznega upravičenca iz prvega odstavka tega člena Zavod za zdravstveno zavarovanje Slovenije, ki te podatke vodi v evidenci zavarovanih oseb. Zavarovalnica, pri kateri ima upravičenec iz prvega odstavka tega člena sklenjeno dopolnilno zdravstveno zavarovanje, ima pravico do vpogleda v podatke o številki, datumu in obdobju veljavnosti odločbe o priznanju pravice do kritja razlike do polne vrednost zdravstvenih storitev v zbirki podatkov iz 10. točke drugega odstavka 49. člena tega zakona.«.</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13.</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30. člen se spremeni tako, da se glasi:</w:t>
      </w: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»30. 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(1) Državljani Republike Slovenije in tujci, ki imajo dovoljenje za stalno prebivanje, so upravičeni do plačila prispevka za obvezno zdravstveno zavarovanje, če so upravičeni do denarne socialne pomoči ali izpolnjujejo pogoje za pridobitev denarne socialne pomoči, pri čemer se krivdni razlogi ne upoštevajo, in imajo stalno prebivališče v Republiki Sloveniji ter niso zavarovanci iz drugega naslova, določenega z zakonom, ki ureja zdravstveno zavarovanje. </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 Do plačila prispevka za obvezno zdravstveno zavarovanje so ne glede na izpolnjevanje pogojev za pridobitev denarne socialne pomoči, upravičene tudi osebe, nameščene v rejniško družino ali v zavod na podlagi zakona, ki ureja družinska razmerja, če niso obvezno zdravstveno zavarovane iz drugega naslova, določenega z zakonom, ki ureja zdravstveno zavarovanje. Te osebe so upravičene do zdravstvenih storitev pod enakimi pogoji kot otroci, zavarovani kot družinski člani.</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(3)</w:t>
      </w:r>
      <w:r>
        <w:rPr>
          <w:rFonts w:cs="Arial"/>
          <w:szCs w:val="22"/>
        </w:rPr>
        <w:t xml:space="preserve"> </w:t>
      </w:r>
      <w:r w:rsidR="00263FCA" w:rsidRPr="00263FCA">
        <w:rPr>
          <w:rFonts w:cs="Arial"/>
          <w:szCs w:val="22"/>
        </w:rPr>
        <w:t xml:space="preserve">Kadar oseba uveljavlja pravico do denarne socialne pomoči, center za socialno delo odloči o pravici do plačila prispevka za obvezno zdravstveno zavarovanje po uradni dolžnosti, razen če oseba na vlogi izrecno izjavi, da te pravice ne uveljavlja. </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Osebe iz prvega in drugega odstavka tega člena v obvezno zdravstveno zavarovanje prijavi in iz njega odjavi Zavod za zdravstveno zavarovanje Slovenije po 21. točki prvega odstavka 15. člena Zakona o zdravstvenem varstvu in zdravstvenem zavarovanju (Uradni list R</w:t>
      </w:r>
      <w:r>
        <w:rPr>
          <w:rFonts w:cs="Arial"/>
          <w:szCs w:val="22"/>
        </w:rPr>
        <w:t>S</w:t>
      </w:r>
      <w:r w:rsidR="00263FCA" w:rsidRPr="00263FCA">
        <w:rPr>
          <w:rFonts w:cs="Arial"/>
          <w:szCs w:val="22"/>
        </w:rPr>
        <w:t xml:space="preserve">, št. 72/06 </w:t>
      </w:r>
      <w:r>
        <w:rPr>
          <w:rFonts w:cs="Arial"/>
          <w:szCs w:val="22"/>
        </w:rPr>
        <w:t>–</w:t>
      </w:r>
      <w:r w:rsidR="00263FCA" w:rsidRPr="00263FCA">
        <w:rPr>
          <w:rFonts w:cs="Arial"/>
          <w:szCs w:val="22"/>
        </w:rPr>
        <w:t xml:space="preserve"> uradno prečiščeno besedilo, 114/06 </w:t>
      </w:r>
      <w:r>
        <w:rPr>
          <w:rFonts w:cs="Arial"/>
          <w:szCs w:val="22"/>
        </w:rPr>
        <w:t xml:space="preserve">– </w:t>
      </w:r>
      <w:r w:rsidR="00263FCA" w:rsidRPr="00263FCA">
        <w:rPr>
          <w:rFonts w:cs="Arial"/>
          <w:szCs w:val="22"/>
        </w:rPr>
        <w:t xml:space="preserve">ZUTPG, </w:t>
      </w:r>
      <w:r w:rsidR="00263FCA" w:rsidRPr="00263FCA">
        <w:rPr>
          <w:rFonts w:cs="Arial"/>
          <w:szCs w:val="22"/>
        </w:rPr>
        <w:lastRenderedPageBreak/>
        <w:t>91/07, 76/08, 62/10</w:t>
      </w:r>
      <w:r>
        <w:rPr>
          <w:rFonts w:cs="Arial"/>
          <w:szCs w:val="22"/>
        </w:rPr>
        <w:t xml:space="preserve"> </w:t>
      </w:r>
      <w:r w:rsidR="00263FCA" w:rsidRPr="00263FCA">
        <w:rPr>
          <w:rFonts w:cs="Arial"/>
          <w:szCs w:val="22"/>
        </w:rPr>
        <w:t>–</w:t>
      </w:r>
      <w:r>
        <w:rPr>
          <w:rFonts w:cs="Arial"/>
          <w:szCs w:val="22"/>
        </w:rPr>
        <w:t xml:space="preserve"> </w:t>
      </w:r>
      <w:proofErr w:type="spellStart"/>
      <w:r w:rsidR="00263FCA" w:rsidRPr="00263FCA">
        <w:rPr>
          <w:rFonts w:cs="Arial"/>
          <w:szCs w:val="22"/>
        </w:rPr>
        <w:t>ZUPJS</w:t>
      </w:r>
      <w:proofErr w:type="spellEnd"/>
      <w:r w:rsidR="00263FCA" w:rsidRPr="00263FCA">
        <w:rPr>
          <w:rFonts w:cs="Arial"/>
          <w:szCs w:val="22"/>
        </w:rPr>
        <w:t>, 87/11, 40/12</w:t>
      </w:r>
      <w:r>
        <w:rPr>
          <w:rFonts w:cs="Arial"/>
          <w:szCs w:val="22"/>
        </w:rPr>
        <w:t xml:space="preserve"> </w:t>
      </w:r>
      <w:r w:rsidR="00263FCA" w:rsidRPr="00263FCA">
        <w:rPr>
          <w:rFonts w:cs="Arial"/>
          <w:szCs w:val="22"/>
        </w:rPr>
        <w:t>–</w:t>
      </w:r>
      <w:r>
        <w:rPr>
          <w:rFonts w:cs="Arial"/>
          <w:szCs w:val="22"/>
        </w:rPr>
        <w:t xml:space="preserve"> </w:t>
      </w:r>
      <w:proofErr w:type="spellStart"/>
      <w:r w:rsidR="00263FCA" w:rsidRPr="00263FCA">
        <w:rPr>
          <w:rFonts w:cs="Arial"/>
          <w:szCs w:val="22"/>
        </w:rPr>
        <w:t>ZUJF</w:t>
      </w:r>
      <w:proofErr w:type="spellEnd"/>
      <w:r w:rsidR="005C6B2D">
        <w:rPr>
          <w:rFonts w:cs="Arial"/>
          <w:szCs w:val="22"/>
        </w:rPr>
        <w:t xml:space="preserve">, </w:t>
      </w:r>
      <w:r w:rsidR="00263FCA" w:rsidRPr="00263FCA">
        <w:rPr>
          <w:rFonts w:cs="Arial"/>
          <w:szCs w:val="22"/>
        </w:rPr>
        <w:t>21/13</w:t>
      </w:r>
      <w:r>
        <w:rPr>
          <w:rFonts w:cs="Arial"/>
          <w:szCs w:val="22"/>
        </w:rPr>
        <w:t xml:space="preserve"> – </w:t>
      </w:r>
      <w:proofErr w:type="spellStart"/>
      <w:r w:rsidR="00263FCA" w:rsidRPr="00263FCA">
        <w:rPr>
          <w:rFonts w:cs="Arial"/>
          <w:szCs w:val="22"/>
        </w:rPr>
        <w:t>ZUTD</w:t>
      </w:r>
      <w:proofErr w:type="spellEnd"/>
      <w:r w:rsidR="00263FCA" w:rsidRPr="00263FCA">
        <w:rPr>
          <w:rFonts w:cs="Arial"/>
          <w:szCs w:val="22"/>
        </w:rPr>
        <w:t>-A</w:t>
      </w:r>
      <w:r w:rsidR="005C6B2D">
        <w:rPr>
          <w:rFonts w:cs="Arial"/>
          <w:szCs w:val="22"/>
        </w:rPr>
        <w:t xml:space="preserve"> in 91/13</w:t>
      </w:r>
      <w:r w:rsidR="00263FCA" w:rsidRPr="00263FCA">
        <w:rPr>
          <w:rFonts w:cs="Arial"/>
          <w:szCs w:val="22"/>
        </w:rPr>
        <w:t>) na podlagi odločbe o priznanju pravice do plačila prispevka za obvezno zdravstveno zavarovanje, prispevek za obvezno zdravstveno zavarovanje pa plača občina stalnega prebivališča osebe iz prvega oziroma drugega odstavka tega člena.</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(5) Osebe iz prvega in drugega odstavka tega člena so upravičene do plačila prispevka za obvezno zdravstveno zavarovanje najdlje za obdobje, za katero se jim lahko dodeli denarna socialna pomoč, oziroma za obdobje namestitve v rejniško družino ali zavod kot izhaja iz odločbe o namestitvi, vendar najdlje za obdobje treh let z možnostjo podaljšanja, če obstajajo razlogi za namestitev.</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(6) Ministrstvo obvesti o številki, datumu in obdobju veljavnosti odločbe o priznanju pravice do plačila prispevka za obvezno zdravstveno zavarovanje za posamezno osebo iz prvega in drugega odstavka tega člena Zavod za zdravstveno zavarovanje Slovenije, ki te podatke vodi v evidenci zavarovanih oseb. Zavod za zdravstveno zavarovanje Slovenije obvesti ministrstvo o obdobju obveznega zdravstvenega zavarovanja, ki je bilo osebi iz prvega in drugega odstavka tega člena vzpostavljeno na podlagi te pravice.</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(7) Ministrstvo obvesti občino iz četrtega odstavka tega člena o številki in datumu odločbe o priznanju pravice do plačila prispevka za obvezno zdravstveno zavarovanje za posamezno osebo iz prvega in drugega odstavka tega člena, za katero je zavezana plačati ta prispevek, in o obdobju obveznega zdravstvenega zavarovanja iz prejšnjega odstavka.«.</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14.</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Za 30. členom se doda nov naslov in nov </w:t>
      </w:r>
      <w:proofErr w:type="spellStart"/>
      <w:r w:rsidR="00263FCA" w:rsidRPr="00263FCA">
        <w:rPr>
          <w:rFonts w:cs="Arial"/>
          <w:szCs w:val="22"/>
        </w:rPr>
        <w:t>30.a</w:t>
      </w:r>
      <w:proofErr w:type="spellEnd"/>
      <w:r w:rsidR="00263FCA" w:rsidRPr="00263FCA">
        <w:rPr>
          <w:rFonts w:cs="Arial"/>
          <w:szCs w:val="22"/>
        </w:rPr>
        <w:t xml:space="preserve"> člen, ki se glasi:</w:t>
      </w:r>
    </w:p>
    <w:p w:rsidR="00263FCA" w:rsidRPr="00263FCA" w:rsidRDefault="00263FCA" w:rsidP="00263FCA">
      <w:pPr>
        <w:tabs>
          <w:tab w:val="left" w:pos="567"/>
          <w:tab w:val="left" w:pos="993"/>
        </w:tabs>
        <w:rPr>
          <w:rFonts w:cs="Arial"/>
          <w:szCs w:val="22"/>
        </w:rPr>
      </w:pPr>
    </w:p>
    <w:p w:rsidR="004442CF" w:rsidRDefault="00263FCA" w:rsidP="004442CF">
      <w:pPr>
        <w:tabs>
          <w:tab w:val="left" w:pos="567"/>
          <w:tab w:val="left" w:pos="993"/>
        </w:tabs>
        <w:jc w:val="center"/>
        <w:rPr>
          <w:rFonts w:cs="Arial"/>
          <w:szCs w:val="22"/>
        </w:rPr>
      </w:pPr>
      <w:r w:rsidRPr="00263FCA">
        <w:rPr>
          <w:rFonts w:cs="Arial"/>
          <w:szCs w:val="22"/>
        </w:rPr>
        <w:t>»</w:t>
      </w:r>
      <w:proofErr w:type="spellStart"/>
      <w:r w:rsidRPr="00263FCA">
        <w:rPr>
          <w:rFonts w:cs="Arial"/>
          <w:szCs w:val="22"/>
        </w:rPr>
        <w:t>9.a</w:t>
      </w:r>
      <w:proofErr w:type="spellEnd"/>
      <w:r w:rsidRPr="00263FCA">
        <w:rPr>
          <w:rFonts w:cs="Arial"/>
          <w:szCs w:val="22"/>
        </w:rPr>
        <w:t xml:space="preserve"> Oprostitev plačila socialnovarstvenih storitev</w:t>
      </w:r>
    </w:p>
    <w:p w:rsidR="00263FCA" w:rsidRPr="00263FCA" w:rsidRDefault="00263FCA" w:rsidP="004442CF">
      <w:pPr>
        <w:tabs>
          <w:tab w:val="left" w:pos="567"/>
          <w:tab w:val="left" w:pos="993"/>
        </w:tabs>
        <w:jc w:val="center"/>
        <w:rPr>
          <w:rFonts w:cs="Arial"/>
          <w:szCs w:val="22"/>
        </w:rPr>
      </w:pPr>
      <w:r w:rsidRPr="00263FCA">
        <w:rPr>
          <w:rFonts w:cs="Arial"/>
          <w:szCs w:val="22"/>
        </w:rPr>
        <w:t>in prispevek k plačilu družinskega pomočnika</w:t>
      </w:r>
    </w:p>
    <w:p w:rsidR="00263FCA" w:rsidRPr="00263FCA" w:rsidRDefault="00263FCA" w:rsidP="004442CF">
      <w:pPr>
        <w:tabs>
          <w:tab w:val="left" w:pos="567"/>
          <w:tab w:val="left" w:pos="993"/>
        </w:tabs>
        <w:jc w:val="center"/>
        <w:rPr>
          <w:rFonts w:cs="Arial"/>
          <w:szCs w:val="22"/>
        </w:rPr>
      </w:pPr>
    </w:p>
    <w:p w:rsidR="00263FCA" w:rsidRPr="00263FCA" w:rsidRDefault="00263FCA" w:rsidP="004442CF">
      <w:pPr>
        <w:tabs>
          <w:tab w:val="left" w:pos="567"/>
          <w:tab w:val="left" w:pos="993"/>
        </w:tabs>
        <w:jc w:val="center"/>
        <w:rPr>
          <w:rFonts w:cs="Arial"/>
          <w:szCs w:val="22"/>
        </w:rPr>
      </w:pPr>
      <w:proofErr w:type="spellStart"/>
      <w:r w:rsidRPr="00263FCA">
        <w:rPr>
          <w:rFonts w:cs="Arial"/>
          <w:szCs w:val="22"/>
        </w:rPr>
        <w:t>30.a</w:t>
      </w:r>
      <w:proofErr w:type="spellEnd"/>
      <w:r w:rsidRPr="00263FCA">
        <w:rPr>
          <w:rFonts w:cs="Arial"/>
          <w:szCs w:val="22"/>
        </w:rPr>
        <w:t xml:space="preserve"> člen</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 V postopku oprostitev plačila socialnovarstvenih storitev in prispevka k plačilu družinskega pomočnika se premoženje upošteva skladno z 19. členom tega zakona, pri čemer se tako ugotovljena vrednost deli z 12 in prišteje dohodku osebe, ki je lastnik tega premoženja in ki se upošteva pri ugotavljanju materialnega položaja po tem členu.</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 Ne glede na določbe tega zakona se pri ugotavljanju materialnega položaja zavezanca ne upošteva premoženje osebe iz 1. točke prvega odstavka 10. člena tega zakona ter dohodki in premoženje oseb iz 2. točke prvega odstavka 10. člena tega zakona.</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(3) Ne glede na določbe zakona, ki ureja socialnovarstvene prejemke, se v postopku iz prvega odstavka tega člena kot dohodek ne upoštevajo priložnostni in občasni dohodki oseb.</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Ne glede na določbe tega zakona se denarna sredstva upravičenca do socialnovarstvene storitve in osebe iz 1. točke prvega odstavka 10. člena tega zakona na transakcijskem ali drugem bančnem računu nad mejo, določeno v tretjem odstavku 18. členu tega zakona, prištejejo plačilni sposobnosti upravičenca.</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(5) Meja socialne varnosti osebe v institucionalnem varstvu se določi v višini 0,1 ugotovljenega dohodka upravičenca, vendar ne manj kot 0,3 osnovnega zneska minimalnega dohodka.</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(6) V primeru, da upravičenec do socialnovarstvene storitve ali družinskega pomočnika neodplačno odsvoji svoje premoženje v enem letu pred uveljavljanjem ali med uveljavljanjem socialnovarstvene storitve, ni upravičen do oprostitve plačila. Upravičenec lahko ponovno uveljavlja pravico do oprostitve plačila po preteku obdobja, ko bi lahko z vrednostjo odsvojenega premoženja plačal oskrbo IV pri izvajalcu storitve, za katero je uveljavljal oprostitev oziroma višino delnega plačila za izgubljen dohodek.</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(7) Za neodplačno odsvojitev se šteje tudi prodaja, če je kupnina nesorazmerna z vrednostjo premoženja.</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(8) Ne glede na šesti odstavek tega člena lahko center za socialno delo v izrednih okoliščinah, ki se nanašajo na uveljavljanje pravice do institucionalnega varstva oziroma družinskega pomočnika, upravičenca oprosti plačila socialnovarstvene storitve oziroma prispevk</w:t>
      </w:r>
      <w:r w:rsidR="005C6B2D">
        <w:rPr>
          <w:rFonts w:cs="Arial"/>
          <w:szCs w:val="22"/>
        </w:rPr>
        <w:t>a</w:t>
      </w:r>
      <w:r w:rsidR="00263FCA" w:rsidRPr="00263FCA">
        <w:rPr>
          <w:rFonts w:cs="Arial"/>
          <w:szCs w:val="22"/>
        </w:rPr>
        <w:t xml:space="preserve"> k plačilu družinskega pomočnika.</w:t>
      </w:r>
    </w:p>
    <w:p w:rsidR="005C6B2D" w:rsidRDefault="005C6B2D" w:rsidP="005C6B2D">
      <w:pPr>
        <w:tabs>
          <w:tab w:val="left" w:pos="567"/>
          <w:tab w:val="left" w:pos="993"/>
        </w:tabs>
        <w:rPr>
          <w:rFonts w:cs="Arial"/>
          <w:color w:val="000000"/>
          <w:szCs w:val="22"/>
          <w:lang w:eastAsia="sl-SI"/>
        </w:rPr>
      </w:pPr>
    </w:p>
    <w:p w:rsidR="00263FCA" w:rsidRDefault="005C6B2D" w:rsidP="005C6B2D">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(9) Za izredne okoliščine iz prejšnjega odstavka se štejejo predvsem nenadno poslabšanje zdravstvenega stanja upravičenca do institucionalnega varstva oziroma družinskega pomočnika, zaradi česar je prišlo do nujne vključitve v institucionalno varstvo oziroma do potrebe po družinskem pomočniku ali če gre za odtujitev nepremičnine majhne vrednosti, pri čemer se kot nepremičnina manjše vrednosti šteje nepremičnina, ki ne presega vrednosti osebnega avtomobila oziroma enoslednega vozila, določene v 2. točki prvega odstavka 18. člena.</w:t>
      </w:r>
    </w:p>
    <w:p w:rsidR="005C6B2D" w:rsidRPr="00263FCA" w:rsidRDefault="005C6B2D" w:rsidP="005C6B2D">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(10) Če je preživninska obveznost zavezanca po predpisih, ki urejajo zakonsko zvezo in družinska razmerja, dogovorjena s pravnim aktom, nižja od plačilne sposobnosti, ugotovljene na podlagi predpisa, ki ureja oprostitve socialnovarstvenih storitev, se upošteva plačilna sposobnost zavezanca in ne njegova obveznost iz pravnega akta.</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(11) Center za socialno delo enkrat letno po uradni dolžnosti na dan 1. april</w:t>
      </w:r>
      <w:r w:rsidR="005C6B2D">
        <w:rPr>
          <w:rFonts w:cs="Arial"/>
          <w:szCs w:val="22"/>
        </w:rPr>
        <w:t>a</w:t>
      </w:r>
      <w:r w:rsidR="00263FCA" w:rsidRPr="00263FCA">
        <w:rPr>
          <w:rFonts w:cs="Arial"/>
          <w:szCs w:val="22"/>
        </w:rPr>
        <w:t xml:space="preserve"> preveri višino pravice iz prvega odstavka tega člena in na novo odloči. </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(12) Center za socialno delo izvajalca socialnovarstvene storitve seznani s podatki o osebnih imenih in naslovih zavezancev za plačilo ter o višini njihove obveznosti.«.</w:t>
      </w:r>
    </w:p>
    <w:p w:rsidR="00263FCA" w:rsidRPr="00263FCA" w:rsidRDefault="00263FCA" w:rsidP="00263FCA">
      <w:pPr>
        <w:tabs>
          <w:tab w:val="left" w:pos="567"/>
          <w:tab w:val="left" w:pos="993"/>
        </w:tabs>
        <w:rPr>
          <w:rFonts w:cs="Arial"/>
          <w:szCs w:val="22"/>
        </w:rPr>
      </w:pPr>
    </w:p>
    <w:p w:rsidR="004442CF" w:rsidRDefault="004442CF" w:rsidP="004442CF">
      <w:pPr>
        <w:tabs>
          <w:tab w:val="left" w:pos="567"/>
          <w:tab w:val="left" w:pos="993"/>
        </w:tabs>
        <w:jc w:val="center"/>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15.</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Tretji odstavek 31. člena se črta.</w:t>
      </w:r>
    </w:p>
    <w:p w:rsidR="00263FCA" w:rsidRPr="00263FCA" w:rsidRDefault="00263FCA" w:rsidP="00263FCA">
      <w:pPr>
        <w:tabs>
          <w:tab w:val="left" w:pos="567"/>
          <w:tab w:val="left" w:pos="993"/>
        </w:tabs>
        <w:rPr>
          <w:rFonts w:cs="Arial"/>
          <w:szCs w:val="22"/>
        </w:rPr>
      </w:pPr>
    </w:p>
    <w:p w:rsidR="004442CF" w:rsidRDefault="004442CF"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16.</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Za drugim odstavkom 32. člena se dodajo nov tretji, četrti, peti in šesti odstavek, ki se glasijo:</w:t>
      </w: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»(3) Učencu oziroma dijaku, ki se je na šolsko prehrano prijavil pred začetkom šolskega leta in ima veljavno odločbo o otroškem dodatku ali državni </w:t>
      </w:r>
      <w:r w:rsidR="00263FCA" w:rsidRPr="00263FCA">
        <w:rPr>
          <w:rFonts w:cs="Arial"/>
          <w:szCs w:val="22"/>
        </w:rPr>
        <w:lastRenderedPageBreak/>
        <w:t>štipendiji, pripada subvencija od prvega šolskega dne dalje, sicer pa od dneva prijave na malico ali kosilo.</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Učencu oziroma dijaku, ki nima veljavne odločbo o otroškem dodatku ali državni štipendiji, pripada subvencija od dneva priznanja pravice do otroškega dodatka ali državne štipendije.</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(5) V primeru iz četrtega odstavka 25. člena in tretjega odstavka 26. člena pripada subvencija z dnem, ko center za socialno delo prejme vlogo za subvencijo malice za učence in dijake ali za subvencijo kosila za učence, če je bilo vlogi ugodeno.</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(6) Učencu oziroma dijaku se za čas do dneva izdaje odločbe iz četrtega in petega odstavka ustrezno poračuna plačane obroke.«</w:t>
      </w:r>
      <w:r>
        <w:rPr>
          <w:rFonts w:cs="Arial"/>
          <w:szCs w:val="22"/>
        </w:rPr>
        <w:t>.</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Dosedanji tretji odstavek postane sedmi odstavek.</w:t>
      </w:r>
    </w:p>
    <w:p w:rsidR="00263FCA" w:rsidRPr="00263FCA" w:rsidRDefault="00263FCA" w:rsidP="00263FCA">
      <w:pPr>
        <w:tabs>
          <w:tab w:val="left" w:pos="567"/>
          <w:tab w:val="left" w:pos="993"/>
        </w:tabs>
        <w:rPr>
          <w:rFonts w:cs="Arial"/>
          <w:szCs w:val="22"/>
        </w:rPr>
      </w:pPr>
    </w:p>
    <w:p w:rsidR="004442CF" w:rsidRDefault="004442CF"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17.</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33. členu se edini odstavek oštevilči kot prvi in za njim doda nov drugi odstavek, ki se glasi:</w:t>
      </w: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 Ne glede na prejšnji odstavek pripada pravica do znižanega plačila vrtca za obdobje enega leta.«.</w:t>
      </w:r>
    </w:p>
    <w:p w:rsidR="00263FCA" w:rsidRPr="00263FCA" w:rsidRDefault="00263FCA" w:rsidP="00263FCA">
      <w:pPr>
        <w:tabs>
          <w:tab w:val="left" w:pos="567"/>
          <w:tab w:val="left" w:pos="993"/>
        </w:tabs>
        <w:rPr>
          <w:rFonts w:cs="Arial"/>
          <w:szCs w:val="22"/>
        </w:rPr>
      </w:pPr>
    </w:p>
    <w:p w:rsidR="004442CF" w:rsidRDefault="004442CF"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18.</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Četrti odstavek 38. člena se spremeni tako, da se glasi:</w:t>
      </w: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Lastnika najemnega stanovanja se seznani z imenom, priimkom, EMŠO najemnika, številko, datumom in obdobjem veljavnosti izdane odločbe in višino subvencije.«.</w:t>
      </w:r>
    </w:p>
    <w:p w:rsidR="00263FCA" w:rsidRPr="00263FCA" w:rsidRDefault="00263FCA" w:rsidP="00263FCA">
      <w:pPr>
        <w:tabs>
          <w:tab w:val="left" w:pos="567"/>
          <w:tab w:val="left" w:pos="993"/>
        </w:tabs>
        <w:rPr>
          <w:rFonts w:cs="Arial"/>
          <w:szCs w:val="22"/>
        </w:rPr>
      </w:pPr>
    </w:p>
    <w:p w:rsidR="004442CF" w:rsidRDefault="004442CF"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19.</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41. členu se za besedilom »centra za socialno delo« postavi pika, ostalo besedilo se črta.</w:t>
      </w:r>
    </w:p>
    <w:p w:rsidR="00263FCA" w:rsidRPr="00263FCA" w:rsidRDefault="00263FCA" w:rsidP="00263FCA">
      <w:pPr>
        <w:tabs>
          <w:tab w:val="left" w:pos="567"/>
          <w:tab w:val="left" w:pos="993"/>
        </w:tabs>
        <w:rPr>
          <w:rFonts w:cs="Arial"/>
          <w:szCs w:val="22"/>
        </w:rPr>
      </w:pPr>
    </w:p>
    <w:p w:rsidR="004442CF" w:rsidRDefault="004442CF"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20.</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42. člen se spremeni tako, da se glasi:</w:t>
      </w: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»42. člen</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 Pogoji za pridobitev pravic po tem zakonu morajo biti izpolnjeni ves čas prejemanja pravic iz javnih sredstev.</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(2) Upravičenec do denarne socialne pomoči, varstvenega dodatka, subvencije najemnine, pravice do kritja razlike do polne vrednosti zdravstvenih storitev, pravice do plačila prispevka za obvezno zdravstveno zavarovanje, oprostitve plačila socialnovarstvenih storitev in prispevka k plačilu družinskega pomočnika mora centru za socialno delo sporočiti vsa dejstva, okoliščine in vse spremembe, ki vplivajo na </w:t>
      </w:r>
      <w:r w:rsidR="00263FCA" w:rsidRPr="00263FCA">
        <w:rPr>
          <w:rFonts w:cs="Arial"/>
          <w:szCs w:val="22"/>
        </w:rPr>
        <w:lastRenderedPageBreak/>
        <w:t>upravičenost do pravice iz javnih sredstev, njeno višino ali obdobje prejemanja, v osmih dneh od dne, ko je taka sprememba nastala ali je zanjo izvedel.</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(3) Upravičenec do otroškega dodatka, državne štipendije in znižanega plačila vrtca mora centru za socialno delo sporočiti naslednje spremembe, ki pri teh pravicah lahko vplivajo na upravičenost do pravice iz javnih sredstev, njeno višino ali obdobje prejemanja: spremembo števila oseb ali upravičencev, spremembo ali vključitev v vzgojno-izobraževalni oziroma visokošolski zavod, spremembo statusa učenca, dijaka ali študenta, spremembo stalnega prebivališča in spremembo vrste periodičnega dohodka, pri državni štipendiji pa tudi druge okoliščine, ki po zakonu, ki ureja štipendiranje, vplivajo na to pravico, v osmih dneh od dneva, ko je taka sprememba nastala ali je zanjo izvedel. </w:t>
      </w:r>
    </w:p>
    <w:p w:rsidR="004442CF" w:rsidRDefault="004442CF"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Center za socialno delo v primerih iz drugega in tretjega odstavka tega člena na novo odloči o posamezni pravici.«.</w:t>
      </w:r>
    </w:p>
    <w:p w:rsidR="00263FCA" w:rsidRPr="00263FCA" w:rsidRDefault="00263FCA" w:rsidP="00263FCA">
      <w:pPr>
        <w:tabs>
          <w:tab w:val="left" w:pos="567"/>
          <w:tab w:val="left" w:pos="993"/>
        </w:tabs>
        <w:rPr>
          <w:rFonts w:cs="Arial"/>
          <w:szCs w:val="22"/>
        </w:rPr>
      </w:pPr>
    </w:p>
    <w:p w:rsidR="004442CF" w:rsidRDefault="004442CF"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21.</w:t>
      </w:r>
      <w:r w:rsidR="004442CF">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proofErr w:type="spellStart"/>
      <w:r w:rsidR="00263FCA" w:rsidRPr="00263FCA">
        <w:rPr>
          <w:rFonts w:cs="Arial"/>
          <w:szCs w:val="22"/>
        </w:rPr>
        <w:t>42.b</w:t>
      </w:r>
      <w:proofErr w:type="spellEnd"/>
      <w:r w:rsidR="00263FCA" w:rsidRPr="00263FCA">
        <w:rPr>
          <w:rFonts w:cs="Arial"/>
          <w:szCs w:val="22"/>
        </w:rPr>
        <w:t xml:space="preserve"> člen se spremeni tako, da se glasi:</w:t>
      </w:r>
    </w:p>
    <w:p w:rsidR="00263FCA" w:rsidRPr="00263FCA" w:rsidRDefault="00263FCA" w:rsidP="00263FCA">
      <w:pPr>
        <w:tabs>
          <w:tab w:val="left" w:pos="567"/>
          <w:tab w:val="left" w:pos="993"/>
        </w:tabs>
        <w:rPr>
          <w:rFonts w:cs="Arial"/>
          <w:szCs w:val="22"/>
        </w:rPr>
      </w:pPr>
    </w:p>
    <w:p w:rsidR="00263FCA" w:rsidRPr="00263FCA" w:rsidRDefault="00263FCA" w:rsidP="004442CF">
      <w:pPr>
        <w:tabs>
          <w:tab w:val="left" w:pos="567"/>
          <w:tab w:val="left" w:pos="993"/>
        </w:tabs>
        <w:jc w:val="center"/>
        <w:rPr>
          <w:rFonts w:cs="Arial"/>
          <w:szCs w:val="22"/>
        </w:rPr>
      </w:pPr>
      <w:r w:rsidRPr="00263FCA">
        <w:rPr>
          <w:rFonts w:cs="Arial"/>
          <w:szCs w:val="22"/>
        </w:rPr>
        <w:t>»</w:t>
      </w:r>
      <w:proofErr w:type="spellStart"/>
      <w:r w:rsidRPr="00263FCA">
        <w:rPr>
          <w:rFonts w:cs="Arial"/>
          <w:szCs w:val="22"/>
        </w:rPr>
        <w:t>42.b</w:t>
      </w:r>
      <w:proofErr w:type="spellEnd"/>
      <w:r w:rsidRPr="00263FCA">
        <w:rPr>
          <w:rFonts w:cs="Arial"/>
          <w:szCs w:val="22"/>
        </w:rPr>
        <w:t xml:space="preserve"> člen</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(1) O dejstvih in okoliščinah, ki vplivajo na spremembo odločbe in za katere je center za socialno delo izvedel po uradni dolžnosti ali v roku iz drugega in tretjega odstavka 42. člena tega zakona, na novo odloči s prvim dnem naslednjega meseca po nastopu spremembe, razen v postopku oprostitev plačila socialnovarstvenih storitev in prispevka k plačilu družinskega pomočnika, ko center za socialno delo odloči z dnem nastanka spremembe, ki je nastala zaradi spremenjenih okoliščin na strani upravičenca do storitve.</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 O dejstvih in okoliščinah, ki vplivajo na spremembo odločbe in ki jih je upravičenec sporočil po roku iz drugega in tretjega odstavka 42. člena tega zakona, center za socialno delo odloči s prvim dnem naslednjega meseca po prejemu obvestila o spremembi, razen če gre za takšno spremembo, zaradi katere bi bilo treba določiti krajše obdobje prejemanja, nižjo višino sredstev ali drugačno odločbo o pravici. V tem primeru center za socialno delo odloči s prvim dnem naslednjega meseca po nastopu spremembe. V tem postopku izda odločbo, s katero razveljavi odločbo, s katero je bila osebi priznana pravica iz javnih sredstev, in ugotovi prenehanje upravičenosti do posamezne pravice iz javnih sredstev ali določi drugo višino ali določi drugo obdobje prejemanja pravice iz javnih sredstev.</w:t>
      </w:r>
    </w:p>
    <w:p w:rsidR="00263FCA" w:rsidRPr="00263FCA" w:rsidRDefault="00263FCA" w:rsidP="00263FCA">
      <w:pPr>
        <w:tabs>
          <w:tab w:val="left" w:pos="567"/>
          <w:tab w:val="left" w:pos="993"/>
        </w:tabs>
        <w:rPr>
          <w:rFonts w:cs="Arial"/>
          <w:szCs w:val="22"/>
        </w:rPr>
      </w:pPr>
    </w:p>
    <w:p w:rsidR="00263FCA" w:rsidRPr="00263FCA" w:rsidRDefault="004442CF"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(3) Kadar pristojni organ za zaposlovanje iz razlogov, ki jih določa zakon, ki ureja socialnovarstvene prejemke, upravičenca preneha voditi v evidenci brezposelnih oseb ali v evidenci iskalcev zaposlitve, se za spremembo okoliščin šteje dan, s katerim se brezposelna oseba preneha voditi v evidenci brezposelnih oseba ali v evidenci iskalcev zaposlitve.</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(4) Pravica do kritja razlike do polne vrednosti zdravstvenih storitev preneha z dnem dokončnosti odločbe, s katero je prenehala ta pravica.</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(5) Pravica do plačila prispevka za obvezno zdravstveno zavarovanje preneha dan pred dnevom vstopa v obvezno zdravstveno zavarovanje iz drugega naslova, določenega z zakonom, ki ureja zdravstveno zavarovanje, v primeru odprave </w:t>
      </w:r>
      <w:r w:rsidR="00263FCA" w:rsidRPr="00263FCA">
        <w:rPr>
          <w:rFonts w:cs="Arial"/>
          <w:szCs w:val="22"/>
        </w:rPr>
        <w:lastRenderedPageBreak/>
        <w:t>ali razveljavitve odločbe o priznanju pravice do plačila prispevka za obvezno zdravstveno zavarovanje pa z dnem dokončnosti te odločbe, če oseba ni obvezno zdravstveno zavarovana iz drugega naslova.«.</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22.</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Na koncu drugega odstavka 44. člena se za piko doda nov stavek, ki se glasi:</w:t>
      </w:r>
      <w:r>
        <w:rPr>
          <w:rFonts w:cs="Arial"/>
          <w:szCs w:val="22"/>
        </w:rPr>
        <w:t xml:space="preserve"> </w:t>
      </w:r>
      <w:r w:rsidR="00263FCA" w:rsidRPr="00263FCA">
        <w:rPr>
          <w:rFonts w:cs="Arial"/>
          <w:szCs w:val="22"/>
        </w:rPr>
        <w:t>»Vračilo neupravičeno prejete pravice v obliki posrednega prejemka zahteva izplačevalec pravice.«.</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četrtem odstavku se prvi stavek spremeni tako, da se glasi:</w:t>
      </w:r>
      <w:r>
        <w:rPr>
          <w:rFonts w:cs="Arial"/>
          <w:szCs w:val="22"/>
        </w:rPr>
        <w:t xml:space="preserve"> </w:t>
      </w:r>
      <w:r w:rsidR="00263FCA" w:rsidRPr="00263FCA">
        <w:rPr>
          <w:rFonts w:cs="Arial"/>
          <w:szCs w:val="22"/>
        </w:rPr>
        <w:t>»Neupravičeno prejeta javna sredstva je oseba dolžna vrniti v 60 dneh od izvršljivosti odločbe.«.</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petem odstavku se za besedilom »center za socialno delo« doda besedilo »po preteku roka za vračilo iz prejšnjega odstavka«.</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Šesti </w:t>
      </w:r>
      <w:r w:rsidR="006F525D">
        <w:rPr>
          <w:rFonts w:cs="Arial"/>
          <w:szCs w:val="22"/>
        </w:rPr>
        <w:t xml:space="preserve">in sedmi </w:t>
      </w:r>
      <w:r w:rsidR="00263FCA" w:rsidRPr="00263FCA">
        <w:rPr>
          <w:rFonts w:cs="Arial"/>
          <w:szCs w:val="22"/>
        </w:rPr>
        <w:t>odstavek se spremeni</w:t>
      </w:r>
      <w:r w:rsidR="006F525D">
        <w:rPr>
          <w:rFonts w:cs="Arial"/>
          <w:szCs w:val="22"/>
        </w:rPr>
        <w:t>ta</w:t>
      </w:r>
      <w:r w:rsidR="00263FCA" w:rsidRPr="00263FCA">
        <w:rPr>
          <w:rFonts w:cs="Arial"/>
          <w:szCs w:val="22"/>
        </w:rPr>
        <w:t xml:space="preserve"> tako, da se glasi</w:t>
      </w:r>
      <w:r w:rsidR="006F525D">
        <w:rPr>
          <w:rFonts w:cs="Arial"/>
          <w:szCs w:val="22"/>
        </w:rPr>
        <w:t>ta</w:t>
      </w:r>
      <w:r w:rsidR="00263FCA" w:rsidRPr="00263FCA">
        <w:rPr>
          <w:rFonts w:cs="Arial"/>
          <w:szCs w:val="22"/>
        </w:rPr>
        <w:t>:</w:t>
      </w: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»(6) Ne glede na četrti in peti odstavek tega člena lahko izplačevalec pravice, v primeru otroškega dodatka, denarne socialne pomoči, varstvenega dodatka, državne štipendije, subvencije malice in kosila pa center za socialno delo in oseba skleneta dogovor o načinu in času vračila neupravičeno prejetih javnih sredstev, pri čemer se upoštevata višina lastnega dohodka osebe po predpisih, ki urejajo socialnovarstvene prejemke ter njen socialni in gmotni položaj. Odlog ali obročno plačilo se lahko dogovori največ za tri leta. Oseba je dolžna izplačevalcu pravice oziroma centru za socialno delo skladno z dogovorom o vračilu javnih sredstev redno predložiti dokazila o izvrševanju obveznosti. Za čas odloženega plačila in ob obročnem plačilu se obračunajo obresti po evropski medbančni obrestni meri za ročnost enega leta, in sicer v višini, ki je veljala na dan zapadlosti v plačilo. Če oseba zamudi plačilo obroka, je dolžna pla</w:t>
      </w:r>
      <w:r w:rsidR="006F525D">
        <w:rPr>
          <w:rFonts w:cs="Arial"/>
          <w:szCs w:val="22"/>
        </w:rPr>
        <w:t>čati zakonite zamudne obresti.</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(7) Izplačevalec pravice lahko na predlog osebe po predhodnem mnenju centra za socialno delo odloči, da se njen dolg deloma ali v celoti odpiše, vendar največ do višine vrednosti predmetov in prejemkov, ki so po predpisih, ki urejajo izvršbo in zavarovanje, izvzeti iz izvršbe. Vlogo za odpis ali delni odpis oseba vloži pri izplačevalcu pravice. Izplačevalec pravice lahko center za socialno delo zaprosi za mnenje o odpisu. Dolg se odpiše po kriterijih za odpis davčnega dolga davčnim zavezancem – fizičnim osebam.«.</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23.</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petem odstavku 50. člena se besedilo »centralne evidence upravičencev do subvencionirane šolske prehrane« nadomesti z besedilom »centralne evidence udeležencev vzgoje in izobraževanja«, besedilo »višini subvencije malice oziroma subvencije kosila« pa nadomesti z besedilom »uvrstitvi v dohodkovni razred«.</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24.</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drugem odstavku 51. člena se v 2. točki drugega odstavka na koncu stavka doda besedilo », podatke o višini, obdobju upravičenosti in o datumu izplačila izplačanega dohodka na podlagi pogodbe o službi v Civilni zaščiti.«</w:t>
      </w:r>
      <w:r>
        <w:rPr>
          <w:rFonts w:cs="Arial"/>
          <w:szCs w:val="22"/>
        </w:rPr>
        <w:t>.</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lastRenderedPageBreak/>
        <w:tab/>
      </w:r>
      <w:r>
        <w:rPr>
          <w:rFonts w:cs="Arial"/>
          <w:szCs w:val="22"/>
        </w:rPr>
        <w:tab/>
      </w:r>
      <w:r w:rsidR="00263FCA" w:rsidRPr="00263FCA">
        <w:rPr>
          <w:rFonts w:cs="Arial"/>
          <w:szCs w:val="22"/>
        </w:rPr>
        <w:t>Za 4. točko se doda nova 5. točka, ki se glasi:</w:t>
      </w:r>
    </w:p>
    <w:p w:rsidR="00263FCA" w:rsidRPr="00263FCA" w:rsidRDefault="00263FCA" w:rsidP="00DC71E4">
      <w:pPr>
        <w:tabs>
          <w:tab w:val="left" w:pos="567"/>
          <w:tab w:val="left" w:pos="993"/>
        </w:tabs>
        <w:ind w:left="570" w:hanging="570"/>
        <w:rPr>
          <w:rFonts w:cs="Arial"/>
          <w:szCs w:val="22"/>
        </w:rPr>
      </w:pPr>
      <w:r w:rsidRPr="00263FCA">
        <w:rPr>
          <w:rFonts w:cs="Arial"/>
          <w:szCs w:val="22"/>
        </w:rPr>
        <w:t>»5.</w:t>
      </w:r>
      <w:r w:rsidR="00DC71E4">
        <w:rPr>
          <w:rFonts w:cs="Arial"/>
          <w:szCs w:val="22"/>
        </w:rPr>
        <w:tab/>
      </w:r>
      <w:r w:rsidRPr="00263FCA">
        <w:rPr>
          <w:rFonts w:cs="Arial"/>
          <w:szCs w:val="22"/>
        </w:rPr>
        <w:t>Ministrstva za infrastrukturo in prostor – podatke o upravičenosti dijakov in študentov do subvencije prevoza, obdobje koriščenja subvencije prevoza, mesec in leto veljavnosti mesečne vozovnice;«</w:t>
      </w:r>
      <w:r w:rsidR="00DC71E4">
        <w:rPr>
          <w:rFonts w:cs="Arial"/>
          <w:szCs w:val="22"/>
        </w:rPr>
        <w:t>.</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22., 23. in 24. točka se spremenijo tako, da se glasijo:</w:t>
      </w:r>
    </w:p>
    <w:p w:rsidR="00263FCA" w:rsidRPr="00263FCA" w:rsidRDefault="00263FCA" w:rsidP="00DC71E4">
      <w:pPr>
        <w:tabs>
          <w:tab w:val="left" w:pos="567"/>
          <w:tab w:val="left" w:pos="993"/>
        </w:tabs>
        <w:ind w:left="567" w:hanging="567"/>
        <w:rPr>
          <w:rFonts w:cs="Arial"/>
          <w:szCs w:val="22"/>
        </w:rPr>
      </w:pPr>
      <w:r w:rsidRPr="00263FCA">
        <w:rPr>
          <w:rFonts w:cs="Arial"/>
          <w:szCs w:val="22"/>
        </w:rPr>
        <w:t>»22.</w:t>
      </w:r>
      <w:r w:rsidR="00DC71E4">
        <w:rPr>
          <w:rFonts w:cs="Arial"/>
          <w:szCs w:val="22"/>
        </w:rPr>
        <w:tab/>
      </w:r>
      <w:r w:rsidRPr="00263FCA">
        <w:rPr>
          <w:rFonts w:cs="Arial"/>
          <w:szCs w:val="22"/>
        </w:rPr>
        <w:t xml:space="preserve">kreditnih institucij – podatke o prometu na transakcijskih računih, podatke o višini sredstev na varčevalnih računih, podatke o višini depozitov, podatke o premoženjskih pravicah iz </w:t>
      </w:r>
      <w:proofErr w:type="spellStart"/>
      <w:r w:rsidRPr="00263FCA">
        <w:rPr>
          <w:rFonts w:cs="Arial"/>
          <w:szCs w:val="22"/>
        </w:rPr>
        <w:t>poddepoja</w:t>
      </w:r>
      <w:proofErr w:type="spellEnd"/>
      <w:r w:rsidRPr="00263FCA">
        <w:rPr>
          <w:rFonts w:cs="Arial"/>
          <w:szCs w:val="22"/>
        </w:rPr>
        <w:t xml:space="preserve"> finančnih instrumentov, podatke o imetnikih enot premoženja investicijskih skladov, o številu enot, vrednosti enote ter podatke o skladu;</w:t>
      </w:r>
    </w:p>
    <w:p w:rsidR="00263FCA" w:rsidRPr="00263FCA" w:rsidRDefault="00DC71E4" w:rsidP="00DC71E4">
      <w:pPr>
        <w:tabs>
          <w:tab w:val="left" w:pos="567"/>
          <w:tab w:val="left" w:pos="993"/>
        </w:tabs>
        <w:ind w:left="567" w:hanging="567"/>
        <w:rPr>
          <w:rFonts w:cs="Arial"/>
          <w:szCs w:val="22"/>
        </w:rPr>
      </w:pPr>
      <w:r>
        <w:rPr>
          <w:rFonts w:cs="Arial"/>
          <w:szCs w:val="22"/>
        </w:rPr>
        <w:t xml:space="preserve">  </w:t>
      </w:r>
      <w:r w:rsidR="00263FCA" w:rsidRPr="00263FCA">
        <w:rPr>
          <w:rFonts w:cs="Arial"/>
          <w:szCs w:val="22"/>
        </w:rPr>
        <w:t>23.</w:t>
      </w:r>
      <w:r>
        <w:rPr>
          <w:rFonts w:cs="Arial"/>
          <w:szCs w:val="22"/>
        </w:rPr>
        <w:tab/>
      </w:r>
      <w:r w:rsidR="00263FCA" w:rsidRPr="00263FCA">
        <w:rPr>
          <w:rFonts w:cs="Arial"/>
          <w:szCs w:val="22"/>
        </w:rPr>
        <w:t>družb za upravljanje – podatke iz evidence imetnikov investicijskih kuponov, o imetniku enot premoženja investicijskih skladov, o številu enot, vrednosti enote ter podatke o skladu;</w:t>
      </w:r>
    </w:p>
    <w:p w:rsidR="00263FCA" w:rsidRPr="00263FCA" w:rsidRDefault="00DC71E4" w:rsidP="00DC71E4">
      <w:pPr>
        <w:tabs>
          <w:tab w:val="left" w:pos="567"/>
          <w:tab w:val="left" w:pos="993"/>
        </w:tabs>
        <w:ind w:left="567" w:hanging="567"/>
        <w:rPr>
          <w:rFonts w:cs="Arial"/>
          <w:szCs w:val="22"/>
        </w:rPr>
      </w:pPr>
      <w:r>
        <w:rPr>
          <w:rFonts w:cs="Arial"/>
          <w:szCs w:val="22"/>
        </w:rPr>
        <w:t xml:space="preserve">  </w:t>
      </w:r>
      <w:r w:rsidR="00263FCA" w:rsidRPr="00263FCA">
        <w:rPr>
          <w:rFonts w:cs="Arial"/>
          <w:szCs w:val="22"/>
        </w:rPr>
        <w:t>24.</w:t>
      </w:r>
      <w:r>
        <w:rPr>
          <w:rFonts w:cs="Arial"/>
          <w:szCs w:val="22"/>
        </w:rPr>
        <w:tab/>
      </w:r>
      <w:r w:rsidR="00263FCA" w:rsidRPr="00263FCA">
        <w:rPr>
          <w:rFonts w:cs="Arial"/>
          <w:szCs w:val="22"/>
        </w:rPr>
        <w:t xml:space="preserve">borzno posredniških hiš – podatke o premoženjskih pravicah iz </w:t>
      </w:r>
      <w:proofErr w:type="spellStart"/>
      <w:r w:rsidR="00263FCA" w:rsidRPr="00263FCA">
        <w:rPr>
          <w:rFonts w:cs="Arial"/>
          <w:szCs w:val="22"/>
        </w:rPr>
        <w:t>poddepoja</w:t>
      </w:r>
      <w:proofErr w:type="spellEnd"/>
      <w:r w:rsidR="00263FCA" w:rsidRPr="00263FCA">
        <w:rPr>
          <w:rFonts w:cs="Arial"/>
          <w:szCs w:val="22"/>
        </w:rPr>
        <w:t xml:space="preserve"> finančnih instrumentov vlagatelja in oseb, ki se upoštevajo poleg vlagatelja po tem zakonu, podatke o imetnikih enot premoženja investicijskih skladov, o številu enot, vrednosti enote ter podatke o skladu;«.</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Dosedanja 5. do 26. točka postanejo 6. do 27. točka.</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Doda se nova 28. točka, ki se glasi: </w:t>
      </w:r>
    </w:p>
    <w:p w:rsidR="00263FCA" w:rsidRPr="00263FCA" w:rsidRDefault="00263FCA" w:rsidP="00DC71E4">
      <w:pPr>
        <w:tabs>
          <w:tab w:val="left" w:pos="567"/>
          <w:tab w:val="left" w:pos="993"/>
        </w:tabs>
        <w:ind w:left="567" w:hanging="567"/>
        <w:rPr>
          <w:rFonts w:cs="Arial"/>
          <w:szCs w:val="22"/>
        </w:rPr>
      </w:pPr>
      <w:r w:rsidRPr="00263FCA">
        <w:rPr>
          <w:rFonts w:cs="Arial"/>
          <w:szCs w:val="22"/>
        </w:rPr>
        <w:t>»28.</w:t>
      </w:r>
      <w:r w:rsidR="00DC71E4">
        <w:rPr>
          <w:rFonts w:cs="Arial"/>
          <w:szCs w:val="22"/>
        </w:rPr>
        <w:tab/>
      </w:r>
      <w:r w:rsidRPr="00263FCA">
        <w:rPr>
          <w:rFonts w:cs="Arial"/>
          <w:szCs w:val="22"/>
        </w:rPr>
        <w:t>zavarovalnic – podatke o višinah zavarovalnih rent in podatke o dohodkih iz življenjskih zavarovanj.«</w:t>
      </w:r>
      <w:r w:rsidR="00DC71E4">
        <w:rPr>
          <w:rFonts w:cs="Arial"/>
          <w:szCs w:val="22"/>
        </w:rPr>
        <w:t>.</w:t>
      </w:r>
    </w:p>
    <w:p w:rsidR="00263FCA" w:rsidRPr="00263FCA" w:rsidRDefault="00263FCA" w:rsidP="00263FCA">
      <w:pPr>
        <w:tabs>
          <w:tab w:val="left" w:pos="567"/>
          <w:tab w:val="left" w:pos="993"/>
        </w:tabs>
        <w:rPr>
          <w:rFonts w:cs="Arial"/>
          <w:szCs w:val="22"/>
        </w:rPr>
      </w:pPr>
    </w:p>
    <w:p w:rsidR="00DC71E4" w:rsidRDefault="00DC71E4"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PREHODNE IN KONČNA DOLOČBA</w:t>
      </w:r>
    </w:p>
    <w:p w:rsidR="00DC71E4" w:rsidRDefault="00DC71E4" w:rsidP="00DC71E4">
      <w:pPr>
        <w:tabs>
          <w:tab w:val="left" w:pos="567"/>
          <w:tab w:val="left" w:pos="993"/>
        </w:tabs>
        <w:jc w:val="center"/>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25.</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Default="00DC71E4" w:rsidP="00263FCA">
      <w:pPr>
        <w:tabs>
          <w:tab w:val="left" w:pos="567"/>
          <w:tab w:val="left" w:pos="993"/>
        </w:tabs>
        <w:rPr>
          <w:rFonts w:cs="Arial"/>
          <w:szCs w:val="22"/>
        </w:rPr>
      </w:pPr>
      <w:r>
        <w:rPr>
          <w:rFonts w:cs="Arial"/>
          <w:szCs w:val="22"/>
        </w:rPr>
        <w:tab/>
      </w:r>
      <w:r>
        <w:rPr>
          <w:rFonts w:cs="Arial"/>
          <w:szCs w:val="22"/>
        </w:rPr>
        <w:tab/>
      </w:r>
      <w:r w:rsidR="005C6B2D">
        <w:rPr>
          <w:rFonts w:cs="Arial"/>
          <w:szCs w:val="22"/>
        </w:rPr>
        <w:t xml:space="preserve">(1) </w:t>
      </w:r>
      <w:r w:rsidR="00263FCA" w:rsidRPr="00263FCA">
        <w:rPr>
          <w:rFonts w:cs="Arial"/>
          <w:szCs w:val="22"/>
        </w:rPr>
        <w:t>Ne glede na spremenjeni drugi odstavek 22. člena zakona v obdobju do vključno leta, ki sledi letu, v katerem gospodarska rast preseže 2 odstotka bruto proizvoda, otroški dodatek glede na uvrstitev v dohodkovni razred znaša:</w:t>
      </w:r>
    </w:p>
    <w:p w:rsidR="00DC71E4" w:rsidRDefault="00DC71E4" w:rsidP="00263FCA">
      <w:pPr>
        <w:tabs>
          <w:tab w:val="left" w:pos="567"/>
          <w:tab w:val="left" w:pos="993"/>
        </w:tabs>
        <w:rPr>
          <w:rFonts w:cs="Arial"/>
          <w:szCs w:val="22"/>
        </w:rPr>
      </w:pPr>
    </w:p>
    <w:tbl>
      <w:tblPr>
        <w:tblW w:w="0" w:type="auto"/>
        <w:tblCellMar>
          <w:left w:w="70" w:type="dxa"/>
          <w:right w:w="70" w:type="dxa"/>
        </w:tblCellMar>
        <w:tblLook w:val="00A0" w:firstRow="1" w:lastRow="0" w:firstColumn="1" w:lastColumn="0" w:noHBand="0" w:noVBand="0"/>
      </w:tblPr>
      <w:tblGrid>
        <w:gridCol w:w="1165"/>
        <w:gridCol w:w="1325"/>
        <w:gridCol w:w="875"/>
        <w:gridCol w:w="875"/>
        <w:gridCol w:w="1317"/>
        <w:gridCol w:w="880"/>
        <w:gridCol w:w="880"/>
        <w:gridCol w:w="1328"/>
      </w:tblGrid>
      <w:tr w:rsidR="00DC71E4" w:rsidTr="00DC71E4">
        <w:trPr>
          <w:trHeight w:val="1050"/>
        </w:trPr>
        <w:tc>
          <w:tcPr>
            <w:tcW w:w="0" w:type="auto"/>
            <w:tcBorders>
              <w:top w:val="double" w:sz="6" w:space="0" w:color="auto"/>
              <w:left w:val="double" w:sz="6" w:space="0" w:color="auto"/>
              <w:bottom w:val="nil"/>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dohodkovni</w:t>
            </w:r>
          </w:p>
        </w:tc>
        <w:tc>
          <w:tcPr>
            <w:tcW w:w="0" w:type="auto"/>
            <w:tcBorders>
              <w:top w:val="double" w:sz="6" w:space="0" w:color="auto"/>
              <w:left w:val="nil"/>
              <w:bottom w:val="nil"/>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povprečni mesečni dohodek na osebo</w:t>
            </w:r>
          </w:p>
        </w:tc>
        <w:tc>
          <w:tcPr>
            <w:tcW w:w="0" w:type="auto"/>
            <w:gridSpan w:val="3"/>
            <w:tcBorders>
              <w:top w:val="double" w:sz="6" w:space="0" w:color="auto"/>
              <w:left w:val="nil"/>
              <w:bottom w:val="double" w:sz="6" w:space="0" w:color="auto"/>
              <w:right w:val="double" w:sz="6" w:space="0" w:color="000000"/>
            </w:tcBorders>
            <w:vAlign w:val="bottom"/>
            <w:hideMark/>
          </w:tcPr>
          <w:p w:rsidR="00DC71E4" w:rsidRDefault="00DC71E4">
            <w:pPr>
              <w:spacing w:line="276" w:lineRule="auto"/>
              <w:rPr>
                <w:rFonts w:cs="Arial"/>
                <w:sz w:val="20"/>
                <w:szCs w:val="20"/>
                <w:lang w:eastAsia="sl-SI"/>
              </w:rPr>
            </w:pPr>
            <w:r>
              <w:rPr>
                <w:rFonts w:cs="Arial"/>
                <w:sz w:val="20"/>
                <w:szCs w:val="20"/>
                <w:lang w:eastAsia="sl-SI"/>
              </w:rPr>
              <w:t xml:space="preserve">znesek otroškega dodatka za otroka do konca osnovne šole ali do 18 leta (v </w:t>
            </w:r>
            <w:proofErr w:type="spellStart"/>
            <w:r>
              <w:rPr>
                <w:rFonts w:cs="Arial"/>
                <w:sz w:val="20"/>
                <w:szCs w:val="20"/>
                <w:lang w:eastAsia="sl-SI"/>
              </w:rPr>
              <w:t>eurih</w:t>
            </w:r>
            <w:proofErr w:type="spellEnd"/>
            <w:r>
              <w:rPr>
                <w:rFonts w:cs="Arial"/>
                <w:sz w:val="20"/>
                <w:szCs w:val="20"/>
                <w:lang w:eastAsia="sl-SI"/>
              </w:rPr>
              <w:t>)</w:t>
            </w:r>
          </w:p>
        </w:tc>
        <w:tc>
          <w:tcPr>
            <w:tcW w:w="0" w:type="auto"/>
            <w:gridSpan w:val="3"/>
            <w:tcBorders>
              <w:top w:val="double" w:sz="6" w:space="0" w:color="auto"/>
              <w:left w:val="nil"/>
              <w:bottom w:val="double" w:sz="6" w:space="0" w:color="auto"/>
              <w:right w:val="double" w:sz="6" w:space="0" w:color="000000"/>
            </w:tcBorders>
            <w:vAlign w:val="bottom"/>
            <w:hideMark/>
          </w:tcPr>
          <w:p w:rsidR="00DC71E4" w:rsidRDefault="00DC71E4">
            <w:pPr>
              <w:spacing w:line="276" w:lineRule="auto"/>
              <w:rPr>
                <w:rFonts w:cs="Arial"/>
                <w:sz w:val="20"/>
                <w:szCs w:val="20"/>
                <w:lang w:eastAsia="sl-SI"/>
              </w:rPr>
            </w:pPr>
            <w:r>
              <w:rPr>
                <w:rFonts w:cs="Arial"/>
                <w:sz w:val="20"/>
                <w:szCs w:val="20"/>
                <w:lang w:eastAsia="sl-SI"/>
              </w:rPr>
              <w:t xml:space="preserve">znesek otroškega dodatka za otroka v srednji šoli, vendar najdlje do 18 leta (v </w:t>
            </w:r>
            <w:proofErr w:type="spellStart"/>
            <w:r>
              <w:rPr>
                <w:rFonts w:cs="Arial"/>
                <w:sz w:val="20"/>
                <w:szCs w:val="20"/>
                <w:lang w:eastAsia="sl-SI"/>
              </w:rPr>
              <w:t>eurih</w:t>
            </w:r>
            <w:proofErr w:type="spellEnd"/>
            <w:r>
              <w:rPr>
                <w:rFonts w:cs="Arial"/>
                <w:sz w:val="20"/>
                <w:szCs w:val="20"/>
                <w:lang w:eastAsia="sl-SI"/>
              </w:rPr>
              <w:t>)</w:t>
            </w:r>
          </w:p>
        </w:tc>
      </w:tr>
      <w:tr w:rsidR="00DC71E4" w:rsidTr="00DC71E4">
        <w:trPr>
          <w:trHeight w:val="795"/>
        </w:trPr>
        <w:tc>
          <w:tcPr>
            <w:tcW w:w="0" w:type="auto"/>
            <w:tcBorders>
              <w:top w:val="nil"/>
              <w:left w:val="double" w:sz="6" w:space="0" w:color="auto"/>
              <w:bottom w:val="double" w:sz="6" w:space="0" w:color="auto"/>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razred</w:t>
            </w:r>
          </w:p>
        </w:tc>
        <w:tc>
          <w:tcPr>
            <w:tcW w:w="0" w:type="auto"/>
            <w:tcBorders>
              <w:top w:val="nil"/>
              <w:left w:val="nil"/>
              <w:bottom w:val="double" w:sz="6" w:space="0" w:color="auto"/>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(v %)</w:t>
            </w:r>
          </w:p>
        </w:tc>
        <w:tc>
          <w:tcPr>
            <w:tcW w:w="0" w:type="auto"/>
            <w:tcBorders>
              <w:top w:val="nil"/>
              <w:left w:val="nil"/>
              <w:bottom w:val="double" w:sz="6" w:space="0" w:color="auto"/>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1. otrok</w:t>
            </w:r>
          </w:p>
        </w:tc>
        <w:tc>
          <w:tcPr>
            <w:tcW w:w="0" w:type="auto"/>
            <w:tcBorders>
              <w:top w:val="nil"/>
              <w:left w:val="nil"/>
              <w:bottom w:val="double" w:sz="6" w:space="0" w:color="auto"/>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2. otrok</w:t>
            </w:r>
          </w:p>
        </w:tc>
        <w:tc>
          <w:tcPr>
            <w:tcW w:w="0" w:type="auto"/>
            <w:tcBorders>
              <w:top w:val="nil"/>
              <w:left w:val="nil"/>
              <w:bottom w:val="double" w:sz="6" w:space="0" w:color="auto"/>
              <w:right w:val="double" w:sz="6" w:space="0" w:color="auto"/>
            </w:tcBorders>
            <w:vAlign w:val="bottom"/>
            <w:hideMark/>
          </w:tcPr>
          <w:p w:rsidR="00DC71E4" w:rsidRDefault="00DC71E4">
            <w:pPr>
              <w:spacing w:line="276" w:lineRule="auto"/>
              <w:jc w:val="left"/>
              <w:rPr>
                <w:rFonts w:cs="Arial"/>
                <w:sz w:val="20"/>
                <w:szCs w:val="20"/>
                <w:lang w:eastAsia="sl-SI"/>
              </w:rPr>
            </w:pPr>
            <w:r>
              <w:rPr>
                <w:rFonts w:cs="Arial"/>
                <w:sz w:val="20"/>
                <w:szCs w:val="20"/>
                <w:lang w:eastAsia="sl-SI"/>
              </w:rPr>
              <w:t>3. in naslednji otrok</w:t>
            </w:r>
          </w:p>
        </w:tc>
        <w:tc>
          <w:tcPr>
            <w:tcW w:w="0" w:type="auto"/>
            <w:tcBorders>
              <w:top w:val="nil"/>
              <w:left w:val="nil"/>
              <w:bottom w:val="double" w:sz="6" w:space="0" w:color="auto"/>
              <w:right w:val="double" w:sz="6" w:space="0" w:color="auto"/>
            </w:tcBorders>
            <w:vAlign w:val="bottom"/>
            <w:hideMark/>
          </w:tcPr>
          <w:p w:rsidR="00DC71E4" w:rsidRDefault="00DC71E4">
            <w:pPr>
              <w:spacing w:line="276" w:lineRule="auto"/>
              <w:jc w:val="left"/>
              <w:rPr>
                <w:rFonts w:cs="Arial"/>
                <w:sz w:val="20"/>
                <w:szCs w:val="20"/>
                <w:lang w:eastAsia="sl-SI"/>
              </w:rPr>
            </w:pPr>
            <w:r>
              <w:rPr>
                <w:rFonts w:cs="Arial"/>
                <w:sz w:val="20"/>
                <w:szCs w:val="20"/>
                <w:lang w:eastAsia="sl-SI"/>
              </w:rPr>
              <w:t>1. otrok</w:t>
            </w:r>
          </w:p>
        </w:tc>
        <w:tc>
          <w:tcPr>
            <w:tcW w:w="0" w:type="auto"/>
            <w:tcBorders>
              <w:top w:val="nil"/>
              <w:left w:val="nil"/>
              <w:bottom w:val="double" w:sz="6" w:space="0" w:color="auto"/>
              <w:right w:val="double" w:sz="6" w:space="0" w:color="auto"/>
            </w:tcBorders>
            <w:vAlign w:val="bottom"/>
            <w:hideMark/>
          </w:tcPr>
          <w:p w:rsidR="00DC71E4" w:rsidRDefault="00DC71E4">
            <w:pPr>
              <w:spacing w:line="276" w:lineRule="auto"/>
              <w:jc w:val="left"/>
              <w:rPr>
                <w:rFonts w:cs="Arial"/>
                <w:sz w:val="20"/>
                <w:szCs w:val="20"/>
                <w:lang w:eastAsia="sl-SI"/>
              </w:rPr>
            </w:pPr>
            <w:r>
              <w:rPr>
                <w:rFonts w:cs="Arial"/>
                <w:sz w:val="20"/>
                <w:szCs w:val="20"/>
                <w:lang w:eastAsia="sl-SI"/>
              </w:rPr>
              <w:t>2. otrok</w:t>
            </w:r>
          </w:p>
        </w:tc>
        <w:tc>
          <w:tcPr>
            <w:tcW w:w="0" w:type="auto"/>
            <w:tcBorders>
              <w:top w:val="nil"/>
              <w:left w:val="nil"/>
              <w:bottom w:val="double" w:sz="6" w:space="0" w:color="auto"/>
              <w:right w:val="double" w:sz="6" w:space="0" w:color="auto"/>
            </w:tcBorders>
            <w:vAlign w:val="bottom"/>
            <w:hideMark/>
          </w:tcPr>
          <w:p w:rsidR="00DC71E4" w:rsidRDefault="00DC71E4">
            <w:pPr>
              <w:spacing w:line="276" w:lineRule="auto"/>
              <w:jc w:val="left"/>
              <w:rPr>
                <w:rFonts w:cs="Arial"/>
                <w:sz w:val="20"/>
                <w:szCs w:val="20"/>
                <w:lang w:eastAsia="sl-SI"/>
              </w:rPr>
            </w:pPr>
            <w:r>
              <w:rPr>
                <w:rFonts w:cs="Arial"/>
                <w:sz w:val="20"/>
                <w:szCs w:val="20"/>
                <w:lang w:eastAsia="sl-SI"/>
              </w:rPr>
              <w:t>3. in naslednji otrok</w:t>
            </w:r>
          </w:p>
        </w:tc>
      </w:tr>
      <w:tr w:rsidR="00DC71E4" w:rsidTr="00DC71E4">
        <w:trPr>
          <w:trHeight w:val="270"/>
        </w:trPr>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1</w:t>
            </w:r>
          </w:p>
        </w:tc>
        <w:tc>
          <w:tcPr>
            <w:tcW w:w="0" w:type="auto"/>
            <w:tcBorders>
              <w:top w:val="nil"/>
              <w:left w:val="nil"/>
              <w:bottom w:val="nil"/>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do 18 %</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114,31</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125,73</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137,18</w:t>
            </w:r>
          </w:p>
        </w:tc>
        <w:tc>
          <w:tcPr>
            <w:tcW w:w="0" w:type="auto"/>
            <w:vMerge w:val="restart"/>
            <w:tcBorders>
              <w:top w:val="double" w:sz="6" w:space="0" w:color="auto"/>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114,31</w:t>
            </w:r>
          </w:p>
        </w:tc>
        <w:tc>
          <w:tcPr>
            <w:tcW w:w="0" w:type="auto"/>
            <w:vMerge w:val="restart"/>
            <w:tcBorders>
              <w:top w:val="double" w:sz="6" w:space="0" w:color="auto"/>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125,73</w:t>
            </w:r>
          </w:p>
        </w:tc>
        <w:tc>
          <w:tcPr>
            <w:tcW w:w="0" w:type="auto"/>
            <w:vMerge w:val="restart"/>
            <w:tcBorders>
              <w:top w:val="double" w:sz="6" w:space="0" w:color="auto"/>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137,18</w:t>
            </w:r>
          </w:p>
        </w:tc>
      </w:tr>
      <w:tr w:rsidR="00DC71E4" w:rsidTr="00DC71E4">
        <w:trPr>
          <w:trHeight w:val="108"/>
        </w:trPr>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bottom"/>
          </w:tcPr>
          <w:p w:rsidR="00DC71E4" w:rsidRDefault="00DC71E4">
            <w:pPr>
              <w:spacing w:line="276" w:lineRule="auto"/>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r>
      <w:tr w:rsidR="00DC71E4" w:rsidTr="00DC71E4">
        <w:trPr>
          <w:trHeight w:val="525"/>
        </w:trPr>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2</w:t>
            </w:r>
          </w:p>
        </w:tc>
        <w:tc>
          <w:tcPr>
            <w:tcW w:w="0" w:type="auto"/>
            <w:tcBorders>
              <w:top w:val="nil"/>
              <w:left w:val="nil"/>
              <w:bottom w:val="nil"/>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nad 18 % do 30 %</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97,73</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108,04</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118,28</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97,73</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108,04</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118,28</w:t>
            </w:r>
          </w:p>
        </w:tc>
      </w:tr>
      <w:tr w:rsidR="00DC71E4" w:rsidTr="00DC71E4">
        <w:trPr>
          <w:trHeight w:val="29"/>
        </w:trPr>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bottom"/>
          </w:tcPr>
          <w:p w:rsidR="00DC71E4" w:rsidRDefault="00DC71E4">
            <w:pPr>
              <w:spacing w:line="276" w:lineRule="auto"/>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r>
      <w:tr w:rsidR="00DC71E4" w:rsidTr="00DC71E4">
        <w:trPr>
          <w:trHeight w:val="525"/>
        </w:trPr>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3</w:t>
            </w:r>
          </w:p>
        </w:tc>
        <w:tc>
          <w:tcPr>
            <w:tcW w:w="0" w:type="auto"/>
            <w:tcBorders>
              <w:top w:val="nil"/>
              <w:left w:val="nil"/>
              <w:bottom w:val="nil"/>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nad 30 % do 36 %</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74,48</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83,25</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91,98</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74,48</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83,25</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91,98</w:t>
            </w:r>
          </w:p>
        </w:tc>
      </w:tr>
      <w:tr w:rsidR="00DC71E4" w:rsidTr="000577B9">
        <w:trPr>
          <w:trHeight w:val="29"/>
        </w:trPr>
        <w:tc>
          <w:tcPr>
            <w:tcW w:w="0" w:type="auto"/>
            <w:vMerge/>
            <w:tcBorders>
              <w:top w:val="nil"/>
              <w:left w:val="double" w:sz="6" w:space="0" w:color="auto"/>
              <w:bottom w:val="single" w:sz="4" w:space="0" w:color="auto"/>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tcBorders>
              <w:top w:val="nil"/>
              <w:left w:val="nil"/>
              <w:bottom w:val="single" w:sz="4" w:space="0" w:color="auto"/>
              <w:right w:val="double" w:sz="6" w:space="0" w:color="auto"/>
            </w:tcBorders>
            <w:vAlign w:val="bottom"/>
          </w:tcPr>
          <w:p w:rsidR="00DC71E4" w:rsidRDefault="00DC71E4">
            <w:pPr>
              <w:spacing w:line="276" w:lineRule="auto"/>
              <w:rPr>
                <w:rFonts w:cs="Arial"/>
                <w:bCs/>
                <w:sz w:val="20"/>
                <w:szCs w:val="20"/>
                <w:lang w:eastAsia="sl-SI"/>
              </w:rPr>
            </w:pPr>
          </w:p>
        </w:tc>
        <w:tc>
          <w:tcPr>
            <w:tcW w:w="0" w:type="auto"/>
            <w:vMerge/>
            <w:tcBorders>
              <w:top w:val="nil"/>
              <w:left w:val="double" w:sz="6" w:space="0" w:color="auto"/>
              <w:bottom w:val="single" w:sz="4" w:space="0" w:color="auto"/>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single" w:sz="4" w:space="0" w:color="auto"/>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single" w:sz="4" w:space="0" w:color="auto"/>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r>
      <w:tr w:rsidR="00DC71E4" w:rsidTr="000577B9">
        <w:trPr>
          <w:trHeight w:val="525"/>
        </w:trPr>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4</w:t>
            </w:r>
          </w:p>
        </w:tc>
        <w:tc>
          <w:tcPr>
            <w:tcW w:w="0" w:type="auto"/>
            <w:tcBorders>
              <w:top w:val="single" w:sz="4" w:space="0" w:color="auto"/>
              <w:left w:val="nil"/>
              <w:bottom w:val="nil"/>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nad 36 % do 42 %</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58,75</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67,03</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75,47</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58,75</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67,03</w:t>
            </w:r>
          </w:p>
        </w:tc>
        <w:tc>
          <w:tcPr>
            <w:tcW w:w="0" w:type="auto"/>
            <w:vMerge w:val="restart"/>
            <w:tcBorders>
              <w:top w:val="double" w:sz="6" w:space="0" w:color="000000"/>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75,47</w:t>
            </w:r>
          </w:p>
        </w:tc>
      </w:tr>
      <w:tr w:rsidR="00DC71E4" w:rsidTr="00AB06D6">
        <w:trPr>
          <w:trHeight w:val="281"/>
        </w:trPr>
        <w:tc>
          <w:tcPr>
            <w:tcW w:w="0" w:type="auto"/>
            <w:vMerge/>
            <w:tcBorders>
              <w:top w:val="nil"/>
              <w:left w:val="double" w:sz="6" w:space="0" w:color="auto"/>
              <w:bottom w:val="single" w:sz="4" w:space="0" w:color="auto"/>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tcBorders>
              <w:top w:val="nil"/>
              <w:left w:val="nil"/>
              <w:bottom w:val="single" w:sz="4" w:space="0" w:color="auto"/>
              <w:right w:val="double" w:sz="6" w:space="0" w:color="auto"/>
            </w:tcBorders>
            <w:vAlign w:val="bottom"/>
          </w:tcPr>
          <w:p w:rsidR="00DC71E4" w:rsidRDefault="00DC71E4">
            <w:pPr>
              <w:spacing w:line="276" w:lineRule="auto"/>
              <w:rPr>
                <w:rFonts w:cs="Arial"/>
                <w:bCs/>
                <w:sz w:val="20"/>
                <w:szCs w:val="20"/>
                <w:lang w:eastAsia="sl-SI"/>
              </w:rPr>
            </w:pPr>
          </w:p>
        </w:tc>
        <w:tc>
          <w:tcPr>
            <w:tcW w:w="0" w:type="auto"/>
            <w:vMerge/>
            <w:tcBorders>
              <w:top w:val="nil"/>
              <w:left w:val="double" w:sz="6" w:space="0" w:color="auto"/>
              <w:bottom w:val="single" w:sz="4" w:space="0" w:color="auto"/>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single" w:sz="4" w:space="0" w:color="auto"/>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single" w:sz="4" w:space="0" w:color="auto"/>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single" w:sz="4" w:space="0" w:color="auto"/>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single" w:sz="4" w:space="0" w:color="auto"/>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single" w:sz="4" w:space="0" w:color="auto"/>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r>
      <w:tr w:rsidR="00DC71E4" w:rsidTr="00AB06D6">
        <w:trPr>
          <w:trHeight w:val="525"/>
        </w:trPr>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lastRenderedPageBreak/>
              <w:t>5</w:t>
            </w:r>
          </w:p>
        </w:tc>
        <w:tc>
          <w:tcPr>
            <w:tcW w:w="0" w:type="auto"/>
            <w:tcBorders>
              <w:top w:val="single" w:sz="4" w:space="0" w:color="auto"/>
              <w:left w:val="nil"/>
              <w:bottom w:val="nil"/>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nad 42 % do 53 %</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43,24</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50,45</w:t>
            </w:r>
          </w:p>
        </w:tc>
        <w:tc>
          <w:tcPr>
            <w:tcW w:w="0" w:type="auto"/>
            <w:vMerge w:val="restart"/>
            <w:tcBorders>
              <w:top w:val="single" w:sz="4" w:space="0" w:color="auto"/>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57,63</w:t>
            </w:r>
          </w:p>
        </w:tc>
        <w:tc>
          <w:tcPr>
            <w:tcW w:w="0" w:type="auto"/>
            <w:vMerge w:val="restart"/>
            <w:tcBorders>
              <w:top w:val="single" w:sz="4" w:space="0" w:color="auto"/>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43,24</w:t>
            </w:r>
          </w:p>
        </w:tc>
        <w:tc>
          <w:tcPr>
            <w:tcW w:w="0" w:type="auto"/>
            <w:vMerge w:val="restart"/>
            <w:tcBorders>
              <w:top w:val="single" w:sz="4" w:space="0" w:color="auto"/>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50,45</w:t>
            </w:r>
          </w:p>
        </w:tc>
        <w:tc>
          <w:tcPr>
            <w:tcW w:w="0" w:type="auto"/>
            <w:vMerge w:val="restart"/>
            <w:tcBorders>
              <w:top w:val="single" w:sz="4" w:space="0" w:color="auto"/>
              <w:left w:val="double" w:sz="6" w:space="0" w:color="auto"/>
              <w:bottom w:val="double" w:sz="6" w:space="0" w:color="000000"/>
              <w:right w:val="double" w:sz="6" w:space="0" w:color="auto"/>
            </w:tcBorders>
            <w:shd w:val="clear" w:color="auto" w:fill="auto"/>
            <w:vAlign w:val="bottom"/>
            <w:hideMark/>
          </w:tcPr>
          <w:p w:rsidR="00DC71E4" w:rsidRDefault="00DC71E4">
            <w:pPr>
              <w:spacing w:line="276" w:lineRule="auto"/>
              <w:rPr>
                <w:rFonts w:cs="Arial"/>
                <w:sz w:val="20"/>
                <w:szCs w:val="20"/>
                <w:lang w:eastAsia="sl-SI"/>
              </w:rPr>
            </w:pPr>
            <w:r>
              <w:rPr>
                <w:rFonts w:cs="Arial"/>
                <w:sz w:val="20"/>
                <w:szCs w:val="20"/>
                <w:lang w:eastAsia="sl-SI"/>
              </w:rPr>
              <w:t>57,63</w:t>
            </w:r>
          </w:p>
        </w:tc>
      </w:tr>
      <w:tr w:rsidR="00DC71E4" w:rsidTr="00DC71E4">
        <w:trPr>
          <w:trHeight w:val="29"/>
        </w:trPr>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bottom"/>
          </w:tcPr>
          <w:p w:rsidR="00DC71E4" w:rsidRDefault="00DC71E4">
            <w:pPr>
              <w:spacing w:line="276" w:lineRule="auto"/>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c>
          <w:tcPr>
            <w:tcW w:w="0" w:type="auto"/>
            <w:vMerge/>
            <w:tcBorders>
              <w:top w:val="double" w:sz="6" w:space="0" w:color="000000"/>
              <w:left w:val="double" w:sz="6" w:space="0" w:color="auto"/>
              <w:bottom w:val="double" w:sz="6" w:space="0" w:color="000000"/>
              <w:right w:val="double" w:sz="6" w:space="0" w:color="auto"/>
            </w:tcBorders>
            <w:shd w:val="clear" w:color="auto" w:fill="auto"/>
            <w:vAlign w:val="center"/>
            <w:hideMark/>
          </w:tcPr>
          <w:p w:rsidR="00DC71E4" w:rsidRDefault="00DC71E4">
            <w:pPr>
              <w:spacing w:line="240" w:lineRule="auto"/>
              <w:jc w:val="left"/>
              <w:rPr>
                <w:rFonts w:cs="Arial"/>
                <w:sz w:val="20"/>
                <w:szCs w:val="20"/>
                <w:lang w:eastAsia="sl-SI"/>
              </w:rPr>
            </w:pPr>
          </w:p>
        </w:tc>
      </w:tr>
      <w:tr w:rsidR="00DC71E4" w:rsidTr="00DC71E4">
        <w:trPr>
          <w:trHeight w:val="525"/>
        </w:trPr>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6</w:t>
            </w:r>
          </w:p>
        </w:tc>
        <w:tc>
          <w:tcPr>
            <w:tcW w:w="0" w:type="auto"/>
            <w:tcBorders>
              <w:top w:val="nil"/>
              <w:left w:val="nil"/>
              <w:bottom w:val="nil"/>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nad 53 % do 64 %</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27,40</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34,29</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41,14</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39,10</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45,99</w:t>
            </w:r>
          </w:p>
        </w:tc>
        <w:tc>
          <w:tcPr>
            <w:tcW w:w="0" w:type="auto"/>
            <w:vMerge w:val="restart"/>
            <w:tcBorders>
              <w:top w:val="nil"/>
              <w:left w:val="double" w:sz="6" w:space="0" w:color="auto"/>
              <w:bottom w:val="double" w:sz="6" w:space="0" w:color="000000"/>
              <w:right w:val="double" w:sz="6" w:space="0" w:color="auto"/>
            </w:tcBorders>
            <w:vAlign w:val="bottom"/>
            <w:hideMark/>
          </w:tcPr>
          <w:p w:rsidR="00DC71E4" w:rsidRDefault="00DC71E4">
            <w:pPr>
              <w:spacing w:line="276" w:lineRule="auto"/>
              <w:rPr>
                <w:rFonts w:cs="Arial"/>
                <w:sz w:val="20"/>
                <w:szCs w:val="20"/>
                <w:lang w:eastAsia="sl-SI"/>
              </w:rPr>
            </w:pPr>
            <w:r>
              <w:rPr>
                <w:rFonts w:cs="Arial"/>
                <w:sz w:val="20"/>
                <w:szCs w:val="20"/>
                <w:lang w:eastAsia="sl-SI"/>
              </w:rPr>
              <w:t>64,05</w:t>
            </w:r>
          </w:p>
        </w:tc>
      </w:tr>
      <w:tr w:rsidR="00DC71E4" w:rsidTr="00DC71E4">
        <w:trPr>
          <w:trHeight w:val="29"/>
        </w:trPr>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tcBorders>
              <w:top w:val="nil"/>
              <w:left w:val="nil"/>
              <w:bottom w:val="double" w:sz="6" w:space="0" w:color="auto"/>
              <w:right w:val="double" w:sz="6" w:space="0" w:color="auto"/>
            </w:tcBorders>
            <w:vAlign w:val="bottom"/>
          </w:tcPr>
          <w:p w:rsidR="00DC71E4" w:rsidRDefault="00DC71E4">
            <w:pPr>
              <w:spacing w:line="276" w:lineRule="auto"/>
              <w:rPr>
                <w:rFonts w:cs="Arial"/>
                <w:bCs/>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c>
          <w:tcPr>
            <w:tcW w:w="0" w:type="auto"/>
            <w:vMerge/>
            <w:tcBorders>
              <w:top w:val="nil"/>
              <w:left w:val="double" w:sz="6" w:space="0" w:color="auto"/>
              <w:bottom w:val="double" w:sz="6" w:space="0" w:color="000000"/>
              <w:right w:val="double" w:sz="6" w:space="0" w:color="auto"/>
            </w:tcBorders>
            <w:vAlign w:val="center"/>
            <w:hideMark/>
          </w:tcPr>
          <w:p w:rsidR="00DC71E4" w:rsidRDefault="00DC71E4">
            <w:pPr>
              <w:spacing w:line="240" w:lineRule="auto"/>
              <w:jc w:val="left"/>
              <w:rPr>
                <w:rFonts w:cs="Arial"/>
                <w:sz w:val="20"/>
                <w:szCs w:val="20"/>
                <w:lang w:eastAsia="sl-SI"/>
              </w:rPr>
            </w:pPr>
          </w:p>
        </w:tc>
      </w:tr>
    </w:tbl>
    <w:p w:rsidR="00DC71E4" w:rsidRDefault="00DC71E4" w:rsidP="00263FCA">
      <w:pPr>
        <w:tabs>
          <w:tab w:val="left" w:pos="567"/>
          <w:tab w:val="left" w:pos="993"/>
        </w:tabs>
        <w:rPr>
          <w:rFonts w:cs="Arial"/>
          <w:szCs w:val="22"/>
        </w:rPr>
      </w:pPr>
    </w:p>
    <w:p w:rsidR="00DC71E4" w:rsidRDefault="00DC71E4" w:rsidP="00263FCA">
      <w:pPr>
        <w:tabs>
          <w:tab w:val="left" w:pos="567"/>
          <w:tab w:val="left" w:pos="993"/>
        </w:tabs>
        <w:rPr>
          <w:rFonts w:cs="Arial"/>
          <w:szCs w:val="22"/>
        </w:rPr>
      </w:pPr>
    </w:p>
    <w:p w:rsidR="005C6B2D" w:rsidRDefault="005C6B2D" w:rsidP="005C6B2D">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(2) Ne glede na 23. člen zakona so v obdobju do vključno leta, ki sledi letu, v katerem gospodarska rast preseže 2,5 odstotka bruto proizvoda, do državne štipendije upravičeni državljani Republike Slovenije, ki izpolnjujejo pogoje po tem zakonu in po zakonu, ki ureja štipendiranje, in pri katerih povprečni mesečni dohodek na osebo v preteklem letu pred vložitvijo vloge ne presega 53 % neto povprečne plače na osebo v istem obdobju.</w:t>
      </w:r>
    </w:p>
    <w:p w:rsidR="005C6B2D" w:rsidRPr="00263FCA" w:rsidRDefault="005C6B2D"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C6B2D">
        <w:rPr>
          <w:rFonts w:cs="Arial"/>
          <w:szCs w:val="22"/>
        </w:rPr>
        <w:t xml:space="preserve">(3) </w:t>
      </w:r>
      <w:r w:rsidR="00263FCA" w:rsidRPr="00263FCA">
        <w:rPr>
          <w:rFonts w:cs="Arial"/>
          <w:szCs w:val="22"/>
        </w:rPr>
        <w:t xml:space="preserve">Gospodarsko rast v skladu </w:t>
      </w:r>
      <w:r w:rsidR="005C6B2D">
        <w:rPr>
          <w:rFonts w:cs="Arial"/>
          <w:szCs w:val="22"/>
        </w:rPr>
        <w:t>prvim</w:t>
      </w:r>
      <w:r w:rsidR="00263FCA" w:rsidRPr="00263FCA">
        <w:rPr>
          <w:rFonts w:cs="Arial"/>
          <w:szCs w:val="22"/>
        </w:rPr>
        <w:t xml:space="preserve"> </w:t>
      </w:r>
      <w:r w:rsidR="005C6B2D">
        <w:rPr>
          <w:rFonts w:cs="Arial"/>
          <w:szCs w:val="22"/>
        </w:rPr>
        <w:t xml:space="preserve">in drugim </w:t>
      </w:r>
      <w:r w:rsidR="00263FCA" w:rsidRPr="00263FCA">
        <w:rPr>
          <w:rFonts w:cs="Arial"/>
          <w:szCs w:val="22"/>
        </w:rPr>
        <w:t xml:space="preserve">odstavkom </w:t>
      </w:r>
      <w:r w:rsidR="005C6B2D">
        <w:rPr>
          <w:rFonts w:cs="Arial"/>
          <w:szCs w:val="22"/>
        </w:rPr>
        <w:t xml:space="preserve">tega člena </w:t>
      </w:r>
      <w:r w:rsidR="00263FCA" w:rsidRPr="00263FCA">
        <w:rPr>
          <w:rFonts w:cs="Arial"/>
          <w:szCs w:val="22"/>
        </w:rPr>
        <w:t>ugotovi Statistični urad Republike Slovenije. Sklep o ugotovitvi, da je gospodarska rast presegla 2 odstotka bruto domačega proizvoda, Vlada Republike Slovenije objavi v Uradnem listu Republike Slovenije do 30. septembra leta, v katerem gospodarska rast preseže 2 odstotka bruto domačega proizvoda.</w:t>
      </w:r>
    </w:p>
    <w:p w:rsidR="00263FCA" w:rsidRPr="00263FCA" w:rsidRDefault="00263FCA" w:rsidP="00263FCA">
      <w:pPr>
        <w:tabs>
          <w:tab w:val="left" w:pos="567"/>
          <w:tab w:val="left" w:pos="993"/>
        </w:tabs>
        <w:rPr>
          <w:rFonts w:cs="Arial"/>
          <w:szCs w:val="22"/>
        </w:rPr>
      </w:pPr>
    </w:p>
    <w:p w:rsidR="00DC71E4" w:rsidRDefault="00DC71E4"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26.</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Postopki uveljavljanja pravic iz javnih sredstev, začeti v mesecu pred začetkom uporabe tega zakona, se dokončajo po tem zakonu.</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27.</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Določba četrtega odstavka spremenjenega 30. člena zakona se v delu, v katerem je določeno, da osebe iz prvega in drugega odstavka 30. člena zakona v obvezno zdravstveno zavarovanje prijavi in odjavi Zavod za zdravstveno zavarovanje Slovenije, začne uporabljati 1. aprila 2014. Do takrat te osebe v obvezno zdravstveno zavarovanje prijavi in odjavi center za socialno delo.</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28.</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C6B2D">
        <w:rPr>
          <w:rFonts w:cs="Arial"/>
          <w:szCs w:val="22"/>
        </w:rPr>
        <w:t xml:space="preserve">(1) </w:t>
      </w:r>
      <w:r w:rsidR="00263FCA" w:rsidRPr="00263FCA">
        <w:rPr>
          <w:rFonts w:cs="Arial"/>
          <w:szCs w:val="22"/>
        </w:rPr>
        <w:t>V primeru prvega odločanja po tem zakonu se po uradni dolžnosti preverijo tudi druge pravice, do katerih so upravičenec ali osebe, ki se upoštevajo pri ugotavljanju njegovega materialnega položaja, upravičeni na podlagi drugih odločb. Če center za socialno delo ugotovi, da bi bilo treba katero od teh odločb odpraviti ali o njej na novo odločiti, po uradni dolžnosti na novo odloči o vseh pravicah z dnem priznanja tiste pravice iz javnih sredstev, katere uveljavitev je vzrok za postopek odločanja tudi o drugih pravicah.</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C6B2D">
        <w:rPr>
          <w:rFonts w:cs="Arial"/>
          <w:szCs w:val="22"/>
        </w:rPr>
        <w:t xml:space="preserve">(2) </w:t>
      </w:r>
      <w:r w:rsidR="00263FCA" w:rsidRPr="00263FCA">
        <w:rPr>
          <w:rFonts w:cs="Arial"/>
          <w:szCs w:val="22"/>
        </w:rPr>
        <w:t>Centri za socialno delo po uradni dolžnosti do 28. februarja 2015 na novo odločijo o oprostitvah plačil socialnovarstvenih storitev in prispevkih k plačilu pravic družinskega pomočnika.</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C6B2D">
        <w:rPr>
          <w:rFonts w:cs="Arial"/>
          <w:szCs w:val="22"/>
        </w:rPr>
        <w:t xml:space="preserve">(3) </w:t>
      </w:r>
      <w:r w:rsidR="00263FCA" w:rsidRPr="00263FCA">
        <w:rPr>
          <w:rFonts w:cs="Arial"/>
          <w:szCs w:val="22"/>
        </w:rPr>
        <w:t xml:space="preserve">Upravičenec, ki ima odločbo o priznanju pravice do denarne socialne pomoči ali varstvenega dodatka, lahko ne glede na obdobje veljavnosti te odločbe pred </w:t>
      </w:r>
      <w:r w:rsidR="00263FCA" w:rsidRPr="00263FCA">
        <w:rPr>
          <w:rFonts w:cs="Arial"/>
          <w:szCs w:val="22"/>
        </w:rPr>
        <w:lastRenderedPageBreak/>
        <w:t>potekom obdobja, za katerega mu je bila pravica priznana, v roku od 1. septembra do 31. oktobra 2014 uveljavlja odmero teh pravic po tem zakonu.</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C6B2D">
        <w:rPr>
          <w:rFonts w:cs="Arial"/>
          <w:szCs w:val="22"/>
        </w:rPr>
        <w:t xml:space="preserve">(4) </w:t>
      </w:r>
      <w:r w:rsidR="00263FCA" w:rsidRPr="00263FCA">
        <w:rPr>
          <w:rFonts w:cs="Arial"/>
          <w:szCs w:val="22"/>
        </w:rPr>
        <w:t>Za potrebe odločanja po prejšnjem odstavku se kot dan vložitve vloge šteje 31. avgust 2014.</w:t>
      </w:r>
    </w:p>
    <w:p w:rsidR="00263FCA" w:rsidRPr="00263FCA" w:rsidRDefault="00263FCA" w:rsidP="00263FCA">
      <w:pPr>
        <w:tabs>
          <w:tab w:val="left" w:pos="567"/>
          <w:tab w:val="left" w:pos="993"/>
        </w:tabs>
        <w:rPr>
          <w:rFonts w:cs="Arial"/>
          <w:szCs w:val="22"/>
        </w:rPr>
      </w:pPr>
    </w:p>
    <w:p w:rsidR="00DC71E4" w:rsidRDefault="00DC71E4"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29.</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V Zakonu o zdravstvenem varstvu in zdravstvenem zavarovanju (Uradni list RS, št. 72/06 </w:t>
      </w:r>
      <w:r>
        <w:rPr>
          <w:rFonts w:cs="Arial"/>
          <w:szCs w:val="22"/>
        </w:rPr>
        <w:t>–</w:t>
      </w:r>
      <w:r w:rsidR="00263FCA" w:rsidRPr="00263FCA">
        <w:rPr>
          <w:rFonts w:cs="Arial"/>
          <w:szCs w:val="22"/>
        </w:rPr>
        <w:t xml:space="preserve"> uradno prečiščeno besedilo, 114/06</w:t>
      </w:r>
      <w:r>
        <w:rPr>
          <w:rFonts w:cs="Arial"/>
          <w:szCs w:val="22"/>
        </w:rPr>
        <w:t xml:space="preserve"> – </w:t>
      </w:r>
      <w:r w:rsidR="00263FCA" w:rsidRPr="00263FCA">
        <w:rPr>
          <w:rFonts w:cs="Arial"/>
          <w:szCs w:val="22"/>
        </w:rPr>
        <w:t>ZUTPG, 91/07, 76/08, 62/10</w:t>
      </w:r>
      <w:r>
        <w:rPr>
          <w:rFonts w:cs="Arial"/>
          <w:szCs w:val="22"/>
        </w:rPr>
        <w:t xml:space="preserve"> – </w:t>
      </w:r>
      <w:proofErr w:type="spellStart"/>
      <w:r w:rsidR="00263FCA" w:rsidRPr="00263FCA">
        <w:rPr>
          <w:rFonts w:cs="Arial"/>
          <w:szCs w:val="22"/>
        </w:rPr>
        <w:t>ZUPJS</w:t>
      </w:r>
      <w:proofErr w:type="spellEnd"/>
      <w:r w:rsidR="00263FCA" w:rsidRPr="00263FCA">
        <w:rPr>
          <w:rFonts w:cs="Arial"/>
          <w:szCs w:val="22"/>
        </w:rPr>
        <w:t>, 87/11, 40/12</w:t>
      </w:r>
      <w:r>
        <w:rPr>
          <w:rFonts w:cs="Arial"/>
          <w:szCs w:val="22"/>
        </w:rPr>
        <w:t xml:space="preserve"> – </w:t>
      </w:r>
      <w:proofErr w:type="spellStart"/>
      <w:r w:rsidR="00263FCA" w:rsidRPr="00263FCA">
        <w:rPr>
          <w:rFonts w:cs="Arial"/>
          <w:szCs w:val="22"/>
        </w:rPr>
        <w:t>ZUJF</w:t>
      </w:r>
      <w:proofErr w:type="spellEnd"/>
      <w:r w:rsidR="00263FCA" w:rsidRPr="00263FCA">
        <w:rPr>
          <w:rFonts w:cs="Arial"/>
          <w:szCs w:val="22"/>
        </w:rPr>
        <w:t>, 21/13</w:t>
      </w:r>
      <w:r>
        <w:rPr>
          <w:rFonts w:cs="Arial"/>
          <w:szCs w:val="22"/>
        </w:rPr>
        <w:t xml:space="preserve"> – </w:t>
      </w:r>
      <w:proofErr w:type="spellStart"/>
      <w:r w:rsidR="00263FCA" w:rsidRPr="00263FCA">
        <w:rPr>
          <w:rFonts w:cs="Arial"/>
          <w:szCs w:val="22"/>
        </w:rPr>
        <w:t>ZUTD</w:t>
      </w:r>
      <w:proofErr w:type="spellEnd"/>
      <w:r w:rsidR="00263FCA" w:rsidRPr="00263FCA">
        <w:rPr>
          <w:rFonts w:cs="Arial"/>
          <w:szCs w:val="22"/>
        </w:rPr>
        <w:t>-A</w:t>
      </w:r>
      <w:r w:rsidR="005C6B2D">
        <w:rPr>
          <w:rFonts w:cs="Arial"/>
          <w:szCs w:val="22"/>
        </w:rPr>
        <w:t xml:space="preserve">, </w:t>
      </w:r>
      <w:r w:rsidR="00263FCA" w:rsidRPr="00263FCA">
        <w:rPr>
          <w:rFonts w:cs="Arial"/>
          <w:szCs w:val="22"/>
        </w:rPr>
        <w:t xml:space="preserve">63/13 – </w:t>
      </w:r>
      <w:proofErr w:type="spellStart"/>
      <w:r w:rsidR="00263FCA" w:rsidRPr="00263FCA">
        <w:rPr>
          <w:rFonts w:cs="Arial"/>
          <w:szCs w:val="22"/>
        </w:rPr>
        <w:t>ZIUPTDSV</w:t>
      </w:r>
      <w:proofErr w:type="spellEnd"/>
      <w:r w:rsidR="005C6B2D">
        <w:rPr>
          <w:rFonts w:cs="Arial"/>
          <w:szCs w:val="22"/>
        </w:rPr>
        <w:t xml:space="preserve"> in 91/13</w:t>
      </w:r>
      <w:r w:rsidR="00263FCA" w:rsidRPr="00263FCA">
        <w:rPr>
          <w:rFonts w:cs="Arial"/>
          <w:szCs w:val="22"/>
        </w:rPr>
        <w:t>) se v 24. členu:</w:t>
      </w:r>
    </w:p>
    <w:p w:rsidR="00263FCA" w:rsidRPr="00DC71E4" w:rsidRDefault="00263FCA" w:rsidP="00DC71E4">
      <w:pPr>
        <w:pStyle w:val="Odstavekseznama"/>
        <w:numPr>
          <w:ilvl w:val="0"/>
          <w:numId w:val="21"/>
        </w:numPr>
        <w:tabs>
          <w:tab w:val="left" w:pos="567"/>
          <w:tab w:val="left" w:pos="993"/>
        </w:tabs>
        <w:rPr>
          <w:rFonts w:cs="Arial"/>
          <w:szCs w:val="22"/>
        </w:rPr>
      </w:pPr>
      <w:r w:rsidRPr="00DC71E4">
        <w:rPr>
          <w:rFonts w:cs="Arial"/>
          <w:szCs w:val="22"/>
        </w:rPr>
        <w:t>tretji odstavek spremeni tako, da se glasi:</w:t>
      </w:r>
    </w:p>
    <w:p w:rsidR="00263FCA" w:rsidRPr="00263FCA" w:rsidRDefault="00DC71E4" w:rsidP="00DC71E4">
      <w:pPr>
        <w:tabs>
          <w:tab w:val="left" w:pos="567"/>
          <w:tab w:val="left" w:pos="993"/>
        </w:tabs>
        <w:ind w:left="360"/>
        <w:rPr>
          <w:rFonts w:cs="Arial"/>
          <w:szCs w:val="22"/>
        </w:rPr>
      </w:pPr>
      <w:r>
        <w:rPr>
          <w:rFonts w:cs="Arial"/>
          <w:szCs w:val="22"/>
        </w:rPr>
        <w:t>»</w:t>
      </w:r>
      <w:r w:rsidR="00263FCA" w:rsidRPr="00263FCA">
        <w:rPr>
          <w:rFonts w:cs="Arial"/>
          <w:szCs w:val="22"/>
        </w:rPr>
        <w:t>Republika Slovenija zagotavlja iz proračunskih sredstev razliko do polne vrednosti zdravstvenih storitev iz 2. do 6. točke prvega odstavka 23. člena tega zakona za zavarovance iz prvega odstavka 15. člena tega zakona in po njih zavarovane družinske člane, če jim je priznana pravica do kritja razlike do polne vrednosti zdravstvenih storitev po zakonu, ki ureja uveljavljanje pravic iz javnih sredstev, pod pogojem, da navedenih pravic nimajo zagotovljenih v celoti iz obveznega zdravstvenega zavarovanja ali drugega naslova. Ministrstvo, pristojno za socialne zadeve, obvesti o številki, datumu in obdobju veljavnosti odločbe o priznanju pravice do kritja razlike do polne vrednost zdravstvenih storitev za posameznega upravičenca Zavod, ki te podatke vodi v evidenci zavarovanih oseb.</w:t>
      </w:r>
      <w:r>
        <w:rPr>
          <w:rFonts w:cs="Arial"/>
          <w:szCs w:val="22"/>
        </w:rPr>
        <w:t>«.</w:t>
      </w:r>
    </w:p>
    <w:p w:rsidR="00263FCA" w:rsidRPr="00263FCA" w:rsidRDefault="00263FCA" w:rsidP="00263FCA">
      <w:pPr>
        <w:tabs>
          <w:tab w:val="left" w:pos="567"/>
          <w:tab w:val="left" w:pos="993"/>
        </w:tabs>
        <w:rPr>
          <w:rFonts w:cs="Arial"/>
          <w:szCs w:val="22"/>
        </w:rPr>
      </w:pPr>
    </w:p>
    <w:p w:rsidR="00263FCA" w:rsidRPr="00DC71E4" w:rsidRDefault="00263FCA" w:rsidP="00DC71E4">
      <w:pPr>
        <w:pStyle w:val="Odstavekseznama"/>
        <w:numPr>
          <w:ilvl w:val="0"/>
          <w:numId w:val="21"/>
        </w:numPr>
        <w:tabs>
          <w:tab w:val="left" w:pos="567"/>
          <w:tab w:val="left" w:pos="993"/>
        </w:tabs>
        <w:rPr>
          <w:rFonts w:cs="Arial"/>
          <w:szCs w:val="22"/>
        </w:rPr>
      </w:pPr>
      <w:r w:rsidRPr="00DC71E4">
        <w:rPr>
          <w:rFonts w:cs="Arial"/>
          <w:szCs w:val="22"/>
        </w:rPr>
        <w:t xml:space="preserve">prvi stavek </w:t>
      </w:r>
      <w:r w:rsidR="005C6B2D">
        <w:rPr>
          <w:rFonts w:cs="Arial"/>
          <w:szCs w:val="22"/>
        </w:rPr>
        <w:t>osmega</w:t>
      </w:r>
      <w:r w:rsidRPr="00DC71E4">
        <w:rPr>
          <w:rFonts w:cs="Arial"/>
          <w:szCs w:val="22"/>
        </w:rPr>
        <w:t xml:space="preserve"> odstavka spremeni tako, da se glasi:</w:t>
      </w:r>
    </w:p>
    <w:p w:rsidR="00263FCA" w:rsidRPr="00263FCA" w:rsidRDefault="00DC71E4" w:rsidP="00DC71E4">
      <w:pPr>
        <w:tabs>
          <w:tab w:val="left" w:pos="567"/>
          <w:tab w:val="left" w:pos="993"/>
        </w:tabs>
        <w:ind w:left="360"/>
        <w:rPr>
          <w:rFonts w:cs="Arial"/>
          <w:szCs w:val="22"/>
        </w:rPr>
      </w:pPr>
      <w:r>
        <w:rPr>
          <w:rFonts w:cs="Arial"/>
          <w:szCs w:val="22"/>
        </w:rPr>
        <w:t>»</w:t>
      </w:r>
      <w:r w:rsidR="00263FCA" w:rsidRPr="00263FCA">
        <w:rPr>
          <w:rFonts w:cs="Arial"/>
          <w:szCs w:val="22"/>
        </w:rPr>
        <w:t>Zavod na podlagi obvestila iz drugega in tretjega odstavka tega člena zagotovi podatek o upravičenosti do kritja razlike do polne vrednosti zdravstvenih storitev v sistemu dostopa do podatkov evidence zavarovanih oseb s kartico zdravstvenega zavarovanja.</w:t>
      </w:r>
      <w:r>
        <w:rPr>
          <w:rFonts w:cs="Arial"/>
          <w:szCs w:val="22"/>
        </w:rPr>
        <w:t>«</w:t>
      </w:r>
      <w:r w:rsidR="00263FCA" w:rsidRPr="00263FCA">
        <w:rPr>
          <w:rFonts w:cs="Arial"/>
          <w:szCs w:val="22"/>
        </w:rPr>
        <w:t>.</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30.</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C6B2D">
        <w:rPr>
          <w:rFonts w:cs="Arial"/>
          <w:szCs w:val="22"/>
        </w:rPr>
        <w:t xml:space="preserve">(1) </w:t>
      </w:r>
      <w:r w:rsidR="00263FCA" w:rsidRPr="00263FCA">
        <w:rPr>
          <w:rFonts w:cs="Arial"/>
          <w:szCs w:val="22"/>
        </w:rPr>
        <w:t>Ne glede na tretji odstavek 118. člena Zakona o štipendiranju (Uradni list RS, št. 56/13) se materialni položaj oseb pri ponovni odmeri višine državne štipendije ugotavlja v skladu z zakonom, ki ureja uveljavljanje pravic iz javnih sredstev.</w:t>
      </w:r>
    </w:p>
    <w:p w:rsidR="00263FCA" w:rsidRDefault="00263FCA" w:rsidP="00263FCA">
      <w:pPr>
        <w:tabs>
          <w:tab w:val="left" w:pos="567"/>
          <w:tab w:val="left" w:pos="993"/>
        </w:tabs>
        <w:rPr>
          <w:rFonts w:cs="Arial"/>
          <w:szCs w:val="22"/>
        </w:rPr>
      </w:pPr>
    </w:p>
    <w:p w:rsidR="005C6B2D" w:rsidRDefault="005C6B2D" w:rsidP="005C6B2D">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(2) Ne glede na prvi odstavek 119. člena Zakona o štipendiranju (Uradni list RS, št. 56/13) se vloge za uveljavljanje državne štipendije, vložene od 1. 12. 2013 dalje obravnavajo po Zakonu o štipendiranju (Uradni list RS, št. 56/13).</w:t>
      </w:r>
    </w:p>
    <w:p w:rsidR="005C6B2D" w:rsidRPr="00263FCA" w:rsidRDefault="005C6B2D"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C6B2D">
        <w:rPr>
          <w:rFonts w:cs="Arial"/>
          <w:szCs w:val="22"/>
        </w:rPr>
        <w:t xml:space="preserve">(3) </w:t>
      </w:r>
      <w:r w:rsidR="00263FCA" w:rsidRPr="00263FCA">
        <w:rPr>
          <w:rFonts w:cs="Arial"/>
          <w:szCs w:val="22"/>
        </w:rPr>
        <w:t>Odločbe, na podlagi katerih štipendijsko razmerje od 1.</w:t>
      </w:r>
      <w:r>
        <w:rPr>
          <w:rFonts w:cs="Arial"/>
          <w:szCs w:val="22"/>
        </w:rPr>
        <w:t xml:space="preserve"> </w:t>
      </w:r>
      <w:r w:rsidR="00263FCA" w:rsidRPr="00263FCA">
        <w:rPr>
          <w:rFonts w:cs="Arial"/>
          <w:szCs w:val="22"/>
        </w:rPr>
        <w:t>1.</w:t>
      </w:r>
      <w:r>
        <w:rPr>
          <w:rFonts w:cs="Arial"/>
          <w:szCs w:val="22"/>
        </w:rPr>
        <w:t xml:space="preserve"> </w:t>
      </w:r>
      <w:r w:rsidR="00263FCA" w:rsidRPr="00263FCA">
        <w:rPr>
          <w:rFonts w:cs="Arial"/>
          <w:szCs w:val="22"/>
        </w:rPr>
        <w:t>2012 miruje zaradi mladoletnosti štipendistov na podlagi Zakona o uveljavljanju pravic iz javnih sredstev (62/10</w:t>
      </w:r>
      <w:r>
        <w:rPr>
          <w:rFonts w:cs="Arial"/>
          <w:szCs w:val="22"/>
        </w:rPr>
        <w:t xml:space="preserve"> </w:t>
      </w:r>
      <w:r w:rsidR="00263FCA" w:rsidRPr="00263FCA">
        <w:rPr>
          <w:rFonts w:cs="Arial"/>
          <w:szCs w:val="22"/>
        </w:rPr>
        <w:t>–</w:t>
      </w:r>
      <w:r>
        <w:rPr>
          <w:rFonts w:cs="Arial"/>
          <w:szCs w:val="22"/>
        </w:rPr>
        <w:t xml:space="preserve"> </w:t>
      </w:r>
      <w:proofErr w:type="spellStart"/>
      <w:r w:rsidR="00263FCA" w:rsidRPr="00263FCA">
        <w:rPr>
          <w:rFonts w:cs="Arial"/>
          <w:szCs w:val="22"/>
        </w:rPr>
        <w:t>ZUPJS</w:t>
      </w:r>
      <w:proofErr w:type="spellEnd"/>
      <w:r w:rsidR="00263FCA" w:rsidRPr="00263FCA">
        <w:rPr>
          <w:rFonts w:cs="Arial"/>
          <w:szCs w:val="22"/>
        </w:rPr>
        <w:t>, 40/11</w:t>
      </w:r>
      <w:r>
        <w:rPr>
          <w:rFonts w:cs="Arial"/>
          <w:szCs w:val="22"/>
        </w:rPr>
        <w:t xml:space="preserve"> – </w:t>
      </w:r>
      <w:proofErr w:type="spellStart"/>
      <w:r w:rsidR="00263FCA" w:rsidRPr="00263FCA">
        <w:rPr>
          <w:rFonts w:cs="Arial"/>
          <w:szCs w:val="22"/>
        </w:rPr>
        <w:t>ZUPJS</w:t>
      </w:r>
      <w:proofErr w:type="spellEnd"/>
      <w:r w:rsidR="00263FCA" w:rsidRPr="00263FCA">
        <w:rPr>
          <w:rFonts w:cs="Arial"/>
          <w:szCs w:val="22"/>
        </w:rPr>
        <w:t>-A), z dnem začetka veljavnosti tega zakona prenehajo veljati, preneha pa tudi štipendijsko razmerje.</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CE17D1" w:rsidRDefault="00263FCA" w:rsidP="00DC71E4">
      <w:pPr>
        <w:tabs>
          <w:tab w:val="left" w:pos="567"/>
          <w:tab w:val="left" w:pos="993"/>
        </w:tabs>
        <w:jc w:val="center"/>
        <w:rPr>
          <w:rFonts w:cs="Arial"/>
          <w:szCs w:val="22"/>
        </w:rPr>
      </w:pPr>
      <w:r w:rsidRPr="00CE17D1">
        <w:rPr>
          <w:rFonts w:cs="Arial"/>
          <w:szCs w:val="22"/>
        </w:rPr>
        <w:t>3</w:t>
      </w:r>
      <w:r w:rsidR="0057263D">
        <w:rPr>
          <w:rFonts w:cs="Arial"/>
          <w:szCs w:val="22"/>
        </w:rPr>
        <w:t>1</w:t>
      </w:r>
      <w:r w:rsidRPr="00CE17D1">
        <w:rPr>
          <w:rFonts w:cs="Arial"/>
          <w:szCs w:val="22"/>
        </w:rPr>
        <w:t>. člen</w:t>
      </w:r>
      <w:r w:rsidR="00DC71E4" w:rsidRPr="00CE17D1">
        <w:rPr>
          <w:rFonts w:cs="Arial"/>
          <w:szCs w:val="22"/>
        </w:rPr>
        <w:t xml:space="preserve"> </w:t>
      </w:r>
    </w:p>
    <w:p w:rsidR="00263FCA" w:rsidRPr="00CE17D1"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V Zakonu o uveljavljanju pravic iz javnih sredstev (Uradni list RS, št. 62/10, 40/11, 110/11</w:t>
      </w:r>
      <w:r>
        <w:rPr>
          <w:rFonts w:cs="Arial"/>
          <w:szCs w:val="22"/>
        </w:rPr>
        <w:t xml:space="preserve"> – </w:t>
      </w:r>
      <w:r w:rsidR="00263FCA" w:rsidRPr="00263FCA">
        <w:rPr>
          <w:rFonts w:cs="Arial"/>
          <w:szCs w:val="22"/>
        </w:rPr>
        <w:t>ZDIU12, 40/12</w:t>
      </w:r>
      <w:r>
        <w:rPr>
          <w:rFonts w:cs="Arial"/>
          <w:szCs w:val="22"/>
        </w:rPr>
        <w:t xml:space="preserve"> – </w:t>
      </w:r>
      <w:proofErr w:type="spellStart"/>
      <w:r w:rsidR="00263FCA" w:rsidRPr="00263FCA">
        <w:rPr>
          <w:rFonts w:cs="Arial"/>
          <w:szCs w:val="22"/>
        </w:rPr>
        <w:t>ZUJF</w:t>
      </w:r>
      <w:proofErr w:type="spellEnd"/>
      <w:r w:rsidR="00263FCA" w:rsidRPr="00263FCA">
        <w:rPr>
          <w:rFonts w:cs="Arial"/>
          <w:szCs w:val="22"/>
        </w:rPr>
        <w:t>, 57/12</w:t>
      </w:r>
      <w:r>
        <w:rPr>
          <w:rFonts w:cs="Arial"/>
          <w:szCs w:val="22"/>
        </w:rPr>
        <w:t xml:space="preserve"> – </w:t>
      </w:r>
      <w:r w:rsidR="00263FCA" w:rsidRPr="00263FCA">
        <w:rPr>
          <w:rFonts w:cs="Arial"/>
          <w:szCs w:val="22"/>
        </w:rPr>
        <w:t>ZPCP-2D in 14/13) se 1. januarja 2014 v</w:t>
      </w:r>
      <w:r>
        <w:rPr>
          <w:rFonts w:cs="Arial"/>
          <w:szCs w:val="22"/>
        </w:rPr>
        <w:t xml:space="preserve"> </w:t>
      </w:r>
      <w:r w:rsidR="00263FCA" w:rsidRPr="00263FCA">
        <w:rPr>
          <w:rFonts w:cs="Arial"/>
          <w:szCs w:val="22"/>
        </w:rPr>
        <w:t>3. členu v 6. točki besedilo »in upravičenec do Zoisove štipendije, če prejema tudi dodatek glede na dohodek v družini«, preneha uporabljati.</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CE17D1" w:rsidRDefault="00263FCA" w:rsidP="00DC71E4">
      <w:pPr>
        <w:tabs>
          <w:tab w:val="left" w:pos="567"/>
          <w:tab w:val="left" w:pos="993"/>
        </w:tabs>
        <w:jc w:val="center"/>
        <w:rPr>
          <w:rFonts w:cs="Arial"/>
          <w:szCs w:val="22"/>
        </w:rPr>
      </w:pPr>
      <w:r w:rsidRPr="00CE17D1">
        <w:rPr>
          <w:rFonts w:cs="Arial"/>
          <w:szCs w:val="22"/>
        </w:rPr>
        <w:t>3</w:t>
      </w:r>
      <w:r w:rsidR="0057263D">
        <w:rPr>
          <w:rFonts w:cs="Arial"/>
          <w:szCs w:val="22"/>
        </w:rPr>
        <w:t>2</w:t>
      </w:r>
      <w:r w:rsidRPr="00CE17D1">
        <w:rPr>
          <w:rFonts w:cs="Arial"/>
          <w:szCs w:val="22"/>
        </w:rPr>
        <w:t>.</w:t>
      </w:r>
      <w:r w:rsidR="00DC71E4" w:rsidRPr="00CE17D1">
        <w:rPr>
          <w:rFonts w:cs="Arial"/>
          <w:szCs w:val="22"/>
        </w:rPr>
        <w:t xml:space="preserve"> </w:t>
      </w:r>
      <w:r w:rsidRPr="00CE17D1">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7263D">
        <w:rPr>
          <w:rFonts w:cs="Arial"/>
          <w:szCs w:val="22"/>
        </w:rPr>
        <w:t xml:space="preserve">(1) </w:t>
      </w:r>
      <w:r w:rsidR="00263FCA" w:rsidRPr="00263FCA">
        <w:rPr>
          <w:rFonts w:cs="Arial"/>
          <w:szCs w:val="22"/>
        </w:rPr>
        <w:t>Z dnem uveljavitve tega zakona prenehajo veljati naslednje določbe, ki pa se uporabljajo do 31. decembra 2013:</w:t>
      </w:r>
    </w:p>
    <w:p w:rsidR="00263FCA" w:rsidRPr="00DC71E4" w:rsidRDefault="00263FCA" w:rsidP="00DC71E4">
      <w:pPr>
        <w:pStyle w:val="Odstavekseznama"/>
        <w:numPr>
          <w:ilvl w:val="0"/>
          <w:numId w:val="21"/>
        </w:numPr>
        <w:tabs>
          <w:tab w:val="left" w:pos="567"/>
          <w:tab w:val="left" w:pos="993"/>
        </w:tabs>
        <w:rPr>
          <w:rFonts w:cs="Arial"/>
          <w:szCs w:val="22"/>
        </w:rPr>
      </w:pPr>
      <w:r w:rsidRPr="00DC71E4">
        <w:rPr>
          <w:rFonts w:cs="Arial"/>
          <w:szCs w:val="22"/>
        </w:rPr>
        <w:t>peti odstavek 123. člena Zakona o štipendiranju (Uradni list RS, št. 56/13),</w:t>
      </w:r>
    </w:p>
    <w:p w:rsidR="00263FCA" w:rsidRPr="00DC71E4" w:rsidRDefault="00263FCA" w:rsidP="00DC71E4">
      <w:pPr>
        <w:pStyle w:val="Odstavekseznama"/>
        <w:numPr>
          <w:ilvl w:val="0"/>
          <w:numId w:val="21"/>
        </w:numPr>
        <w:tabs>
          <w:tab w:val="left" w:pos="567"/>
          <w:tab w:val="left" w:pos="993"/>
        </w:tabs>
        <w:rPr>
          <w:rFonts w:cs="Arial"/>
          <w:szCs w:val="22"/>
        </w:rPr>
      </w:pPr>
      <w:r w:rsidRPr="00DC71E4">
        <w:rPr>
          <w:rFonts w:cs="Arial"/>
          <w:szCs w:val="22"/>
        </w:rPr>
        <w:t xml:space="preserve">četrti, peti in sedmi odstavek 24. člena Zakona o zdravstvenem varstvu in zdravstvenem zavarovanju (Uradni list RS, št. 72/06 </w:t>
      </w:r>
      <w:r w:rsidR="00DC71E4">
        <w:rPr>
          <w:rFonts w:cs="Arial"/>
          <w:szCs w:val="22"/>
        </w:rPr>
        <w:t>–</w:t>
      </w:r>
      <w:r w:rsidRPr="00DC71E4">
        <w:rPr>
          <w:rFonts w:cs="Arial"/>
          <w:szCs w:val="22"/>
        </w:rPr>
        <w:t xml:space="preserve"> uradno prečiščeno besedilo, 114/06</w:t>
      </w:r>
      <w:r w:rsidR="00DC71E4">
        <w:rPr>
          <w:rFonts w:cs="Arial"/>
          <w:szCs w:val="22"/>
        </w:rPr>
        <w:t xml:space="preserve"> – </w:t>
      </w:r>
      <w:r w:rsidRPr="00DC71E4">
        <w:rPr>
          <w:rFonts w:cs="Arial"/>
          <w:szCs w:val="22"/>
        </w:rPr>
        <w:t>ZUTPG, 91/07, 76/08, 62/10</w:t>
      </w:r>
      <w:r w:rsidR="00DC71E4">
        <w:rPr>
          <w:rFonts w:cs="Arial"/>
          <w:szCs w:val="22"/>
        </w:rPr>
        <w:t xml:space="preserve"> </w:t>
      </w:r>
      <w:r w:rsidRPr="00DC71E4">
        <w:rPr>
          <w:rFonts w:cs="Arial"/>
          <w:szCs w:val="22"/>
        </w:rPr>
        <w:t>–</w:t>
      </w:r>
      <w:r w:rsidR="00DC71E4">
        <w:rPr>
          <w:rFonts w:cs="Arial"/>
          <w:szCs w:val="22"/>
        </w:rPr>
        <w:t xml:space="preserve"> </w:t>
      </w:r>
      <w:proofErr w:type="spellStart"/>
      <w:r w:rsidRPr="00DC71E4">
        <w:rPr>
          <w:rFonts w:cs="Arial"/>
          <w:szCs w:val="22"/>
        </w:rPr>
        <w:t>ZUPJS</w:t>
      </w:r>
      <w:proofErr w:type="spellEnd"/>
      <w:r w:rsidRPr="00DC71E4">
        <w:rPr>
          <w:rFonts w:cs="Arial"/>
          <w:szCs w:val="22"/>
        </w:rPr>
        <w:t>, 87/11, 40/12</w:t>
      </w:r>
      <w:r w:rsidR="00DC71E4">
        <w:rPr>
          <w:rFonts w:cs="Arial"/>
          <w:szCs w:val="22"/>
        </w:rPr>
        <w:t xml:space="preserve"> </w:t>
      </w:r>
      <w:r w:rsidRPr="00DC71E4">
        <w:rPr>
          <w:rFonts w:cs="Arial"/>
          <w:szCs w:val="22"/>
        </w:rPr>
        <w:t>–</w:t>
      </w:r>
      <w:r w:rsidR="00DC71E4">
        <w:rPr>
          <w:rFonts w:cs="Arial"/>
          <w:szCs w:val="22"/>
        </w:rPr>
        <w:t xml:space="preserve"> </w:t>
      </w:r>
      <w:proofErr w:type="spellStart"/>
      <w:r w:rsidRPr="00DC71E4">
        <w:rPr>
          <w:rFonts w:cs="Arial"/>
          <w:szCs w:val="22"/>
        </w:rPr>
        <w:t>ZUJF</w:t>
      </w:r>
      <w:proofErr w:type="spellEnd"/>
      <w:r w:rsidRPr="00DC71E4">
        <w:rPr>
          <w:rFonts w:cs="Arial"/>
          <w:szCs w:val="22"/>
        </w:rPr>
        <w:t xml:space="preserve"> in 21/13</w:t>
      </w:r>
      <w:r w:rsidR="00DC71E4">
        <w:rPr>
          <w:rFonts w:cs="Arial"/>
          <w:szCs w:val="22"/>
        </w:rPr>
        <w:t xml:space="preserve"> – </w:t>
      </w:r>
      <w:proofErr w:type="spellStart"/>
      <w:r w:rsidRPr="00DC71E4">
        <w:rPr>
          <w:rFonts w:cs="Arial"/>
          <w:szCs w:val="22"/>
        </w:rPr>
        <w:t>ZUTD</w:t>
      </w:r>
      <w:proofErr w:type="spellEnd"/>
      <w:r w:rsidRPr="00DC71E4">
        <w:rPr>
          <w:rFonts w:cs="Arial"/>
          <w:szCs w:val="22"/>
        </w:rPr>
        <w:t>-A),</w:t>
      </w:r>
    </w:p>
    <w:p w:rsidR="00263FCA" w:rsidRPr="00DC71E4" w:rsidRDefault="00263FCA" w:rsidP="00DC71E4">
      <w:pPr>
        <w:pStyle w:val="Odstavekseznama"/>
        <w:numPr>
          <w:ilvl w:val="0"/>
          <w:numId w:val="21"/>
        </w:numPr>
        <w:tabs>
          <w:tab w:val="left" w:pos="567"/>
          <w:tab w:val="left" w:pos="993"/>
        </w:tabs>
        <w:rPr>
          <w:rFonts w:cs="Arial"/>
          <w:szCs w:val="22"/>
        </w:rPr>
      </w:pPr>
      <w:r w:rsidRPr="00DC71E4">
        <w:rPr>
          <w:rFonts w:cs="Arial"/>
          <w:szCs w:val="22"/>
        </w:rPr>
        <w:t xml:space="preserve">144. in tretji odstavek 152. člena Zakona za uravnoteženje javnih financ (Uradni list RS, št. 40/12, 96/12 </w:t>
      </w:r>
      <w:r w:rsidR="00DC71E4">
        <w:rPr>
          <w:rFonts w:cs="Arial"/>
          <w:szCs w:val="22"/>
        </w:rPr>
        <w:t>–</w:t>
      </w:r>
      <w:r w:rsidRPr="00DC71E4">
        <w:rPr>
          <w:rFonts w:cs="Arial"/>
          <w:szCs w:val="22"/>
        </w:rPr>
        <w:t xml:space="preserve"> ZPIZ-2, 104/12 </w:t>
      </w:r>
      <w:r w:rsidR="00DC71E4">
        <w:rPr>
          <w:rFonts w:cs="Arial"/>
          <w:szCs w:val="22"/>
        </w:rPr>
        <w:t>–</w:t>
      </w:r>
      <w:r w:rsidRPr="00DC71E4">
        <w:rPr>
          <w:rFonts w:cs="Arial"/>
          <w:szCs w:val="22"/>
        </w:rPr>
        <w:t xml:space="preserve"> ZIPRS1314, 105/12, 25/13 </w:t>
      </w:r>
      <w:r w:rsidR="00DC71E4">
        <w:rPr>
          <w:rFonts w:cs="Arial"/>
          <w:szCs w:val="22"/>
        </w:rPr>
        <w:t xml:space="preserve">– odločba </w:t>
      </w:r>
      <w:r w:rsidRPr="00DC71E4">
        <w:rPr>
          <w:rFonts w:cs="Arial"/>
          <w:szCs w:val="22"/>
        </w:rPr>
        <w:t xml:space="preserve">US, 46/13 </w:t>
      </w:r>
      <w:r w:rsidR="00DC71E4">
        <w:rPr>
          <w:rFonts w:cs="Arial"/>
          <w:szCs w:val="22"/>
        </w:rPr>
        <w:t>–</w:t>
      </w:r>
      <w:r w:rsidRPr="00DC71E4">
        <w:rPr>
          <w:rFonts w:cs="Arial"/>
          <w:szCs w:val="22"/>
        </w:rPr>
        <w:t xml:space="preserve"> ZIPRS1314-A, 47/13,</w:t>
      </w:r>
      <w:r w:rsidR="00DC71E4">
        <w:rPr>
          <w:rFonts w:cs="Arial"/>
          <w:szCs w:val="22"/>
        </w:rPr>
        <w:t xml:space="preserve"> </w:t>
      </w:r>
      <w:r w:rsidRPr="00DC71E4">
        <w:rPr>
          <w:rFonts w:cs="Arial"/>
          <w:szCs w:val="22"/>
        </w:rPr>
        <w:t>56/13 –</w:t>
      </w:r>
      <w:r w:rsidR="00DC71E4">
        <w:rPr>
          <w:rFonts w:cs="Arial"/>
          <w:szCs w:val="22"/>
        </w:rPr>
        <w:t xml:space="preserve"> </w:t>
      </w:r>
      <w:proofErr w:type="spellStart"/>
      <w:r w:rsidRPr="00DC71E4">
        <w:rPr>
          <w:rFonts w:cs="Arial"/>
          <w:szCs w:val="22"/>
        </w:rPr>
        <w:t>ZŠtip</w:t>
      </w:r>
      <w:proofErr w:type="spellEnd"/>
      <w:r w:rsidRPr="00DC71E4">
        <w:rPr>
          <w:rFonts w:cs="Arial"/>
          <w:szCs w:val="22"/>
        </w:rPr>
        <w:t xml:space="preserve"> -1, 63/13 – </w:t>
      </w:r>
      <w:proofErr w:type="spellStart"/>
      <w:r w:rsidRPr="00DC71E4">
        <w:rPr>
          <w:rFonts w:cs="Arial"/>
          <w:szCs w:val="22"/>
        </w:rPr>
        <w:t>Zosn</w:t>
      </w:r>
      <w:proofErr w:type="spellEnd"/>
      <w:r w:rsidRPr="00DC71E4">
        <w:rPr>
          <w:rFonts w:cs="Arial"/>
          <w:szCs w:val="22"/>
        </w:rPr>
        <w:t xml:space="preserve">-I in 63/13 – ZJAKRS-A). </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57263D">
        <w:rPr>
          <w:rFonts w:cs="Arial"/>
          <w:szCs w:val="22"/>
        </w:rPr>
        <w:t xml:space="preserve">(2) </w:t>
      </w:r>
      <w:r w:rsidR="00263FCA" w:rsidRPr="00263FCA">
        <w:rPr>
          <w:rFonts w:cs="Arial"/>
          <w:szCs w:val="22"/>
        </w:rPr>
        <w:t>Z dnem uveljavitve tega zakona preneha veljati tretji odstavek 13. člena in tretja alineja četrtega odstavka 14. člena Uredbe o merilih za določanje oprostitev pri plačilih socialno varstvenih storitev (Uradni list RS, št. 110/04, 124/04, 114/06</w:t>
      </w:r>
      <w:r>
        <w:rPr>
          <w:rFonts w:cs="Arial"/>
          <w:szCs w:val="22"/>
        </w:rPr>
        <w:t xml:space="preserve"> </w:t>
      </w:r>
      <w:r w:rsidR="00263FCA" w:rsidRPr="00263FCA">
        <w:rPr>
          <w:rFonts w:cs="Arial"/>
          <w:szCs w:val="22"/>
        </w:rPr>
        <w:t>–</w:t>
      </w:r>
      <w:r>
        <w:rPr>
          <w:rFonts w:cs="Arial"/>
          <w:szCs w:val="22"/>
        </w:rPr>
        <w:t xml:space="preserve"> </w:t>
      </w:r>
      <w:r w:rsidR="00263FCA" w:rsidRPr="00263FCA">
        <w:rPr>
          <w:rFonts w:cs="Arial"/>
          <w:szCs w:val="22"/>
        </w:rPr>
        <w:t>ZUTPG in 62/10</w:t>
      </w:r>
      <w:r>
        <w:rPr>
          <w:rFonts w:cs="Arial"/>
          <w:szCs w:val="22"/>
        </w:rPr>
        <w:t xml:space="preserve"> </w:t>
      </w:r>
      <w:r w:rsidR="00263FCA" w:rsidRPr="00263FCA">
        <w:rPr>
          <w:rFonts w:cs="Arial"/>
          <w:szCs w:val="22"/>
        </w:rPr>
        <w:t>–</w:t>
      </w:r>
      <w:r>
        <w:rPr>
          <w:rFonts w:cs="Arial"/>
          <w:szCs w:val="22"/>
        </w:rPr>
        <w:t xml:space="preserve"> </w:t>
      </w:r>
      <w:proofErr w:type="spellStart"/>
      <w:r w:rsidR="00263FCA" w:rsidRPr="00263FCA">
        <w:rPr>
          <w:rFonts w:cs="Arial"/>
          <w:szCs w:val="22"/>
        </w:rPr>
        <w:t>ZUPJS</w:t>
      </w:r>
      <w:proofErr w:type="spellEnd"/>
      <w:r w:rsidR="00263FCA" w:rsidRPr="00263FCA">
        <w:rPr>
          <w:rFonts w:cs="Arial"/>
          <w:szCs w:val="22"/>
        </w:rPr>
        <w:t>), ki pa se uporablja do 31. avgusta 2014.</w:t>
      </w:r>
    </w:p>
    <w:p w:rsidR="00263FCA" w:rsidRPr="00CE17D1"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CE17D1" w:rsidRDefault="00263FCA" w:rsidP="00DC71E4">
      <w:pPr>
        <w:tabs>
          <w:tab w:val="left" w:pos="567"/>
          <w:tab w:val="left" w:pos="993"/>
        </w:tabs>
        <w:jc w:val="center"/>
        <w:rPr>
          <w:rFonts w:cs="Arial"/>
          <w:szCs w:val="22"/>
        </w:rPr>
      </w:pPr>
      <w:r w:rsidRPr="00CE17D1">
        <w:rPr>
          <w:rFonts w:cs="Arial"/>
          <w:szCs w:val="22"/>
        </w:rPr>
        <w:t>3</w:t>
      </w:r>
      <w:r w:rsidR="0057263D">
        <w:rPr>
          <w:rFonts w:cs="Arial"/>
          <w:szCs w:val="22"/>
        </w:rPr>
        <w:t>3</w:t>
      </w:r>
      <w:r w:rsidRPr="00CE17D1">
        <w:rPr>
          <w:rFonts w:cs="Arial"/>
          <w:szCs w:val="22"/>
        </w:rPr>
        <w:t>.</w:t>
      </w:r>
      <w:r w:rsidR="00DC71E4" w:rsidRPr="00CE17D1">
        <w:rPr>
          <w:rFonts w:cs="Arial"/>
          <w:szCs w:val="22"/>
        </w:rPr>
        <w:t xml:space="preserve"> </w:t>
      </w:r>
      <w:r w:rsidRPr="00CE17D1">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DC71E4" w:rsidP="00263FCA">
      <w:pPr>
        <w:tabs>
          <w:tab w:val="left" w:pos="567"/>
          <w:tab w:val="left" w:pos="993"/>
        </w:tabs>
        <w:rPr>
          <w:rFonts w:cs="Arial"/>
          <w:szCs w:val="22"/>
        </w:rPr>
      </w:pPr>
      <w:r>
        <w:rPr>
          <w:rFonts w:cs="Arial"/>
          <w:szCs w:val="22"/>
        </w:rPr>
        <w:tab/>
      </w:r>
      <w:r>
        <w:rPr>
          <w:rFonts w:cs="Arial"/>
          <w:szCs w:val="22"/>
        </w:rPr>
        <w:tab/>
      </w:r>
      <w:r w:rsidR="00263FCA" w:rsidRPr="00263FCA">
        <w:rPr>
          <w:rFonts w:cs="Arial"/>
          <w:szCs w:val="22"/>
        </w:rPr>
        <w:t xml:space="preserve">Ne glede na spremenjeno 2. točko prvega odstavka 18. člena zakona se do vključno leta, ki sledi letu, v katerem gospodarska rast preseže 2 odstotka bruto domačega proizvoda, kot premoženje ne upošteva osebni avtomobil ali enosledno vozilo v vrednosti do višine 8.060,00 </w:t>
      </w:r>
      <w:proofErr w:type="spellStart"/>
      <w:r w:rsidR="00263FCA" w:rsidRPr="00263FCA">
        <w:rPr>
          <w:rFonts w:cs="Arial"/>
          <w:szCs w:val="22"/>
        </w:rPr>
        <w:t>eurov</w:t>
      </w:r>
      <w:proofErr w:type="spellEnd"/>
      <w:r w:rsidR="00263FCA" w:rsidRPr="00263FCA">
        <w:rPr>
          <w:rFonts w:cs="Arial"/>
          <w:szCs w:val="22"/>
        </w:rPr>
        <w:t>.</w:t>
      </w:r>
    </w:p>
    <w:p w:rsidR="00263FCA" w:rsidRPr="00263FCA" w:rsidRDefault="00263FCA" w:rsidP="00263FCA">
      <w:pPr>
        <w:tabs>
          <w:tab w:val="left" w:pos="567"/>
          <w:tab w:val="left" w:pos="993"/>
        </w:tabs>
        <w:rPr>
          <w:rFonts w:cs="Arial"/>
          <w:szCs w:val="22"/>
        </w:rPr>
      </w:pPr>
    </w:p>
    <w:p w:rsidR="00DC71E4" w:rsidRDefault="00DC71E4" w:rsidP="00263FCA">
      <w:pPr>
        <w:tabs>
          <w:tab w:val="left" w:pos="567"/>
          <w:tab w:val="left" w:pos="993"/>
        </w:tabs>
        <w:rPr>
          <w:rFonts w:cs="Arial"/>
          <w:szCs w:val="22"/>
        </w:rPr>
      </w:pPr>
    </w:p>
    <w:p w:rsidR="00263FCA" w:rsidRPr="00263FCA" w:rsidRDefault="00263FCA" w:rsidP="00DC71E4">
      <w:pPr>
        <w:tabs>
          <w:tab w:val="left" w:pos="567"/>
          <w:tab w:val="left" w:pos="993"/>
        </w:tabs>
        <w:jc w:val="center"/>
        <w:rPr>
          <w:rFonts w:cs="Arial"/>
          <w:szCs w:val="22"/>
        </w:rPr>
      </w:pPr>
      <w:r w:rsidRPr="00263FCA">
        <w:rPr>
          <w:rFonts w:cs="Arial"/>
          <w:szCs w:val="22"/>
        </w:rPr>
        <w:t>3</w:t>
      </w:r>
      <w:r w:rsidR="0057263D">
        <w:rPr>
          <w:rFonts w:cs="Arial"/>
          <w:szCs w:val="22"/>
        </w:rPr>
        <w:t>4</w:t>
      </w:r>
      <w:r w:rsidR="00DC71E4">
        <w:rPr>
          <w:rFonts w:cs="Arial"/>
          <w:szCs w:val="22"/>
        </w:rPr>
        <w:t xml:space="preserve">. </w:t>
      </w:r>
      <w:r w:rsidRPr="00263FCA">
        <w:rPr>
          <w:rFonts w:cs="Arial"/>
          <w:szCs w:val="22"/>
        </w:rPr>
        <w:t>člen</w:t>
      </w:r>
    </w:p>
    <w:p w:rsidR="00263FCA" w:rsidRPr="00263FCA" w:rsidRDefault="00263FCA" w:rsidP="00263FCA">
      <w:pPr>
        <w:tabs>
          <w:tab w:val="left" w:pos="567"/>
          <w:tab w:val="left" w:pos="993"/>
        </w:tabs>
        <w:rPr>
          <w:rFonts w:cs="Arial"/>
          <w:szCs w:val="22"/>
        </w:rPr>
      </w:pPr>
    </w:p>
    <w:p w:rsidR="00263FCA" w:rsidRPr="00263FCA" w:rsidRDefault="00CE17D1" w:rsidP="00263FCA">
      <w:pPr>
        <w:tabs>
          <w:tab w:val="left" w:pos="567"/>
          <w:tab w:val="left" w:pos="993"/>
        </w:tabs>
        <w:rPr>
          <w:rFonts w:cs="Arial"/>
          <w:szCs w:val="22"/>
        </w:rPr>
      </w:pPr>
      <w:r>
        <w:rPr>
          <w:rFonts w:cs="Arial"/>
          <w:szCs w:val="22"/>
        </w:rPr>
        <w:tab/>
      </w:r>
      <w:r>
        <w:rPr>
          <w:rFonts w:cs="Arial"/>
          <w:szCs w:val="22"/>
        </w:rPr>
        <w:tab/>
      </w:r>
      <w:r w:rsidR="0057263D">
        <w:rPr>
          <w:rFonts w:cs="Arial"/>
          <w:szCs w:val="22"/>
        </w:rPr>
        <w:t xml:space="preserve">(1) </w:t>
      </w:r>
      <w:r w:rsidR="00263FCA" w:rsidRPr="00263FCA">
        <w:rPr>
          <w:rFonts w:cs="Arial"/>
          <w:szCs w:val="22"/>
        </w:rPr>
        <w:t xml:space="preserve">Ne glede na 15. člen zakona, se pri upravičencih do denarne socialne pomoči ali varstvenega dodatka pri ugotavljanju upravičenosti do otroškega dodatka, državne štipendije in znižanega plačila vrtca upoštevajo le njihovi tekoči dohodki, ne glede na to, ali so v preteklem letu imeli periodične dohodke iz naslova plače, nadomestila plače, pokojnine, nadomestila ali drugih dohodkov iz naslova obveznega socialnega zavarovanja, starševskega dodatka, preživnine, delnega plačila za izgubljeni dohodek ali nadomestila za invalidnost. </w:t>
      </w:r>
    </w:p>
    <w:p w:rsidR="00CE17D1" w:rsidRDefault="00CE17D1" w:rsidP="00263FCA">
      <w:pPr>
        <w:tabs>
          <w:tab w:val="left" w:pos="567"/>
          <w:tab w:val="left" w:pos="993"/>
        </w:tabs>
        <w:rPr>
          <w:rFonts w:cs="Arial"/>
          <w:szCs w:val="22"/>
        </w:rPr>
      </w:pPr>
    </w:p>
    <w:p w:rsidR="00263FCA" w:rsidRPr="00263FCA" w:rsidRDefault="00CE17D1" w:rsidP="00263FCA">
      <w:pPr>
        <w:tabs>
          <w:tab w:val="left" w:pos="567"/>
          <w:tab w:val="left" w:pos="993"/>
        </w:tabs>
        <w:rPr>
          <w:rFonts w:cs="Arial"/>
          <w:szCs w:val="22"/>
        </w:rPr>
      </w:pPr>
      <w:r>
        <w:rPr>
          <w:rFonts w:cs="Arial"/>
          <w:szCs w:val="22"/>
        </w:rPr>
        <w:tab/>
      </w:r>
      <w:r>
        <w:rPr>
          <w:rFonts w:cs="Arial"/>
          <w:szCs w:val="22"/>
        </w:rPr>
        <w:tab/>
      </w:r>
      <w:r w:rsidR="0057263D">
        <w:rPr>
          <w:rFonts w:cs="Arial"/>
          <w:szCs w:val="22"/>
        </w:rPr>
        <w:t xml:space="preserve">(2) </w:t>
      </w:r>
      <w:r w:rsidR="00263FCA" w:rsidRPr="00263FCA">
        <w:rPr>
          <w:rFonts w:cs="Arial"/>
          <w:szCs w:val="22"/>
        </w:rPr>
        <w:t>Tekoči dohodki so periodični dohodki iz prejšnjega odstavka, ki jih oseba v preteklem letu ni imela, ima pa jih izplačane v mesecu pred mesecem vložitve vloge, razen če je iz ugotovljenega dejanskega stanja razvidno, da jih je v mesecu vložitve vloge začela prejemati, preračunani na letno raven, in prejemki iz 15. člena zakona, ki se upoštevajo v višini, kakršna velja oziroma bo veljala z začetkom priznanja pravice.</w:t>
      </w:r>
    </w:p>
    <w:p w:rsidR="00263FCA" w:rsidRPr="00263FCA" w:rsidRDefault="00263FCA" w:rsidP="00263FCA">
      <w:pPr>
        <w:tabs>
          <w:tab w:val="left" w:pos="567"/>
          <w:tab w:val="left" w:pos="993"/>
        </w:tabs>
        <w:rPr>
          <w:rFonts w:cs="Arial"/>
          <w:szCs w:val="22"/>
        </w:rPr>
      </w:pPr>
    </w:p>
    <w:p w:rsidR="00263FCA" w:rsidRPr="00263FCA" w:rsidRDefault="00263FCA" w:rsidP="00263FCA">
      <w:pPr>
        <w:tabs>
          <w:tab w:val="left" w:pos="567"/>
          <w:tab w:val="left" w:pos="993"/>
        </w:tabs>
        <w:rPr>
          <w:rFonts w:cs="Arial"/>
          <w:szCs w:val="22"/>
        </w:rPr>
      </w:pPr>
    </w:p>
    <w:p w:rsidR="00263FCA" w:rsidRPr="00263FCA" w:rsidRDefault="00263FCA" w:rsidP="00CE17D1">
      <w:pPr>
        <w:tabs>
          <w:tab w:val="left" w:pos="567"/>
          <w:tab w:val="left" w:pos="993"/>
        </w:tabs>
        <w:jc w:val="center"/>
        <w:rPr>
          <w:rFonts w:cs="Arial"/>
          <w:szCs w:val="22"/>
        </w:rPr>
      </w:pPr>
      <w:r w:rsidRPr="00263FCA">
        <w:rPr>
          <w:rFonts w:cs="Arial"/>
          <w:szCs w:val="22"/>
        </w:rPr>
        <w:t>3</w:t>
      </w:r>
      <w:r w:rsidR="0057263D">
        <w:rPr>
          <w:rFonts w:cs="Arial"/>
          <w:szCs w:val="22"/>
        </w:rPr>
        <w:t>5</w:t>
      </w:r>
      <w:r w:rsidRPr="00263FCA">
        <w:rPr>
          <w:rFonts w:cs="Arial"/>
          <w:szCs w:val="22"/>
        </w:rPr>
        <w:t>.</w:t>
      </w:r>
      <w:r w:rsidR="00CE17D1">
        <w:rPr>
          <w:rFonts w:cs="Arial"/>
          <w:szCs w:val="22"/>
        </w:rPr>
        <w:t xml:space="preserve"> </w:t>
      </w:r>
      <w:r w:rsidRPr="00263FCA">
        <w:rPr>
          <w:rFonts w:cs="Arial"/>
          <w:szCs w:val="22"/>
        </w:rPr>
        <w:t>člen</w:t>
      </w:r>
    </w:p>
    <w:p w:rsidR="0057263D" w:rsidRDefault="0057263D" w:rsidP="0057263D">
      <w:pPr>
        <w:tabs>
          <w:tab w:val="left" w:pos="567"/>
          <w:tab w:val="left" w:pos="993"/>
        </w:tabs>
        <w:rPr>
          <w:rFonts w:cs="Arial"/>
          <w:color w:val="000000"/>
          <w:szCs w:val="22"/>
          <w:lang w:eastAsia="sl-SI"/>
        </w:rPr>
      </w:pPr>
    </w:p>
    <w:p w:rsidR="0057263D" w:rsidRDefault="0057263D" w:rsidP="0057263D">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 xml:space="preserve">(1) Ta zakon začne veljati naslednji dan po objavi v Uradnem listu Republike Slovenije, uporabljati pa se začne 1. januarja 2014, razen nove 8. in 9. točke 3. člena, spremembe 11. člena, 12. člena, 15. člena, četrtega odstavka 18. člena, 25. člena, 26. člena in spremembe 29. člena, naslova </w:t>
      </w:r>
      <w:proofErr w:type="spellStart"/>
      <w:r>
        <w:rPr>
          <w:rFonts w:cs="Arial"/>
          <w:color w:val="000000"/>
          <w:szCs w:val="22"/>
          <w:lang w:eastAsia="sl-SI"/>
        </w:rPr>
        <w:t>9.a</w:t>
      </w:r>
      <w:proofErr w:type="spellEnd"/>
      <w:r>
        <w:rPr>
          <w:rFonts w:cs="Arial"/>
          <w:color w:val="000000"/>
          <w:szCs w:val="22"/>
          <w:lang w:eastAsia="sl-SI"/>
        </w:rPr>
        <w:t xml:space="preserve"> člena in </w:t>
      </w:r>
      <w:proofErr w:type="spellStart"/>
      <w:r>
        <w:rPr>
          <w:rFonts w:cs="Arial"/>
          <w:color w:val="000000"/>
          <w:szCs w:val="22"/>
          <w:lang w:eastAsia="sl-SI"/>
        </w:rPr>
        <w:t>30.a</w:t>
      </w:r>
      <w:proofErr w:type="spellEnd"/>
      <w:r>
        <w:rPr>
          <w:rFonts w:cs="Arial"/>
          <w:color w:val="000000"/>
          <w:szCs w:val="22"/>
          <w:lang w:eastAsia="sl-SI"/>
        </w:rPr>
        <w:t xml:space="preserve"> člena zakona, spremembe 31. </w:t>
      </w:r>
      <w:r>
        <w:rPr>
          <w:rFonts w:cs="Arial"/>
          <w:color w:val="000000"/>
          <w:szCs w:val="22"/>
          <w:lang w:eastAsia="sl-SI"/>
        </w:rPr>
        <w:lastRenderedPageBreak/>
        <w:t xml:space="preserve">člena in spremembe 32. člena ter 42. člena, </w:t>
      </w:r>
      <w:proofErr w:type="spellStart"/>
      <w:r>
        <w:rPr>
          <w:rFonts w:cs="Arial"/>
          <w:color w:val="000000"/>
          <w:szCs w:val="22"/>
          <w:lang w:eastAsia="sl-SI"/>
        </w:rPr>
        <w:t>42.b</w:t>
      </w:r>
      <w:proofErr w:type="spellEnd"/>
      <w:r>
        <w:rPr>
          <w:rFonts w:cs="Arial"/>
          <w:color w:val="000000"/>
          <w:szCs w:val="22"/>
          <w:lang w:eastAsia="sl-SI"/>
        </w:rPr>
        <w:t xml:space="preserve"> člena, spremembe 44. člena in spremembe petega odstavka 50. člena, ki se začnejo uporabljati 1. septembra 2014.</w:t>
      </w:r>
    </w:p>
    <w:p w:rsidR="0057263D" w:rsidRDefault="0057263D" w:rsidP="0057263D">
      <w:pPr>
        <w:tabs>
          <w:tab w:val="left" w:pos="567"/>
          <w:tab w:val="left" w:pos="993"/>
        </w:tabs>
        <w:rPr>
          <w:rFonts w:cs="Arial"/>
          <w:color w:val="000000"/>
          <w:szCs w:val="22"/>
          <w:lang w:eastAsia="sl-SI"/>
        </w:rPr>
      </w:pPr>
    </w:p>
    <w:p w:rsidR="00CE17D1" w:rsidRDefault="0057263D" w:rsidP="00263FC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(2) Do začetka uporabe določb iz prejšnjega odstavka se glede vprašanj, ki jih te določbe urejajo, še naprej uporabljajo določbe Zakona o uveljavljanju pravi iz javnih sredstev (Uradni list RS, št. 62/10, 40/11, 110/11</w:t>
      </w:r>
      <w:r w:rsidR="00715647">
        <w:rPr>
          <w:rFonts w:cs="Arial"/>
          <w:color w:val="000000"/>
          <w:szCs w:val="22"/>
          <w:lang w:eastAsia="sl-SI"/>
        </w:rPr>
        <w:t xml:space="preserve"> – </w:t>
      </w:r>
      <w:r>
        <w:rPr>
          <w:rFonts w:cs="Arial"/>
          <w:color w:val="000000"/>
          <w:szCs w:val="22"/>
          <w:lang w:eastAsia="sl-SI"/>
        </w:rPr>
        <w:t>ZDIU12, 40/12</w:t>
      </w:r>
      <w:r w:rsidR="00715647">
        <w:rPr>
          <w:rFonts w:cs="Arial"/>
          <w:color w:val="000000"/>
          <w:szCs w:val="22"/>
          <w:lang w:eastAsia="sl-SI"/>
        </w:rPr>
        <w:t xml:space="preserve"> – </w:t>
      </w:r>
      <w:proofErr w:type="spellStart"/>
      <w:r>
        <w:rPr>
          <w:rFonts w:cs="Arial"/>
          <w:color w:val="000000"/>
          <w:szCs w:val="22"/>
          <w:lang w:eastAsia="sl-SI"/>
        </w:rPr>
        <w:t>ZUJF</w:t>
      </w:r>
      <w:proofErr w:type="spellEnd"/>
      <w:r>
        <w:rPr>
          <w:rFonts w:cs="Arial"/>
          <w:color w:val="000000"/>
          <w:szCs w:val="22"/>
          <w:lang w:eastAsia="sl-SI"/>
        </w:rPr>
        <w:t>, 57/12</w:t>
      </w:r>
      <w:r w:rsidR="00715647">
        <w:rPr>
          <w:rFonts w:cs="Arial"/>
          <w:color w:val="000000"/>
          <w:szCs w:val="22"/>
          <w:lang w:eastAsia="sl-SI"/>
        </w:rPr>
        <w:t xml:space="preserve"> – </w:t>
      </w:r>
      <w:r>
        <w:rPr>
          <w:rFonts w:cs="Arial"/>
          <w:color w:val="000000"/>
          <w:szCs w:val="22"/>
          <w:lang w:eastAsia="sl-SI"/>
        </w:rPr>
        <w:t>ZPCP-2D in 14/13).</w:t>
      </w:r>
    </w:p>
    <w:p w:rsidR="0057263D" w:rsidRDefault="0057263D" w:rsidP="00263FCA">
      <w:pPr>
        <w:tabs>
          <w:tab w:val="left" w:pos="567"/>
          <w:tab w:val="left" w:pos="993"/>
        </w:tabs>
        <w:rPr>
          <w:rFonts w:cs="Arial"/>
          <w:szCs w:val="22"/>
        </w:rPr>
      </w:pPr>
    </w:p>
    <w:p w:rsidR="00E5395E" w:rsidRDefault="00E5395E" w:rsidP="00263FCA">
      <w:pPr>
        <w:tabs>
          <w:tab w:val="left" w:pos="567"/>
          <w:tab w:val="left" w:pos="993"/>
        </w:tabs>
        <w:rPr>
          <w:rFonts w:cs="Arial"/>
          <w:szCs w:val="22"/>
        </w:rPr>
      </w:pPr>
    </w:p>
    <w:p w:rsidR="00E5395E" w:rsidRDefault="00E5395E" w:rsidP="00263FCA">
      <w:pPr>
        <w:tabs>
          <w:tab w:val="left" w:pos="567"/>
          <w:tab w:val="left" w:pos="993"/>
        </w:tabs>
        <w:rPr>
          <w:rFonts w:cs="Arial"/>
          <w:szCs w:val="22"/>
        </w:rPr>
      </w:pPr>
    </w:p>
    <w:p w:rsidR="006F525D" w:rsidRDefault="006F525D" w:rsidP="006F525D">
      <w:pPr>
        <w:tabs>
          <w:tab w:val="left" w:pos="567"/>
          <w:tab w:val="left" w:pos="993"/>
        </w:tabs>
        <w:rPr>
          <w:rFonts w:cs="Arial"/>
          <w:szCs w:val="22"/>
        </w:rPr>
      </w:pPr>
      <w:r>
        <w:rPr>
          <w:rFonts w:cs="Arial"/>
          <w:szCs w:val="22"/>
        </w:rPr>
        <w:t xml:space="preserve">Številka: </w:t>
      </w:r>
      <w:r w:rsidRPr="00263FCA">
        <w:rPr>
          <w:rFonts w:cs="Arial"/>
          <w:szCs w:val="22"/>
        </w:rPr>
        <w:t>541-01/13-8/</w:t>
      </w:r>
    </w:p>
    <w:p w:rsidR="006F525D" w:rsidRDefault="006F525D" w:rsidP="006F525D">
      <w:pPr>
        <w:tabs>
          <w:tab w:val="left" w:pos="567"/>
          <w:tab w:val="left" w:pos="993"/>
        </w:tabs>
        <w:rPr>
          <w:rFonts w:cs="Arial"/>
          <w:szCs w:val="22"/>
        </w:rPr>
      </w:pPr>
      <w:r>
        <w:rPr>
          <w:rFonts w:cs="Arial"/>
          <w:szCs w:val="22"/>
        </w:rPr>
        <w:t>Datum: 21. november 2013</w:t>
      </w:r>
    </w:p>
    <w:p w:rsidR="006F525D" w:rsidRDefault="006F525D" w:rsidP="006F525D">
      <w:pPr>
        <w:tabs>
          <w:tab w:val="left" w:pos="567"/>
          <w:tab w:val="left" w:pos="993"/>
        </w:tabs>
        <w:rPr>
          <w:rFonts w:cs="Arial"/>
          <w:szCs w:val="22"/>
        </w:rPr>
      </w:pPr>
      <w:r w:rsidRPr="00263FCA">
        <w:rPr>
          <w:rFonts w:cs="Arial"/>
          <w:szCs w:val="22"/>
        </w:rPr>
        <w:t>EPA 1499-VI</w:t>
      </w:r>
    </w:p>
    <w:p w:rsidR="00E5395E" w:rsidRDefault="00E5395E" w:rsidP="00263FCA">
      <w:pPr>
        <w:tabs>
          <w:tab w:val="left" w:pos="567"/>
          <w:tab w:val="left" w:pos="993"/>
        </w:tabs>
        <w:rPr>
          <w:rFonts w:cs="Arial"/>
          <w:szCs w:val="22"/>
        </w:rPr>
      </w:pPr>
    </w:p>
    <w:p w:rsidR="00E5395E" w:rsidRPr="00ED0A8E" w:rsidRDefault="00E5395E" w:rsidP="00E5395E">
      <w:pPr>
        <w:tabs>
          <w:tab w:val="left" w:pos="6521"/>
        </w:tabs>
        <w:rPr>
          <w:szCs w:val="22"/>
        </w:rPr>
      </w:pPr>
      <w:r w:rsidRPr="00ED0A8E">
        <w:rPr>
          <w:szCs w:val="22"/>
        </w:rPr>
        <w:tab/>
        <w:t>Državni zbor</w:t>
      </w:r>
    </w:p>
    <w:p w:rsidR="00E5395E" w:rsidRDefault="00E5395E" w:rsidP="00E5395E">
      <w:pPr>
        <w:tabs>
          <w:tab w:val="left" w:pos="6521"/>
        </w:tabs>
        <w:rPr>
          <w:szCs w:val="22"/>
        </w:rPr>
      </w:pPr>
      <w:r w:rsidRPr="00ED0A8E">
        <w:rPr>
          <w:szCs w:val="22"/>
        </w:rPr>
        <w:tab/>
      </w:r>
      <w:r>
        <w:rPr>
          <w:szCs w:val="22"/>
        </w:rPr>
        <w:t>Janko Veber</w:t>
      </w:r>
    </w:p>
    <w:p w:rsidR="00E5395E" w:rsidRPr="00ED0A8E" w:rsidRDefault="00E5395E" w:rsidP="00E5395E">
      <w:pPr>
        <w:tabs>
          <w:tab w:val="left" w:pos="6521"/>
        </w:tabs>
        <w:rPr>
          <w:szCs w:val="22"/>
        </w:rPr>
      </w:pPr>
      <w:r w:rsidRPr="00ED0A8E">
        <w:rPr>
          <w:szCs w:val="22"/>
        </w:rPr>
        <w:tab/>
        <w:t>predsednik</w:t>
      </w:r>
    </w:p>
    <w:p w:rsidR="00E5395E" w:rsidRPr="00263FCA" w:rsidRDefault="00E5395E" w:rsidP="00263FCA">
      <w:pPr>
        <w:tabs>
          <w:tab w:val="left" w:pos="567"/>
          <w:tab w:val="left" w:pos="993"/>
        </w:tabs>
        <w:rPr>
          <w:rFonts w:cs="Arial"/>
          <w:szCs w:val="22"/>
        </w:rPr>
      </w:pPr>
    </w:p>
    <w:sectPr w:rsidR="00E5395E" w:rsidRPr="00263FCA"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26E5" w:rsidRDefault="003126E5" w:rsidP="002E5070">
      <w:r>
        <w:separator/>
      </w:r>
    </w:p>
  </w:endnote>
  <w:endnote w:type="continuationSeparator" w:id="0">
    <w:p w:rsidR="003126E5" w:rsidRDefault="003126E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26E5" w:rsidRDefault="003126E5" w:rsidP="002E5070">
      <w:r>
        <w:separator/>
      </w:r>
    </w:p>
  </w:footnote>
  <w:footnote w:type="continuationSeparator" w:id="0">
    <w:p w:rsidR="003126E5" w:rsidRDefault="003126E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6E5" w:rsidRPr="00536B49" w:rsidRDefault="003126E5"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B06D6">
      <w:rPr>
        <w:rStyle w:val="tevilkastrani"/>
        <w:noProof/>
        <w:sz w:val="20"/>
        <w:szCs w:val="20"/>
      </w:rPr>
      <w:t>16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633C9"/>
    <w:multiLevelType w:val="hybridMultilevel"/>
    <w:tmpl w:val="DBEEDD2A"/>
    <w:lvl w:ilvl="0" w:tplc="DFD454BA">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69F2B23"/>
    <w:multiLevelType w:val="hybridMultilevel"/>
    <w:tmpl w:val="364C484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12770EFB"/>
    <w:multiLevelType w:val="hybridMultilevel"/>
    <w:tmpl w:val="01265F50"/>
    <w:lvl w:ilvl="0" w:tplc="DFD454BA">
      <w:numFmt w:val="bullet"/>
      <w:lvlText w:val="-"/>
      <w:lvlJc w:val="left"/>
      <w:pPr>
        <w:ind w:left="360" w:hanging="360"/>
      </w:pPr>
      <w:rPr>
        <w:rFonts w:ascii="Arial" w:eastAsia="Times New Roman" w:hAnsi="Arial" w:cs="Arial" w:hint="default"/>
      </w:rPr>
    </w:lvl>
    <w:lvl w:ilvl="1" w:tplc="E170351A">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6F903FA"/>
    <w:multiLevelType w:val="hybridMultilevel"/>
    <w:tmpl w:val="13947102"/>
    <w:lvl w:ilvl="0" w:tplc="F66A02EC">
      <w:numFmt w:val="bullet"/>
      <w:lvlText w:val="–"/>
      <w:lvlJc w:val="left"/>
      <w:pPr>
        <w:ind w:left="720" w:hanging="360"/>
      </w:pPr>
      <w:rPr>
        <w:rFonts w:ascii="Arial" w:eastAsia="Times New Roman" w:hAnsi="Arial" w:cs="Arial" w:hint="default"/>
      </w:rPr>
    </w:lvl>
    <w:lvl w:ilvl="1" w:tplc="DFD454BA">
      <w:numFmt w:val="bullet"/>
      <w:lvlText w:val="-"/>
      <w:lvlJc w:val="left"/>
      <w:pPr>
        <w:ind w:left="1650" w:hanging="57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7E96B37"/>
    <w:multiLevelType w:val="hybridMultilevel"/>
    <w:tmpl w:val="AD589DDE"/>
    <w:lvl w:ilvl="0" w:tplc="885CD3E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53110D8"/>
    <w:multiLevelType w:val="hybridMultilevel"/>
    <w:tmpl w:val="A1F0213E"/>
    <w:lvl w:ilvl="0" w:tplc="DFD454BA">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320939C4"/>
    <w:multiLevelType w:val="hybridMultilevel"/>
    <w:tmpl w:val="B4C09F7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32A76090"/>
    <w:multiLevelType w:val="hybridMultilevel"/>
    <w:tmpl w:val="67BCF850"/>
    <w:lvl w:ilvl="0" w:tplc="DFD454B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33D95B03"/>
    <w:multiLevelType w:val="hybridMultilevel"/>
    <w:tmpl w:val="AC32A25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36174A79"/>
    <w:multiLevelType w:val="hybridMultilevel"/>
    <w:tmpl w:val="9D624E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37131D72"/>
    <w:multiLevelType w:val="hybridMultilevel"/>
    <w:tmpl w:val="97A04DAA"/>
    <w:lvl w:ilvl="0" w:tplc="DFD454BA">
      <w:numFmt w:val="bullet"/>
      <w:lvlText w:val="-"/>
      <w:lvlJc w:val="left"/>
      <w:pPr>
        <w:ind w:left="360" w:hanging="360"/>
      </w:pPr>
      <w:rPr>
        <w:rFonts w:ascii="Arial" w:eastAsia="Times New Roman" w:hAnsi="Arial" w:cs="Arial" w:hint="default"/>
      </w:rPr>
    </w:lvl>
    <w:lvl w:ilvl="1" w:tplc="DFD454BA">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39872DB3"/>
    <w:multiLevelType w:val="hybridMultilevel"/>
    <w:tmpl w:val="EA64865A"/>
    <w:lvl w:ilvl="0" w:tplc="61D24ABA">
      <w:numFmt w:val="bullet"/>
      <w:lvlText w:val="-"/>
      <w:lvlJc w:val="left"/>
      <w:pPr>
        <w:ind w:left="720" w:hanging="360"/>
      </w:pPr>
      <w:rPr>
        <w:rFonts w:ascii="Arial" w:eastAsia="Times New Roman" w:hAnsi="Arial" w:hint="default"/>
      </w:rPr>
    </w:lvl>
    <w:lvl w:ilvl="1" w:tplc="B8C877B2">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40745F3E"/>
    <w:multiLevelType w:val="hybridMultilevel"/>
    <w:tmpl w:val="34EEF3E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40815B91"/>
    <w:multiLevelType w:val="hybridMultilevel"/>
    <w:tmpl w:val="60C0233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44A9532E"/>
    <w:multiLevelType w:val="hybridMultilevel"/>
    <w:tmpl w:val="845402C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46642B0C"/>
    <w:multiLevelType w:val="hybridMultilevel"/>
    <w:tmpl w:val="6C383BA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4FB75674"/>
    <w:multiLevelType w:val="hybridMultilevel"/>
    <w:tmpl w:val="DDE8B60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51E2152C"/>
    <w:multiLevelType w:val="hybridMultilevel"/>
    <w:tmpl w:val="EF18306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53ED6866"/>
    <w:multiLevelType w:val="hybridMultilevel"/>
    <w:tmpl w:val="B418776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57D54F4C"/>
    <w:multiLevelType w:val="hybridMultilevel"/>
    <w:tmpl w:val="60D06270"/>
    <w:lvl w:ilvl="0" w:tplc="DFD454BA">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57EA671E"/>
    <w:multiLevelType w:val="hybridMultilevel"/>
    <w:tmpl w:val="7DE0613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651B187D"/>
    <w:multiLevelType w:val="hybridMultilevel"/>
    <w:tmpl w:val="4D32F4F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65EA0B2D"/>
    <w:multiLevelType w:val="hybridMultilevel"/>
    <w:tmpl w:val="7D7ED76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65EA116E"/>
    <w:multiLevelType w:val="hybridMultilevel"/>
    <w:tmpl w:val="A58087E4"/>
    <w:lvl w:ilvl="0" w:tplc="DFD454B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nsid w:val="6C7D50A1"/>
    <w:multiLevelType w:val="hybridMultilevel"/>
    <w:tmpl w:val="C0BEB95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71C84A75"/>
    <w:multiLevelType w:val="hybridMultilevel"/>
    <w:tmpl w:val="2B1C2E20"/>
    <w:lvl w:ilvl="0" w:tplc="73109E3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791D0CE6"/>
    <w:multiLevelType w:val="hybridMultilevel"/>
    <w:tmpl w:val="F214A8C6"/>
    <w:lvl w:ilvl="0" w:tplc="DFD454BA">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7BE7111D"/>
    <w:multiLevelType w:val="hybridMultilevel"/>
    <w:tmpl w:val="80FE0AF6"/>
    <w:lvl w:ilvl="0" w:tplc="DFD454BA">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8"/>
  </w:num>
  <w:num w:numId="2">
    <w:abstractNumId w:val="3"/>
  </w:num>
  <w:num w:numId="3">
    <w:abstractNumId w:val="9"/>
  </w:num>
  <w:num w:numId="4">
    <w:abstractNumId w:val="11"/>
  </w:num>
  <w:num w:numId="5">
    <w:abstractNumId w:val="19"/>
  </w:num>
  <w:num w:numId="6">
    <w:abstractNumId w:val="23"/>
  </w:num>
  <w:num w:numId="7">
    <w:abstractNumId w:val="4"/>
  </w:num>
  <w:num w:numId="8">
    <w:abstractNumId w:val="2"/>
  </w:num>
  <w:num w:numId="9">
    <w:abstractNumId w:val="5"/>
  </w:num>
  <w:num w:numId="10">
    <w:abstractNumId w:val="20"/>
  </w:num>
  <w:num w:numId="11">
    <w:abstractNumId w:val="17"/>
  </w:num>
  <w:num w:numId="12">
    <w:abstractNumId w:val="1"/>
  </w:num>
  <w:num w:numId="13">
    <w:abstractNumId w:val="13"/>
  </w:num>
  <w:num w:numId="14">
    <w:abstractNumId w:val="16"/>
  </w:num>
  <w:num w:numId="15">
    <w:abstractNumId w:val="25"/>
  </w:num>
  <w:num w:numId="16">
    <w:abstractNumId w:val="7"/>
  </w:num>
  <w:num w:numId="17">
    <w:abstractNumId w:val="27"/>
  </w:num>
  <w:num w:numId="18">
    <w:abstractNumId w:val="0"/>
  </w:num>
  <w:num w:numId="19">
    <w:abstractNumId w:val="12"/>
  </w:num>
  <w:num w:numId="20">
    <w:abstractNumId w:val="26"/>
  </w:num>
  <w:num w:numId="21">
    <w:abstractNumId w:val="8"/>
  </w:num>
  <w:num w:numId="22">
    <w:abstractNumId w:val="15"/>
  </w:num>
  <w:num w:numId="23">
    <w:abstractNumId w:val="14"/>
  </w:num>
  <w:num w:numId="24">
    <w:abstractNumId w:val="22"/>
  </w:num>
  <w:num w:numId="25">
    <w:abstractNumId w:val="6"/>
  </w:num>
  <w:num w:numId="26">
    <w:abstractNumId w:val="24"/>
  </w:num>
  <w:num w:numId="27">
    <w:abstractNumId w:val="21"/>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004C1"/>
    <w:rsid w:val="000141DE"/>
    <w:rsid w:val="00020791"/>
    <w:rsid w:val="00023FA4"/>
    <w:rsid w:val="000442EF"/>
    <w:rsid w:val="00047807"/>
    <w:rsid w:val="000577B9"/>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63FCA"/>
    <w:rsid w:val="00285514"/>
    <w:rsid w:val="00285C41"/>
    <w:rsid w:val="002A2C63"/>
    <w:rsid w:val="002A477E"/>
    <w:rsid w:val="002E5070"/>
    <w:rsid w:val="002E7802"/>
    <w:rsid w:val="002F19AC"/>
    <w:rsid w:val="002F35FF"/>
    <w:rsid w:val="003126E5"/>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442CF"/>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7263D"/>
    <w:rsid w:val="00587103"/>
    <w:rsid w:val="005B7B04"/>
    <w:rsid w:val="005C10B0"/>
    <w:rsid w:val="005C11F0"/>
    <w:rsid w:val="005C6B2D"/>
    <w:rsid w:val="005F01B9"/>
    <w:rsid w:val="005F46FB"/>
    <w:rsid w:val="00615A85"/>
    <w:rsid w:val="0062647A"/>
    <w:rsid w:val="00634C10"/>
    <w:rsid w:val="00635216"/>
    <w:rsid w:val="00656341"/>
    <w:rsid w:val="00656D69"/>
    <w:rsid w:val="00666E90"/>
    <w:rsid w:val="00667C80"/>
    <w:rsid w:val="00692EA5"/>
    <w:rsid w:val="006A454D"/>
    <w:rsid w:val="006A708A"/>
    <w:rsid w:val="006C3F89"/>
    <w:rsid w:val="006F525D"/>
    <w:rsid w:val="006F70C4"/>
    <w:rsid w:val="00700EE4"/>
    <w:rsid w:val="007034D9"/>
    <w:rsid w:val="00715647"/>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06D6"/>
    <w:rsid w:val="00AB47E4"/>
    <w:rsid w:val="00AF06AA"/>
    <w:rsid w:val="00AF26FF"/>
    <w:rsid w:val="00B4021E"/>
    <w:rsid w:val="00B64A88"/>
    <w:rsid w:val="00B87962"/>
    <w:rsid w:val="00B926CE"/>
    <w:rsid w:val="00BB2393"/>
    <w:rsid w:val="00BE54BF"/>
    <w:rsid w:val="00C05F5D"/>
    <w:rsid w:val="00C15BF9"/>
    <w:rsid w:val="00C25582"/>
    <w:rsid w:val="00C30C9A"/>
    <w:rsid w:val="00C34089"/>
    <w:rsid w:val="00C34621"/>
    <w:rsid w:val="00C510F9"/>
    <w:rsid w:val="00C55CAA"/>
    <w:rsid w:val="00C86F9B"/>
    <w:rsid w:val="00C9785D"/>
    <w:rsid w:val="00C97933"/>
    <w:rsid w:val="00CA1568"/>
    <w:rsid w:val="00CA3452"/>
    <w:rsid w:val="00CA348A"/>
    <w:rsid w:val="00CA641E"/>
    <w:rsid w:val="00CB3822"/>
    <w:rsid w:val="00CC1344"/>
    <w:rsid w:val="00CC4CBD"/>
    <w:rsid w:val="00CC70EC"/>
    <w:rsid w:val="00CE17D1"/>
    <w:rsid w:val="00D0169A"/>
    <w:rsid w:val="00D12BC4"/>
    <w:rsid w:val="00D1425D"/>
    <w:rsid w:val="00D23B63"/>
    <w:rsid w:val="00D301B7"/>
    <w:rsid w:val="00D34950"/>
    <w:rsid w:val="00D73919"/>
    <w:rsid w:val="00DA298B"/>
    <w:rsid w:val="00DA682B"/>
    <w:rsid w:val="00DC45CC"/>
    <w:rsid w:val="00DC71E4"/>
    <w:rsid w:val="00DD716B"/>
    <w:rsid w:val="00DE2A4E"/>
    <w:rsid w:val="00E0079F"/>
    <w:rsid w:val="00E03BB4"/>
    <w:rsid w:val="00E04052"/>
    <w:rsid w:val="00E30C83"/>
    <w:rsid w:val="00E35A5D"/>
    <w:rsid w:val="00E37B4F"/>
    <w:rsid w:val="00E5395E"/>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263FC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263F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626309">
      <w:bodyDiv w:val="1"/>
      <w:marLeft w:val="0"/>
      <w:marRight w:val="0"/>
      <w:marTop w:val="0"/>
      <w:marBottom w:val="0"/>
      <w:divBdr>
        <w:top w:val="none" w:sz="0" w:space="0" w:color="auto"/>
        <w:left w:val="none" w:sz="0" w:space="0" w:color="auto"/>
        <w:bottom w:val="none" w:sz="0" w:space="0" w:color="auto"/>
        <w:right w:val="none" w:sz="0" w:space="0" w:color="auto"/>
      </w:divBdr>
    </w:div>
    <w:div w:id="1581058498">
      <w:bodyDiv w:val="1"/>
      <w:marLeft w:val="0"/>
      <w:marRight w:val="0"/>
      <w:marTop w:val="0"/>
      <w:marBottom w:val="0"/>
      <w:divBdr>
        <w:top w:val="none" w:sz="0" w:space="0" w:color="auto"/>
        <w:left w:val="none" w:sz="0" w:space="0" w:color="auto"/>
        <w:bottom w:val="none" w:sz="0" w:space="0" w:color="auto"/>
        <w:right w:val="none" w:sz="0" w:space="0" w:color="auto"/>
      </w:divBdr>
    </w:div>
    <w:div w:id="1963002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42F692-9E8F-49B9-B187-BA5209FCE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104</TotalTime>
  <Pages>20</Pages>
  <Words>7616</Words>
  <Characters>43222</Characters>
  <Application>Microsoft Office Word</Application>
  <DocSecurity>0</DocSecurity>
  <Lines>360</Lines>
  <Paragraphs>101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50737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12</cp:revision>
  <cp:lastPrinted>2011-06-20T14:59:00Z</cp:lastPrinted>
  <dcterms:created xsi:type="dcterms:W3CDTF">2013-11-12T07:05:00Z</dcterms:created>
  <dcterms:modified xsi:type="dcterms:W3CDTF">2013-11-28T12:48:00Z</dcterms:modified>
</cp:coreProperties>
</file>