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jc w:val="center"/>
        <w:rPr>
          <w:rFonts w:cs="Arial"/>
          <w:b/>
          <w:color w:val="000000" w:themeColor="text1"/>
          <w:spacing w:val="38"/>
          <w:szCs w:val="22"/>
        </w:rPr>
      </w:pPr>
      <w:r w:rsidRPr="00B70F2F">
        <w:rPr>
          <w:rFonts w:cs="Arial"/>
          <w:b/>
          <w:color w:val="000000" w:themeColor="text1"/>
          <w:spacing w:val="38"/>
          <w:szCs w:val="22"/>
        </w:rPr>
        <w:t>ZAKON</w:t>
      </w:r>
    </w:p>
    <w:p w:rsidR="00B70F2F" w:rsidRDefault="00B70F2F" w:rsidP="00B70F2F">
      <w:pPr>
        <w:tabs>
          <w:tab w:val="left" w:pos="567"/>
          <w:tab w:val="left" w:pos="993"/>
        </w:tabs>
        <w:spacing w:line="240" w:lineRule="auto"/>
        <w:jc w:val="center"/>
        <w:rPr>
          <w:rFonts w:cs="Arial"/>
          <w:b/>
          <w:color w:val="000000" w:themeColor="text1"/>
          <w:szCs w:val="22"/>
        </w:rPr>
      </w:pPr>
    </w:p>
    <w:p w:rsidR="00B70F2F" w:rsidRPr="00B70F2F" w:rsidRDefault="00B70F2F" w:rsidP="00B70F2F">
      <w:pPr>
        <w:tabs>
          <w:tab w:val="left" w:pos="567"/>
          <w:tab w:val="left" w:pos="993"/>
        </w:tabs>
        <w:spacing w:line="240" w:lineRule="auto"/>
        <w:jc w:val="center"/>
        <w:rPr>
          <w:rFonts w:cs="Arial"/>
          <w:b/>
          <w:color w:val="000000" w:themeColor="text1"/>
          <w:szCs w:val="22"/>
        </w:rPr>
      </w:pPr>
      <w:r w:rsidRPr="00B70F2F">
        <w:rPr>
          <w:rFonts w:cs="Arial"/>
          <w:b/>
          <w:color w:val="000000" w:themeColor="text1"/>
          <w:szCs w:val="22"/>
        </w:rPr>
        <w:t>O ENOTNI CENI KNJIGE (ZECK)</w:t>
      </w:r>
    </w:p>
    <w:p w:rsidR="00B70F2F" w:rsidRDefault="00B70F2F" w:rsidP="00B70F2F">
      <w:pPr>
        <w:tabs>
          <w:tab w:val="left" w:pos="567"/>
          <w:tab w:val="left" w:pos="993"/>
        </w:tabs>
        <w:spacing w:line="240" w:lineRule="auto"/>
        <w:rPr>
          <w:rFonts w:cs="Arial"/>
          <w:color w:val="000000" w:themeColor="text1"/>
          <w:szCs w:val="22"/>
        </w:rPr>
      </w:pPr>
    </w:p>
    <w:p w:rsidR="00D55007" w:rsidRDefault="00D55007"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jc w:val="center"/>
        <w:rPr>
          <w:rFonts w:cs="Arial"/>
          <w:color w:val="000000" w:themeColor="text1"/>
          <w:szCs w:val="22"/>
        </w:rPr>
      </w:pPr>
      <w:r w:rsidRPr="00B70F2F">
        <w:rPr>
          <w:rFonts w:cs="Arial"/>
          <w:color w:val="000000" w:themeColor="text1"/>
          <w:szCs w:val="22"/>
        </w:rPr>
        <w:t>1.</w:t>
      </w:r>
      <w:r>
        <w:rPr>
          <w:rFonts w:cs="Arial"/>
          <w:color w:val="000000" w:themeColor="text1"/>
          <w:szCs w:val="22"/>
        </w:rPr>
        <w:t xml:space="preserve"> </w:t>
      </w:r>
      <w:r w:rsidRPr="00B70F2F">
        <w:rPr>
          <w:rFonts w:cs="Arial"/>
          <w:color w:val="000000" w:themeColor="text1"/>
          <w:szCs w:val="22"/>
        </w:rPr>
        <w:t>člen</w:t>
      </w:r>
    </w:p>
    <w:p w:rsidR="00B70F2F" w:rsidRPr="00B70F2F" w:rsidRDefault="00B70F2F" w:rsidP="00B70F2F">
      <w:pPr>
        <w:tabs>
          <w:tab w:val="left" w:pos="567"/>
          <w:tab w:val="left" w:pos="993"/>
        </w:tabs>
        <w:spacing w:line="240" w:lineRule="auto"/>
        <w:jc w:val="center"/>
        <w:rPr>
          <w:rFonts w:cs="Arial"/>
          <w:color w:val="000000" w:themeColor="text1"/>
          <w:szCs w:val="22"/>
        </w:rPr>
      </w:pPr>
      <w:r w:rsidRPr="00B70F2F">
        <w:rPr>
          <w:rFonts w:cs="Arial"/>
          <w:color w:val="000000" w:themeColor="text1"/>
          <w:szCs w:val="22"/>
        </w:rPr>
        <w:t>(vsebina in namen zakona)</w:t>
      </w:r>
    </w:p>
    <w:p w:rsid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70F2F">
        <w:rPr>
          <w:rFonts w:cs="Arial"/>
          <w:color w:val="000000" w:themeColor="text1"/>
          <w:szCs w:val="22"/>
        </w:rPr>
        <w:t>Ta zakon ureja delovanje knjižnega trga in časovno omejeno cenovno stabilnost in predvidljivost pri prometu s knjigo. S tem zakonom se zagotavljajo enotni osnovni tržni pogoji za dostopnost široke ponudbe knjig končnim kupcem v obdobju</w:t>
      </w:r>
      <w:r w:rsidR="00395BBB">
        <w:rPr>
          <w:rFonts w:cs="Arial"/>
          <w:color w:val="000000" w:themeColor="text1"/>
          <w:szCs w:val="22"/>
        </w:rPr>
        <w:t>,</w:t>
      </w:r>
      <w:r w:rsidRPr="00B70F2F">
        <w:rPr>
          <w:rFonts w:cs="Arial"/>
          <w:color w:val="000000" w:themeColor="text1"/>
          <w:szCs w:val="22"/>
        </w:rPr>
        <w:t xml:space="preserve"> določenim z zakonom.</w:t>
      </w:r>
    </w:p>
    <w:p w:rsidR="00B70F2F" w:rsidRPr="00B70F2F" w:rsidRDefault="00B70F2F" w:rsidP="00B70F2F">
      <w:pPr>
        <w:tabs>
          <w:tab w:val="left" w:pos="567"/>
          <w:tab w:val="left" w:pos="993"/>
        </w:tabs>
        <w:spacing w:line="240" w:lineRule="auto"/>
        <w:rPr>
          <w:rFonts w:cs="Arial"/>
          <w:color w:val="000000" w:themeColor="text1"/>
          <w:szCs w:val="22"/>
        </w:rPr>
      </w:pPr>
    </w:p>
    <w:p w:rsid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jc w:val="center"/>
        <w:rPr>
          <w:rFonts w:cs="Arial"/>
          <w:color w:val="000000" w:themeColor="text1"/>
          <w:szCs w:val="22"/>
        </w:rPr>
      </w:pPr>
      <w:r w:rsidRPr="00B70F2F">
        <w:rPr>
          <w:rFonts w:cs="Arial"/>
          <w:color w:val="000000" w:themeColor="text1"/>
          <w:szCs w:val="22"/>
        </w:rPr>
        <w:t>2.</w:t>
      </w:r>
      <w:r>
        <w:rPr>
          <w:rFonts w:cs="Arial"/>
          <w:color w:val="000000" w:themeColor="text1"/>
          <w:szCs w:val="22"/>
        </w:rPr>
        <w:t xml:space="preserve"> </w:t>
      </w:r>
      <w:r w:rsidRPr="00B70F2F">
        <w:rPr>
          <w:rFonts w:cs="Arial"/>
          <w:color w:val="000000" w:themeColor="text1"/>
          <w:szCs w:val="22"/>
        </w:rPr>
        <w:t>člen</w:t>
      </w:r>
    </w:p>
    <w:p w:rsidR="00B70F2F" w:rsidRPr="00B70F2F" w:rsidRDefault="00B70F2F" w:rsidP="00B70F2F">
      <w:pPr>
        <w:tabs>
          <w:tab w:val="left" w:pos="567"/>
          <w:tab w:val="left" w:pos="993"/>
        </w:tabs>
        <w:spacing w:line="240" w:lineRule="auto"/>
        <w:jc w:val="center"/>
        <w:rPr>
          <w:rFonts w:cs="Arial"/>
          <w:color w:val="000000" w:themeColor="text1"/>
          <w:szCs w:val="22"/>
        </w:rPr>
      </w:pPr>
      <w:r w:rsidRPr="00B70F2F">
        <w:rPr>
          <w:rFonts w:cs="Arial"/>
          <w:color w:val="000000" w:themeColor="text1"/>
          <w:szCs w:val="22"/>
        </w:rPr>
        <w:t>(pomen izrazov)</w:t>
      </w:r>
    </w:p>
    <w:p w:rsid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70F2F">
        <w:rPr>
          <w:rFonts w:cs="Arial"/>
          <w:color w:val="000000" w:themeColor="text1"/>
          <w:szCs w:val="22"/>
        </w:rPr>
        <w:t>Posamezni izrazi, uporabljeni v tem zakonu, imajo naslednji pomen:</w:t>
      </w:r>
    </w:p>
    <w:p w:rsidR="00B70F2F" w:rsidRPr="00B70F2F" w:rsidRDefault="00B70F2F" w:rsidP="00B70F2F">
      <w:pPr>
        <w:pStyle w:val="Odstavekseznama"/>
        <w:numPr>
          <w:ilvl w:val="0"/>
          <w:numId w:val="8"/>
        </w:numPr>
        <w:tabs>
          <w:tab w:val="left" w:pos="567"/>
          <w:tab w:val="left" w:pos="993"/>
        </w:tabs>
        <w:spacing w:line="240" w:lineRule="auto"/>
        <w:rPr>
          <w:rFonts w:cs="Arial"/>
          <w:color w:val="000000" w:themeColor="text1"/>
          <w:szCs w:val="22"/>
        </w:rPr>
      </w:pPr>
      <w:r w:rsidRPr="00B70F2F">
        <w:rPr>
          <w:rFonts w:cs="Arial"/>
          <w:color w:val="000000" w:themeColor="text1"/>
          <w:szCs w:val="22"/>
        </w:rPr>
        <w:t>knjiga je javnosti namenjena tiskana ali z drugimi tehničnimi sredstvi izdelana publikacija z besedilom, ilustracijami ali drugače oblikovanim sporočilom. Navadno izide v enem kosu, enem zvezku ali v vnaprej določenem številu zvezkov. Knjiga je objavljena na fizičnem nosilcu (tiskani ali drugi mediji) oziroma dostopna na računalniških omrežjih ali svetovnem spletu. Knjiga ima ceno, določeno v skladu s tem zakonom, namenjena je prodaji in je opremljena z oznako ISBN v skladu z zakonom, ki ureja obvezni izvod publikacij;</w:t>
      </w:r>
    </w:p>
    <w:p w:rsidR="00B70F2F" w:rsidRPr="00B70F2F" w:rsidRDefault="00B70F2F" w:rsidP="00B70F2F">
      <w:pPr>
        <w:pStyle w:val="Odstavekseznama"/>
        <w:numPr>
          <w:ilvl w:val="0"/>
          <w:numId w:val="8"/>
        </w:numPr>
        <w:tabs>
          <w:tab w:val="left" w:pos="567"/>
          <w:tab w:val="left" w:pos="993"/>
        </w:tabs>
        <w:spacing w:line="240" w:lineRule="auto"/>
        <w:rPr>
          <w:rFonts w:cs="Arial"/>
          <w:color w:val="000000" w:themeColor="text1"/>
          <w:szCs w:val="22"/>
        </w:rPr>
      </w:pPr>
      <w:r w:rsidRPr="00B70F2F">
        <w:rPr>
          <w:rFonts w:cs="Arial"/>
          <w:color w:val="000000" w:themeColor="text1"/>
          <w:szCs w:val="22"/>
        </w:rPr>
        <w:t>založniki so založniki po zakonu, ki ureja obvezni izvod publikacij;</w:t>
      </w:r>
    </w:p>
    <w:p w:rsidR="00B70F2F" w:rsidRPr="00B70F2F" w:rsidRDefault="00B70F2F" w:rsidP="00B70F2F">
      <w:pPr>
        <w:pStyle w:val="Odstavekseznama"/>
        <w:numPr>
          <w:ilvl w:val="0"/>
          <w:numId w:val="8"/>
        </w:numPr>
        <w:tabs>
          <w:tab w:val="left" w:pos="567"/>
          <w:tab w:val="left" w:pos="993"/>
        </w:tabs>
        <w:spacing w:line="240" w:lineRule="auto"/>
        <w:rPr>
          <w:rFonts w:cs="Arial"/>
          <w:color w:val="000000" w:themeColor="text1"/>
          <w:szCs w:val="22"/>
        </w:rPr>
      </w:pPr>
      <w:r w:rsidRPr="00B70F2F">
        <w:rPr>
          <w:rFonts w:cs="Arial"/>
          <w:color w:val="000000" w:themeColor="text1"/>
          <w:szCs w:val="22"/>
        </w:rPr>
        <w:t>knjigotržci so pravne osebe zasebnega in javnega prava, samostojni podjetniki posamezniki in posamezniki, ki samostojno opravljajo dejavnost, ki se ukvarjajo s prodajo knjig v katerikoli obliki (založbe, društva, javni in zasebni zavodi, uvozniki, knjigarne, trgovine, prodajni kioski, prodajni centri, ki so specializirani ali nespecializirani za prodajo knjig, spletne knjigarne in prodajalci, knjižni klubi, telefonski studii, antikvariati, samozaložniki, akviziterji in druga prodajna mesta knjige);</w:t>
      </w:r>
    </w:p>
    <w:p w:rsidR="00B70F2F" w:rsidRPr="00B70F2F" w:rsidRDefault="00B70F2F" w:rsidP="00B70F2F">
      <w:pPr>
        <w:pStyle w:val="Odstavekseznama"/>
        <w:numPr>
          <w:ilvl w:val="0"/>
          <w:numId w:val="8"/>
        </w:numPr>
        <w:tabs>
          <w:tab w:val="left" w:pos="567"/>
          <w:tab w:val="left" w:pos="993"/>
        </w:tabs>
        <w:spacing w:line="240" w:lineRule="auto"/>
        <w:rPr>
          <w:rFonts w:cs="Arial"/>
          <w:color w:val="000000" w:themeColor="text1"/>
          <w:szCs w:val="22"/>
        </w:rPr>
      </w:pPr>
      <w:r w:rsidRPr="00B70F2F">
        <w:rPr>
          <w:rFonts w:cs="Arial"/>
          <w:color w:val="000000" w:themeColor="text1"/>
          <w:szCs w:val="22"/>
        </w:rPr>
        <w:t>končni kupci so fizične in pravne osebe, ki nakup opravljajo za lastne potrebe in ne zaradi nadaljnje prodaje;</w:t>
      </w:r>
    </w:p>
    <w:p w:rsidR="00B70F2F" w:rsidRPr="00B70F2F" w:rsidRDefault="00B70F2F" w:rsidP="00B70F2F">
      <w:pPr>
        <w:pStyle w:val="Odstavekseznama"/>
        <w:numPr>
          <w:ilvl w:val="0"/>
          <w:numId w:val="8"/>
        </w:numPr>
        <w:tabs>
          <w:tab w:val="left" w:pos="567"/>
          <w:tab w:val="left" w:pos="993"/>
        </w:tabs>
        <w:spacing w:line="240" w:lineRule="auto"/>
        <w:rPr>
          <w:rFonts w:cs="Arial"/>
          <w:color w:val="000000" w:themeColor="text1"/>
          <w:szCs w:val="22"/>
        </w:rPr>
      </w:pPr>
      <w:r w:rsidRPr="00B70F2F">
        <w:rPr>
          <w:rFonts w:cs="Arial"/>
          <w:color w:val="000000" w:themeColor="text1"/>
          <w:szCs w:val="22"/>
        </w:rPr>
        <w:t>enotna cena je enotna maloprodajna cena (prodajna cena z davkom na dodano vrednost);</w:t>
      </w:r>
    </w:p>
    <w:p w:rsidR="00B70F2F" w:rsidRPr="00B70F2F" w:rsidRDefault="00B70F2F" w:rsidP="00B70F2F">
      <w:pPr>
        <w:pStyle w:val="Odstavekseznama"/>
        <w:numPr>
          <w:ilvl w:val="0"/>
          <w:numId w:val="8"/>
        </w:numPr>
        <w:tabs>
          <w:tab w:val="left" w:pos="567"/>
          <w:tab w:val="left" w:pos="993"/>
        </w:tabs>
        <w:spacing w:line="240" w:lineRule="auto"/>
        <w:rPr>
          <w:rFonts w:cs="Arial"/>
          <w:color w:val="000000" w:themeColor="text1"/>
          <w:szCs w:val="22"/>
        </w:rPr>
      </w:pPr>
      <w:r w:rsidRPr="00B70F2F">
        <w:rPr>
          <w:rFonts w:cs="Arial"/>
          <w:color w:val="000000" w:themeColor="text1"/>
          <w:szCs w:val="22"/>
        </w:rPr>
        <w:t xml:space="preserve">knjižni sejem je glede na trajanje in program zaključena prireditev, na kateri sodeluje najmanj pet založnikov in ki traja največ </w:t>
      </w:r>
      <w:r w:rsidR="00395BBB">
        <w:rPr>
          <w:rFonts w:cs="Arial"/>
          <w:color w:val="000000" w:themeColor="text1"/>
          <w:szCs w:val="22"/>
        </w:rPr>
        <w:t xml:space="preserve">deset </w:t>
      </w:r>
      <w:r w:rsidRPr="00B70F2F">
        <w:rPr>
          <w:rFonts w:cs="Arial"/>
          <w:color w:val="000000" w:themeColor="text1"/>
          <w:szCs w:val="22"/>
        </w:rPr>
        <w:t>zaporednih dni.</w:t>
      </w:r>
    </w:p>
    <w:p w:rsidR="00B70F2F" w:rsidRPr="00B70F2F" w:rsidRDefault="00B70F2F" w:rsidP="00B70F2F">
      <w:pPr>
        <w:tabs>
          <w:tab w:val="left" w:pos="567"/>
          <w:tab w:val="left" w:pos="993"/>
        </w:tabs>
        <w:spacing w:line="240" w:lineRule="auto"/>
        <w:rPr>
          <w:rFonts w:cs="Arial"/>
          <w:color w:val="000000" w:themeColor="text1"/>
          <w:szCs w:val="22"/>
        </w:rPr>
      </w:pPr>
    </w:p>
    <w:p w:rsid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jc w:val="center"/>
        <w:rPr>
          <w:rFonts w:cs="Arial"/>
          <w:color w:val="000000" w:themeColor="text1"/>
          <w:szCs w:val="22"/>
        </w:rPr>
      </w:pPr>
      <w:r w:rsidRPr="00B70F2F">
        <w:rPr>
          <w:rFonts w:cs="Arial"/>
          <w:color w:val="000000" w:themeColor="text1"/>
          <w:szCs w:val="22"/>
        </w:rPr>
        <w:t>3.</w:t>
      </w:r>
      <w:r>
        <w:rPr>
          <w:rFonts w:cs="Arial"/>
          <w:color w:val="000000" w:themeColor="text1"/>
          <w:szCs w:val="22"/>
        </w:rPr>
        <w:t xml:space="preserve"> </w:t>
      </w:r>
      <w:r w:rsidRPr="00B70F2F">
        <w:rPr>
          <w:rFonts w:cs="Arial"/>
          <w:color w:val="000000" w:themeColor="text1"/>
          <w:szCs w:val="22"/>
        </w:rPr>
        <w:t>člen</w:t>
      </w:r>
    </w:p>
    <w:p w:rsidR="00B70F2F" w:rsidRPr="00B70F2F" w:rsidRDefault="00B70F2F" w:rsidP="00B70F2F">
      <w:pPr>
        <w:tabs>
          <w:tab w:val="left" w:pos="567"/>
          <w:tab w:val="left" w:pos="993"/>
        </w:tabs>
        <w:spacing w:line="240" w:lineRule="auto"/>
        <w:jc w:val="center"/>
        <w:rPr>
          <w:rFonts w:cs="Arial"/>
          <w:color w:val="000000" w:themeColor="text1"/>
          <w:szCs w:val="22"/>
        </w:rPr>
      </w:pPr>
      <w:r w:rsidRPr="00B70F2F">
        <w:rPr>
          <w:rFonts w:cs="Arial"/>
          <w:color w:val="000000" w:themeColor="text1"/>
          <w:szCs w:val="22"/>
        </w:rPr>
        <w:t>(temeljna načela)</w:t>
      </w:r>
    </w:p>
    <w:p w:rsid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70F2F">
        <w:rPr>
          <w:rFonts w:cs="Arial"/>
          <w:color w:val="000000" w:themeColor="text1"/>
          <w:szCs w:val="22"/>
        </w:rPr>
        <w:t>Temeljna načela tega zakona so:</w:t>
      </w:r>
    </w:p>
    <w:p w:rsidR="00B70F2F" w:rsidRPr="00B70F2F" w:rsidRDefault="00B70F2F" w:rsidP="00B70F2F">
      <w:pPr>
        <w:pStyle w:val="Odstavekseznama"/>
        <w:numPr>
          <w:ilvl w:val="0"/>
          <w:numId w:val="9"/>
        </w:numPr>
        <w:tabs>
          <w:tab w:val="left" w:pos="567"/>
          <w:tab w:val="left" w:pos="993"/>
        </w:tabs>
        <w:spacing w:line="240" w:lineRule="auto"/>
        <w:rPr>
          <w:rFonts w:cs="Arial"/>
          <w:color w:val="000000" w:themeColor="text1"/>
          <w:szCs w:val="22"/>
        </w:rPr>
      </w:pPr>
      <w:r w:rsidRPr="00B70F2F">
        <w:rPr>
          <w:rFonts w:cs="Arial"/>
          <w:color w:val="000000" w:themeColor="text1"/>
          <w:szCs w:val="22"/>
        </w:rPr>
        <w:t>načelo zaščite slovenske knjige kot javne dobrine posebnega kulturnega pomena za razvoj posameznika, družbe in države ter za razvoj slovenskega jezika</w:t>
      </w:r>
      <w:r w:rsidR="00395BBB">
        <w:rPr>
          <w:rFonts w:cs="Arial"/>
          <w:color w:val="000000" w:themeColor="text1"/>
          <w:szCs w:val="22"/>
        </w:rPr>
        <w:t>;</w:t>
      </w:r>
    </w:p>
    <w:p w:rsidR="00B70F2F" w:rsidRPr="00B70F2F" w:rsidRDefault="00B70F2F" w:rsidP="00B70F2F">
      <w:pPr>
        <w:pStyle w:val="Odstavekseznama"/>
        <w:numPr>
          <w:ilvl w:val="0"/>
          <w:numId w:val="9"/>
        </w:numPr>
        <w:tabs>
          <w:tab w:val="left" w:pos="567"/>
          <w:tab w:val="left" w:pos="993"/>
        </w:tabs>
        <w:spacing w:line="240" w:lineRule="auto"/>
        <w:rPr>
          <w:rFonts w:cs="Arial"/>
          <w:color w:val="000000" w:themeColor="text1"/>
          <w:szCs w:val="22"/>
        </w:rPr>
      </w:pPr>
      <w:r w:rsidRPr="00B70F2F">
        <w:rPr>
          <w:rFonts w:cs="Arial"/>
          <w:color w:val="000000" w:themeColor="text1"/>
          <w:szCs w:val="22"/>
        </w:rPr>
        <w:t>načelo maksimalne in enakopravne dostopnosti slovenske knjige za vse končne kupce na celotnem območju Republike Slovenije</w:t>
      </w:r>
      <w:r w:rsidR="00395BBB">
        <w:rPr>
          <w:rFonts w:cs="Arial"/>
          <w:color w:val="000000" w:themeColor="text1"/>
          <w:szCs w:val="22"/>
        </w:rPr>
        <w:t>;</w:t>
      </w:r>
    </w:p>
    <w:p w:rsidR="00B70F2F" w:rsidRPr="00B70F2F" w:rsidRDefault="00B70F2F" w:rsidP="00B70F2F">
      <w:pPr>
        <w:pStyle w:val="Odstavekseznama"/>
        <w:numPr>
          <w:ilvl w:val="0"/>
          <w:numId w:val="9"/>
        </w:numPr>
        <w:tabs>
          <w:tab w:val="left" w:pos="567"/>
          <w:tab w:val="left" w:pos="993"/>
        </w:tabs>
        <w:spacing w:line="240" w:lineRule="auto"/>
        <w:rPr>
          <w:rFonts w:cs="Arial"/>
          <w:color w:val="000000" w:themeColor="text1"/>
          <w:szCs w:val="22"/>
        </w:rPr>
      </w:pPr>
      <w:r w:rsidRPr="00B70F2F">
        <w:rPr>
          <w:rFonts w:cs="Arial"/>
          <w:color w:val="000000" w:themeColor="text1"/>
          <w:szCs w:val="22"/>
        </w:rPr>
        <w:t>načelo enakosti kupcev knjig, tako da bodo v obdobju, ki ga predpisuje zakon</w:t>
      </w:r>
      <w:r w:rsidR="00395BBB">
        <w:rPr>
          <w:rFonts w:cs="Arial"/>
          <w:color w:val="000000" w:themeColor="text1"/>
          <w:szCs w:val="22"/>
        </w:rPr>
        <w:t>,</w:t>
      </w:r>
      <w:r w:rsidRPr="00B70F2F">
        <w:rPr>
          <w:rFonts w:cs="Arial"/>
          <w:color w:val="000000" w:themeColor="text1"/>
          <w:szCs w:val="22"/>
        </w:rPr>
        <w:t xml:space="preserve"> lahko kupili določen knjižni naslov po enaki ceni ne glede na način in kraj nakupa</w:t>
      </w:r>
      <w:r w:rsidR="00395BBB">
        <w:rPr>
          <w:rFonts w:cs="Arial"/>
          <w:color w:val="000000" w:themeColor="text1"/>
          <w:szCs w:val="22"/>
        </w:rPr>
        <w:t>;</w:t>
      </w:r>
    </w:p>
    <w:p w:rsidR="00B70F2F" w:rsidRPr="00B70F2F" w:rsidRDefault="00B70F2F" w:rsidP="00B70F2F">
      <w:pPr>
        <w:pStyle w:val="Odstavekseznama"/>
        <w:numPr>
          <w:ilvl w:val="0"/>
          <w:numId w:val="9"/>
        </w:numPr>
        <w:tabs>
          <w:tab w:val="left" w:pos="567"/>
          <w:tab w:val="left" w:pos="993"/>
        </w:tabs>
        <w:spacing w:line="240" w:lineRule="auto"/>
        <w:rPr>
          <w:rFonts w:cs="Arial"/>
          <w:color w:val="000000" w:themeColor="text1"/>
          <w:szCs w:val="22"/>
        </w:rPr>
      </w:pPr>
      <w:r w:rsidRPr="00B70F2F">
        <w:rPr>
          <w:rFonts w:cs="Arial"/>
          <w:color w:val="000000" w:themeColor="text1"/>
          <w:szCs w:val="22"/>
        </w:rPr>
        <w:t>načelo prirejenosti interesov vseh deležnikov v knjižni verigi, tako da so avtorji, založniki, knjigotržci, knjižnice in končni kupci v optimalnih medsebojnih razmerjih.</w:t>
      </w:r>
    </w:p>
    <w:p w:rsidR="00B70F2F" w:rsidRDefault="00B70F2F" w:rsidP="00B70F2F">
      <w:pPr>
        <w:tabs>
          <w:tab w:val="left" w:pos="567"/>
          <w:tab w:val="left" w:pos="993"/>
        </w:tabs>
        <w:spacing w:line="240" w:lineRule="auto"/>
        <w:rPr>
          <w:rFonts w:cs="Arial"/>
          <w:color w:val="000000" w:themeColor="text1"/>
          <w:szCs w:val="22"/>
        </w:rPr>
      </w:pPr>
    </w:p>
    <w:p w:rsid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jc w:val="center"/>
        <w:rPr>
          <w:rFonts w:cs="Arial"/>
          <w:color w:val="000000" w:themeColor="text1"/>
          <w:szCs w:val="22"/>
        </w:rPr>
      </w:pPr>
      <w:r w:rsidRPr="00B70F2F">
        <w:rPr>
          <w:rFonts w:cs="Arial"/>
          <w:color w:val="000000" w:themeColor="text1"/>
          <w:szCs w:val="22"/>
        </w:rPr>
        <w:t>4.</w:t>
      </w:r>
      <w:r>
        <w:rPr>
          <w:rFonts w:cs="Arial"/>
          <w:color w:val="000000" w:themeColor="text1"/>
          <w:szCs w:val="22"/>
        </w:rPr>
        <w:t xml:space="preserve"> </w:t>
      </w:r>
      <w:r w:rsidRPr="00B70F2F">
        <w:rPr>
          <w:rFonts w:cs="Arial"/>
          <w:color w:val="000000" w:themeColor="text1"/>
          <w:szCs w:val="22"/>
        </w:rPr>
        <w:t>člen</w:t>
      </w:r>
    </w:p>
    <w:p w:rsidR="00B70F2F" w:rsidRPr="00B70F2F" w:rsidRDefault="00B70F2F" w:rsidP="00B70F2F">
      <w:pPr>
        <w:tabs>
          <w:tab w:val="left" w:pos="567"/>
          <w:tab w:val="left" w:pos="993"/>
        </w:tabs>
        <w:spacing w:line="240" w:lineRule="auto"/>
        <w:jc w:val="center"/>
        <w:rPr>
          <w:rFonts w:cs="Arial"/>
          <w:color w:val="000000" w:themeColor="text1"/>
          <w:szCs w:val="22"/>
        </w:rPr>
      </w:pPr>
      <w:r w:rsidRPr="00B70F2F">
        <w:rPr>
          <w:rFonts w:cs="Arial"/>
          <w:color w:val="000000" w:themeColor="text1"/>
          <w:szCs w:val="22"/>
        </w:rPr>
        <w:t>(zavezanci)</w:t>
      </w:r>
    </w:p>
    <w:p w:rsid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70F2F">
        <w:rPr>
          <w:rFonts w:cs="Arial"/>
          <w:color w:val="000000" w:themeColor="text1"/>
          <w:szCs w:val="22"/>
        </w:rPr>
        <w:t>Založniki so dolžni za namen prodaje končnim kupcem določiti knjigi enotno ceno v skladu s tem zakonom, knjigotržci pa so dolžni pri prodaji končnim kupcem tako določeno enotno ceno upoštevati v skladu s tem zakonom.</w:t>
      </w:r>
    </w:p>
    <w:p w:rsidR="00B70F2F" w:rsidRPr="00B70F2F" w:rsidRDefault="00B70F2F" w:rsidP="00B70F2F">
      <w:pPr>
        <w:tabs>
          <w:tab w:val="left" w:pos="567"/>
          <w:tab w:val="left" w:pos="993"/>
        </w:tabs>
        <w:spacing w:line="240" w:lineRule="auto"/>
        <w:rPr>
          <w:rFonts w:cs="Arial"/>
          <w:color w:val="000000" w:themeColor="text1"/>
          <w:szCs w:val="22"/>
        </w:rPr>
      </w:pPr>
    </w:p>
    <w:p w:rsid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jc w:val="center"/>
        <w:rPr>
          <w:rFonts w:cs="Arial"/>
          <w:color w:val="000000" w:themeColor="text1"/>
          <w:szCs w:val="22"/>
        </w:rPr>
      </w:pPr>
      <w:r w:rsidRPr="00B70F2F">
        <w:rPr>
          <w:rFonts w:cs="Arial"/>
          <w:color w:val="000000" w:themeColor="text1"/>
          <w:szCs w:val="22"/>
        </w:rPr>
        <w:t>5.</w:t>
      </w:r>
      <w:r>
        <w:rPr>
          <w:rFonts w:cs="Arial"/>
          <w:color w:val="000000" w:themeColor="text1"/>
          <w:szCs w:val="22"/>
        </w:rPr>
        <w:t xml:space="preserve"> </w:t>
      </w:r>
      <w:r w:rsidRPr="00B70F2F">
        <w:rPr>
          <w:rFonts w:cs="Arial"/>
          <w:color w:val="000000" w:themeColor="text1"/>
          <w:szCs w:val="22"/>
        </w:rPr>
        <w:t>člen</w:t>
      </w:r>
    </w:p>
    <w:p w:rsidR="00B70F2F" w:rsidRPr="00B70F2F" w:rsidRDefault="00B70F2F" w:rsidP="00B70F2F">
      <w:pPr>
        <w:tabs>
          <w:tab w:val="left" w:pos="567"/>
          <w:tab w:val="left" w:pos="993"/>
        </w:tabs>
        <w:spacing w:line="240" w:lineRule="auto"/>
        <w:jc w:val="center"/>
        <w:rPr>
          <w:rFonts w:cs="Arial"/>
          <w:color w:val="000000" w:themeColor="text1"/>
          <w:szCs w:val="22"/>
        </w:rPr>
      </w:pPr>
      <w:r w:rsidRPr="00B70F2F">
        <w:rPr>
          <w:rFonts w:cs="Arial"/>
          <w:color w:val="000000" w:themeColor="text1"/>
          <w:szCs w:val="22"/>
        </w:rPr>
        <w:t>(enotna cena)</w:t>
      </w:r>
    </w:p>
    <w:p w:rsidR="00B70F2F" w:rsidRP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70F2F">
        <w:rPr>
          <w:rFonts w:cs="Arial"/>
          <w:color w:val="000000" w:themeColor="text1"/>
          <w:szCs w:val="22"/>
        </w:rPr>
        <w:t>(1) Založnik oziroma založnica (v nadaljnjem besedilu: založnik) določi knjigi enotno ceno in jo označi v skladu z zakonom, ki ureja obvezni izvod publikacij.</w:t>
      </w:r>
    </w:p>
    <w:p w:rsidR="00B70F2F" w:rsidRP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70F2F">
        <w:rPr>
          <w:rFonts w:cs="Arial"/>
          <w:color w:val="000000" w:themeColor="text1"/>
          <w:szCs w:val="22"/>
        </w:rPr>
        <w:t>(2) Enotno ceno knjige iz prejšnjega odstavka založnik prijavi Javni agenciji za knjigo Republike Slovenije najmanj dan pred dnevom začetka prodaje knjige. Prijava vsebuje podatke o naslovu knjige, enotni ceni knjige in dnevu začetka prodaje knjige. Podatki o knjigi iz prejšnjega stavka so javno dostopni z dnem začetka prodaje knjige.</w:t>
      </w:r>
    </w:p>
    <w:p w:rsidR="00B70F2F" w:rsidRP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70F2F">
        <w:rPr>
          <w:rFonts w:cs="Arial"/>
          <w:color w:val="000000" w:themeColor="text1"/>
          <w:szCs w:val="22"/>
        </w:rPr>
        <w:t>(3) Javna agencija za knjigo Republike Slovenije vodi o podatkih iz prejšnjega odstavka evidenco, ki jo objavi na svoji spletni strani. Ostale podatke o knjigi Javna agencija za knjigo Republike Slovenije po uradni dolžnosti pridobi od Narodne in univerzitetne knjižnice Ljubljana.</w:t>
      </w:r>
    </w:p>
    <w:p w:rsidR="00B70F2F" w:rsidRP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70F2F">
        <w:rPr>
          <w:rFonts w:cs="Arial"/>
          <w:color w:val="000000" w:themeColor="text1"/>
          <w:szCs w:val="22"/>
        </w:rPr>
        <w:t>(4) Enotna cena knjige iz tega člena velja za vse končne kupce pod enakimi pogoji in sočasno na celotnem ozemlju Republike Slovenije za obdobje šestih mesecev od dneva začetka prodaje knjige.</w:t>
      </w:r>
    </w:p>
    <w:p w:rsidR="00B70F2F" w:rsidRP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70F2F">
        <w:rPr>
          <w:rFonts w:cs="Arial"/>
          <w:color w:val="000000" w:themeColor="text1"/>
          <w:szCs w:val="22"/>
        </w:rPr>
        <w:t>(5) Enotna cena knjige pri prodaji na daljavo lahko vključuje stroške dostave končnemu kupcu.</w:t>
      </w:r>
    </w:p>
    <w:p w:rsidR="00B70F2F" w:rsidRDefault="00B70F2F" w:rsidP="00B70F2F">
      <w:pPr>
        <w:tabs>
          <w:tab w:val="left" w:pos="567"/>
          <w:tab w:val="left" w:pos="993"/>
        </w:tabs>
        <w:spacing w:line="240" w:lineRule="auto"/>
        <w:rPr>
          <w:rFonts w:cs="Arial"/>
          <w:color w:val="000000" w:themeColor="text1"/>
          <w:szCs w:val="22"/>
        </w:rPr>
      </w:pPr>
    </w:p>
    <w:p w:rsid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jc w:val="center"/>
        <w:rPr>
          <w:rFonts w:cs="Arial"/>
          <w:color w:val="000000" w:themeColor="text1"/>
          <w:szCs w:val="22"/>
        </w:rPr>
      </w:pPr>
      <w:r w:rsidRPr="00B70F2F">
        <w:rPr>
          <w:rFonts w:cs="Arial"/>
          <w:color w:val="000000" w:themeColor="text1"/>
          <w:szCs w:val="22"/>
        </w:rPr>
        <w:t>6.</w:t>
      </w:r>
      <w:r>
        <w:rPr>
          <w:rFonts w:cs="Arial"/>
          <w:color w:val="000000" w:themeColor="text1"/>
          <w:szCs w:val="22"/>
        </w:rPr>
        <w:t xml:space="preserve"> </w:t>
      </w:r>
      <w:r w:rsidRPr="00B70F2F">
        <w:rPr>
          <w:rFonts w:cs="Arial"/>
          <w:color w:val="000000" w:themeColor="text1"/>
          <w:szCs w:val="22"/>
        </w:rPr>
        <w:t>člen</w:t>
      </w:r>
    </w:p>
    <w:p w:rsidR="00B70F2F" w:rsidRPr="00B70F2F" w:rsidRDefault="00B70F2F" w:rsidP="00B70F2F">
      <w:pPr>
        <w:tabs>
          <w:tab w:val="left" w:pos="567"/>
          <w:tab w:val="left" w:pos="993"/>
        </w:tabs>
        <w:spacing w:line="240" w:lineRule="auto"/>
        <w:jc w:val="center"/>
        <w:rPr>
          <w:rFonts w:cs="Arial"/>
          <w:color w:val="000000" w:themeColor="text1"/>
          <w:szCs w:val="22"/>
        </w:rPr>
      </w:pPr>
      <w:r w:rsidRPr="00B70F2F">
        <w:rPr>
          <w:rFonts w:cs="Arial"/>
          <w:color w:val="000000" w:themeColor="text1"/>
          <w:szCs w:val="22"/>
        </w:rPr>
        <w:t>(popusti)</w:t>
      </w:r>
    </w:p>
    <w:p w:rsid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70F2F">
        <w:rPr>
          <w:rFonts w:cs="Arial"/>
          <w:color w:val="000000" w:themeColor="text1"/>
          <w:szCs w:val="22"/>
        </w:rPr>
        <w:t xml:space="preserve">(1) Založnik lahko v času trajanja enotne cene knjige za vse končne kupce, pod enakimi pogoji ter sočasno na celotnem ozemlju Slovenije, določi popuste v naslednjih primerih: </w:t>
      </w:r>
    </w:p>
    <w:p w:rsidR="00B70F2F" w:rsidRPr="00B70F2F" w:rsidRDefault="00B70F2F" w:rsidP="00B70F2F">
      <w:pPr>
        <w:pStyle w:val="Odstavekseznama"/>
        <w:numPr>
          <w:ilvl w:val="0"/>
          <w:numId w:val="10"/>
        </w:numPr>
        <w:tabs>
          <w:tab w:val="left" w:pos="567"/>
          <w:tab w:val="left" w:pos="993"/>
        </w:tabs>
        <w:spacing w:line="240" w:lineRule="auto"/>
        <w:rPr>
          <w:rFonts w:cs="Arial"/>
          <w:color w:val="000000" w:themeColor="text1"/>
          <w:szCs w:val="22"/>
        </w:rPr>
      </w:pPr>
      <w:r w:rsidRPr="00B70F2F">
        <w:rPr>
          <w:rFonts w:cs="Arial"/>
          <w:color w:val="000000" w:themeColor="text1"/>
          <w:szCs w:val="22"/>
        </w:rPr>
        <w:t xml:space="preserve">za naročilo cele zbirke ali serije, v kateri je naslov izšel, </w:t>
      </w:r>
    </w:p>
    <w:p w:rsidR="00B70F2F" w:rsidRPr="00B70F2F" w:rsidRDefault="00B70F2F" w:rsidP="00B70F2F">
      <w:pPr>
        <w:pStyle w:val="Odstavekseznama"/>
        <w:numPr>
          <w:ilvl w:val="0"/>
          <w:numId w:val="10"/>
        </w:numPr>
        <w:tabs>
          <w:tab w:val="left" w:pos="567"/>
          <w:tab w:val="left" w:pos="993"/>
        </w:tabs>
        <w:spacing w:line="240" w:lineRule="auto"/>
        <w:rPr>
          <w:rFonts w:cs="Arial"/>
          <w:color w:val="000000" w:themeColor="text1"/>
          <w:szCs w:val="22"/>
        </w:rPr>
      </w:pPr>
      <w:r w:rsidRPr="00B70F2F">
        <w:rPr>
          <w:rFonts w:cs="Arial"/>
          <w:color w:val="000000" w:themeColor="text1"/>
          <w:szCs w:val="22"/>
        </w:rPr>
        <w:t>za naročilo in plačilo pred izidom v prednaročilu.</w:t>
      </w:r>
    </w:p>
    <w:p w:rsid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70F2F">
        <w:rPr>
          <w:rFonts w:cs="Arial"/>
          <w:color w:val="000000" w:themeColor="text1"/>
          <w:szCs w:val="22"/>
        </w:rPr>
        <w:t>(2) Založnik lahko v času trajanja enotne cene knjige določi tudi naslednje popuste pod posebnimi pogoji:</w:t>
      </w:r>
    </w:p>
    <w:p w:rsidR="00B70F2F" w:rsidRPr="00B70F2F" w:rsidRDefault="00B70F2F" w:rsidP="00B70F2F">
      <w:pPr>
        <w:pStyle w:val="Odstavekseznama"/>
        <w:numPr>
          <w:ilvl w:val="0"/>
          <w:numId w:val="11"/>
        </w:numPr>
        <w:tabs>
          <w:tab w:val="left" w:pos="567"/>
          <w:tab w:val="left" w:pos="993"/>
        </w:tabs>
        <w:spacing w:line="240" w:lineRule="auto"/>
        <w:rPr>
          <w:rFonts w:cs="Arial"/>
          <w:color w:val="000000" w:themeColor="text1"/>
          <w:szCs w:val="22"/>
        </w:rPr>
      </w:pPr>
      <w:r w:rsidRPr="00B70F2F">
        <w:rPr>
          <w:rFonts w:cs="Arial"/>
          <w:color w:val="000000" w:themeColor="text1"/>
          <w:szCs w:val="22"/>
        </w:rPr>
        <w:t xml:space="preserve">na knjižnih sejmih, kjer lahko založnik ponudi do vključno </w:t>
      </w:r>
      <w:r w:rsidR="00395BBB">
        <w:rPr>
          <w:rFonts w:cs="Arial"/>
          <w:color w:val="000000" w:themeColor="text1"/>
          <w:szCs w:val="22"/>
        </w:rPr>
        <w:t xml:space="preserve">20 </w:t>
      </w:r>
      <w:r w:rsidRPr="00B70F2F">
        <w:rPr>
          <w:rFonts w:cs="Arial"/>
          <w:color w:val="000000" w:themeColor="text1"/>
          <w:szCs w:val="22"/>
        </w:rPr>
        <w:t>odstotni sejemski popust,</w:t>
      </w:r>
    </w:p>
    <w:p w:rsidR="00B70F2F" w:rsidRPr="00B70F2F" w:rsidRDefault="00B70F2F" w:rsidP="00B70F2F">
      <w:pPr>
        <w:pStyle w:val="Odstavekseznama"/>
        <w:numPr>
          <w:ilvl w:val="0"/>
          <w:numId w:val="11"/>
        </w:numPr>
        <w:tabs>
          <w:tab w:val="left" w:pos="567"/>
          <w:tab w:val="left" w:pos="993"/>
        </w:tabs>
        <w:spacing w:line="240" w:lineRule="auto"/>
        <w:rPr>
          <w:rFonts w:cs="Arial"/>
          <w:color w:val="000000" w:themeColor="text1"/>
          <w:szCs w:val="22"/>
        </w:rPr>
      </w:pPr>
      <w:r w:rsidRPr="00B70F2F">
        <w:rPr>
          <w:rFonts w:cs="Arial"/>
          <w:color w:val="000000" w:themeColor="text1"/>
          <w:szCs w:val="22"/>
        </w:rPr>
        <w:t xml:space="preserve">na predstavitvenih dogodkih določene knjige, kjer lahko založnik ali knjigotržec oziroma knjigotržka (v nadaljnjem besedilu: knjigotržec) ponudi do vključno </w:t>
      </w:r>
      <w:r w:rsidR="00395BBB">
        <w:rPr>
          <w:rFonts w:cs="Arial"/>
          <w:color w:val="000000" w:themeColor="text1"/>
          <w:szCs w:val="22"/>
        </w:rPr>
        <w:t>20</w:t>
      </w:r>
      <w:r w:rsidR="00D55007">
        <w:rPr>
          <w:rFonts w:cs="Arial"/>
          <w:color w:val="000000" w:themeColor="text1"/>
          <w:szCs w:val="22"/>
        </w:rPr>
        <w:t> </w:t>
      </w:r>
      <w:bookmarkStart w:id="0" w:name="_GoBack"/>
      <w:bookmarkEnd w:id="0"/>
      <w:r w:rsidRPr="00B70F2F">
        <w:rPr>
          <w:rFonts w:cs="Arial"/>
          <w:color w:val="000000" w:themeColor="text1"/>
          <w:szCs w:val="22"/>
        </w:rPr>
        <w:t>odstotni popust, ki je vezan na predstavljeno knjigo ter na dan in lokacijo dogodka.</w:t>
      </w:r>
    </w:p>
    <w:p w:rsidR="00B70F2F" w:rsidRDefault="00B70F2F" w:rsidP="00B70F2F">
      <w:pPr>
        <w:tabs>
          <w:tab w:val="left" w:pos="567"/>
          <w:tab w:val="left" w:pos="993"/>
        </w:tabs>
        <w:spacing w:line="240" w:lineRule="auto"/>
        <w:rPr>
          <w:rFonts w:cs="Arial"/>
          <w:color w:val="000000" w:themeColor="text1"/>
          <w:szCs w:val="22"/>
        </w:rPr>
      </w:pPr>
    </w:p>
    <w:p w:rsid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jc w:val="center"/>
        <w:rPr>
          <w:rFonts w:cs="Arial"/>
          <w:color w:val="000000" w:themeColor="text1"/>
          <w:szCs w:val="22"/>
        </w:rPr>
      </w:pPr>
      <w:r w:rsidRPr="00B70F2F">
        <w:rPr>
          <w:rFonts w:cs="Arial"/>
          <w:color w:val="000000" w:themeColor="text1"/>
          <w:szCs w:val="22"/>
        </w:rPr>
        <w:t>7.</w:t>
      </w:r>
      <w:r>
        <w:rPr>
          <w:rFonts w:cs="Arial"/>
          <w:color w:val="000000" w:themeColor="text1"/>
          <w:szCs w:val="22"/>
        </w:rPr>
        <w:t xml:space="preserve"> </w:t>
      </w:r>
      <w:r w:rsidRPr="00B70F2F">
        <w:rPr>
          <w:rFonts w:cs="Arial"/>
          <w:color w:val="000000" w:themeColor="text1"/>
          <w:szCs w:val="22"/>
        </w:rPr>
        <w:t>člen</w:t>
      </w:r>
    </w:p>
    <w:p w:rsidR="00B70F2F" w:rsidRPr="00B70F2F" w:rsidRDefault="00B70F2F" w:rsidP="00B70F2F">
      <w:pPr>
        <w:tabs>
          <w:tab w:val="left" w:pos="567"/>
          <w:tab w:val="left" w:pos="993"/>
        </w:tabs>
        <w:spacing w:line="240" w:lineRule="auto"/>
        <w:jc w:val="center"/>
        <w:rPr>
          <w:rFonts w:cs="Arial"/>
          <w:color w:val="000000" w:themeColor="text1"/>
          <w:szCs w:val="22"/>
        </w:rPr>
      </w:pPr>
      <w:r w:rsidRPr="00B70F2F">
        <w:rPr>
          <w:rFonts w:cs="Arial"/>
          <w:color w:val="000000" w:themeColor="text1"/>
          <w:szCs w:val="22"/>
        </w:rPr>
        <w:t>(izjeme)</w:t>
      </w:r>
    </w:p>
    <w:p w:rsid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B70F2F">
        <w:rPr>
          <w:rFonts w:cs="Arial"/>
          <w:color w:val="000000" w:themeColor="text1"/>
          <w:szCs w:val="22"/>
        </w:rPr>
        <w:t>Ta zakon se ne uporablja pri prodaji:</w:t>
      </w:r>
    </w:p>
    <w:p w:rsidR="00B70F2F" w:rsidRPr="00B70F2F" w:rsidRDefault="00B70F2F" w:rsidP="00B70F2F">
      <w:pPr>
        <w:pStyle w:val="Odstavekseznama"/>
        <w:numPr>
          <w:ilvl w:val="0"/>
          <w:numId w:val="11"/>
        </w:numPr>
        <w:tabs>
          <w:tab w:val="left" w:pos="567"/>
          <w:tab w:val="left" w:pos="993"/>
        </w:tabs>
        <w:spacing w:line="240" w:lineRule="auto"/>
        <w:rPr>
          <w:rFonts w:cs="Arial"/>
          <w:color w:val="000000" w:themeColor="text1"/>
          <w:szCs w:val="22"/>
        </w:rPr>
      </w:pPr>
      <w:r w:rsidRPr="00B70F2F">
        <w:rPr>
          <w:rFonts w:cs="Arial"/>
          <w:color w:val="000000" w:themeColor="text1"/>
          <w:szCs w:val="22"/>
        </w:rPr>
        <w:t>uvoženih knjig v tujem jeziku, razen potrjenih šolskih učbenikov,</w:t>
      </w:r>
    </w:p>
    <w:p w:rsidR="00B70F2F" w:rsidRPr="00B70F2F" w:rsidRDefault="00B70F2F" w:rsidP="00B70F2F">
      <w:pPr>
        <w:pStyle w:val="Odstavekseznama"/>
        <w:numPr>
          <w:ilvl w:val="0"/>
          <w:numId w:val="11"/>
        </w:numPr>
        <w:tabs>
          <w:tab w:val="left" w:pos="567"/>
          <w:tab w:val="left" w:pos="993"/>
        </w:tabs>
        <w:spacing w:line="240" w:lineRule="auto"/>
        <w:rPr>
          <w:rFonts w:cs="Arial"/>
          <w:color w:val="000000" w:themeColor="text1"/>
          <w:szCs w:val="22"/>
        </w:rPr>
      </w:pPr>
      <w:r w:rsidRPr="00B70F2F">
        <w:rPr>
          <w:rFonts w:cs="Arial"/>
          <w:color w:val="000000" w:themeColor="text1"/>
          <w:szCs w:val="22"/>
        </w:rPr>
        <w:t>avtorjem njihovih knjig za lastno uporabo, založnikom in knjigotržcem za interno rabo in izvajalcem knjižnične dejavnosti kot javne službe, kakor so opredeljeni z zakonom, ki ureja področje knjižničarstva,</w:t>
      </w:r>
    </w:p>
    <w:p w:rsidR="00B70F2F" w:rsidRPr="00B70F2F" w:rsidRDefault="00B70F2F" w:rsidP="00B70F2F">
      <w:pPr>
        <w:pStyle w:val="Odstavekseznama"/>
        <w:numPr>
          <w:ilvl w:val="0"/>
          <w:numId w:val="11"/>
        </w:numPr>
        <w:tabs>
          <w:tab w:val="left" w:pos="567"/>
          <w:tab w:val="left" w:pos="993"/>
        </w:tabs>
        <w:spacing w:line="240" w:lineRule="auto"/>
        <w:rPr>
          <w:rFonts w:cs="Arial"/>
          <w:color w:val="000000" w:themeColor="text1"/>
          <w:szCs w:val="22"/>
        </w:rPr>
      </w:pPr>
      <w:r w:rsidRPr="00B70F2F">
        <w:rPr>
          <w:rFonts w:cs="Arial"/>
          <w:color w:val="000000" w:themeColor="text1"/>
          <w:szCs w:val="22"/>
        </w:rPr>
        <w:t>nadomestnih izvodov, če so bile knjige uničene ali imajo kakšno drugo napako.</w:t>
      </w:r>
    </w:p>
    <w:p w:rsidR="00B70F2F" w:rsidRDefault="00B70F2F" w:rsidP="00B70F2F">
      <w:pPr>
        <w:tabs>
          <w:tab w:val="left" w:pos="567"/>
          <w:tab w:val="left" w:pos="993"/>
        </w:tabs>
        <w:spacing w:line="240" w:lineRule="auto"/>
        <w:rPr>
          <w:rFonts w:cs="Arial"/>
          <w:color w:val="000000" w:themeColor="text1"/>
          <w:szCs w:val="22"/>
        </w:rPr>
      </w:pPr>
    </w:p>
    <w:p w:rsid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jc w:val="center"/>
        <w:rPr>
          <w:rFonts w:cs="Arial"/>
          <w:color w:val="000000" w:themeColor="text1"/>
          <w:szCs w:val="22"/>
        </w:rPr>
      </w:pPr>
      <w:r w:rsidRPr="00B70F2F">
        <w:rPr>
          <w:rFonts w:cs="Arial"/>
          <w:color w:val="000000" w:themeColor="text1"/>
          <w:szCs w:val="22"/>
        </w:rPr>
        <w:t>8.</w:t>
      </w:r>
      <w:r>
        <w:rPr>
          <w:rFonts w:cs="Arial"/>
          <w:color w:val="000000" w:themeColor="text1"/>
          <w:szCs w:val="22"/>
        </w:rPr>
        <w:t xml:space="preserve"> </w:t>
      </w:r>
      <w:r w:rsidRPr="00B70F2F">
        <w:rPr>
          <w:rFonts w:cs="Arial"/>
          <w:color w:val="000000" w:themeColor="text1"/>
          <w:szCs w:val="22"/>
        </w:rPr>
        <w:t>člen</w:t>
      </w:r>
    </w:p>
    <w:p w:rsidR="00B70F2F" w:rsidRPr="00B70F2F" w:rsidRDefault="00B70F2F" w:rsidP="00B70F2F">
      <w:pPr>
        <w:tabs>
          <w:tab w:val="left" w:pos="567"/>
          <w:tab w:val="left" w:pos="993"/>
        </w:tabs>
        <w:spacing w:line="240" w:lineRule="auto"/>
        <w:jc w:val="center"/>
        <w:rPr>
          <w:rFonts w:cs="Arial"/>
          <w:color w:val="000000" w:themeColor="text1"/>
          <w:szCs w:val="22"/>
        </w:rPr>
      </w:pPr>
      <w:r w:rsidRPr="00B70F2F">
        <w:rPr>
          <w:rFonts w:cs="Arial"/>
          <w:color w:val="000000" w:themeColor="text1"/>
          <w:szCs w:val="22"/>
        </w:rPr>
        <w:t>(nadzor nad izvajanjem)</w:t>
      </w:r>
    </w:p>
    <w:p w:rsid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70F2F">
        <w:rPr>
          <w:rFonts w:cs="Arial"/>
          <w:color w:val="000000" w:themeColor="text1"/>
          <w:szCs w:val="22"/>
        </w:rPr>
        <w:t xml:space="preserve">Nadzor nad izvajanjem tega zakona opravlja inšpektor, pristojen za trg. </w:t>
      </w:r>
    </w:p>
    <w:p w:rsidR="00B70F2F" w:rsidRP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jc w:val="center"/>
        <w:rPr>
          <w:rFonts w:cs="Arial"/>
          <w:color w:val="000000" w:themeColor="text1"/>
          <w:szCs w:val="22"/>
        </w:rPr>
      </w:pPr>
      <w:r w:rsidRPr="00B70F2F">
        <w:rPr>
          <w:rFonts w:cs="Arial"/>
          <w:color w:val="000000" w:themeColor="text1"/>
          <w:szCs w:val="22"/>
        </w:rPr>
        <w:t>9.</w:t>
      </w:r>
      <w:r>
        <w:rPr>
          <w:rFonts w:cs="Arial"/>
          <w:color w:val="000000" w:themeColor="text1"/>
          <w:szCs w:val="22"/>
        </w:rPr>
        <w:t xml:space="preserve"> </w:t>
      </w:r>
      <w:r w:rsidRPr="00B70F2F">
        <w:rPr>
          <w:rFonts w:cs="Arial"/>
          <w:color w:val="000000" w:themeColor="text1"/>
          <w:szCs w:val="22"/>
        </w:rPr>
        <w:t>člen</w:t>
      </w:r>
    </w:p>
    <w:p w:rsidR="00B70F2F" w:rsidRPr="00B70F2F" w:rsidRDefault="00B70F2F" w:rsidP="00B70F2F">
      <w:pPr>
        <w:tabs>
          <w:tab w:val="left" w:pos="567"/>
          <w:tab w:val="left" w:pos="993"/>
        </w:tabs>
        <w:spacing w:line="240" w:lineRule="auto"/>
        <w:jc w:val="center"/>
        <w:rPr>
          <w:rFonts w:cs="Arial"/>
          <w:color w:val="000000" w:themeColor="text1"/>
          <w:szCs w:val="22"/>
        </w:rPr>
      </w:pPr>
      <w:r w:rsidRPr="00B70F2F">
        <w:rPr>
          <w:rFonts w:cs="Arial"/>
          <w:color w:val="000000" w:themeColor="text1"/>
          <w:szCs w:val="22"/>
        </w:rPr>
        <w:t>(posebni inšpekcijski ukrepi)</w:t>
      </w:r>
    </w:p>
    <w:p w:rsidR="00B70F2F" w:rsidRP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70F2F">
        <w:rPr>
          <w:rFonts w:cs="Arial"/>
          <w:color w:val="000000" w:themeColor="text1"/>
          <w:szCs w:val="22"/>
        </w:rPr>
        <w:t>(1)</w:t>
      </w:r>
      <w:r>
        <w:rPr>
          <w:rFonts w:cs="Arial"/>
          <w:color w:val="000000" w:themeColor="text1"/>
          <w:szCs w:val="22"/>
        </w:rPr>
        <w:t xml:space="preserve"> </w:t>
      </w:r>
      <w:r w:rsidRPr="00B70F2F">
        <w:rPr>
          <w:rFonts w:cs="Arial"/>
          <w:color w:val="000000" w:themeColor="text1"/>
          <w:szCs w:val="22"/>
        </w:rPr>
        <w:t>Če pristojni inšpektor ugotovi, da je založnik v nasprotju z določbo 4. člena tega zakona založil knjigo brez upoštevanja določb 5. ali 6. člena tega zakona, lahko z odločbo prepove nadaljnjo distribucijo oziroma prodajo te knjige, dokler zavezanec njene prodaje ne uskladi z navedenimi določbami.</w:t>
      </w:r>
    </w:p>
    <w:p w:rsid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70F2F">
        <w:rPr>
          <w:rFonts w:cs="Arial"/>
          <w:color w:val="000000" w:themeColor="text1"/>
          <w:szCs w:val="22"/>
        </w:rPr>
        <w:t>(2)</w:t>
      </w:r>
      <w:r>
        <w:rPr>
          <w:rFonts w:cs="Arial"/>
          <w:color w:val="000000" w:themeColor="text1"/>
          <w:szCs w:val="22"/>
        </w:rPr>
        <w:t xml:space="preserve"> </w:t>
      </w:r>
      <w:r w:rsidRPr="00B70F2F">
        <w:rPr>
          <w:rFonts w:cs="Arial"/>
          <w:color w:val="000000" w:themeColor="text1"/>
          <w:szCs w:val="22"/>
        </w:rPr>
        <w:t>Če pristojni inšpektor ugotovi, da knjigotržec v nasprotju z določbo 4. člena tega zakona ponuja knjigo na trgu brez upoštevanja določb 5. ali 6. člena tega zakona, lahko z odločbo prepove nadaljnjo distribucijo oziroma prodajo te knjige na posameznih prodajnih mestih, kjer prihaja do kršitve, dokler zavezanec njene prodaje ne uskladi z navedenimi določbami.</w:t>
      </w:r>
    </w:p>
    <w:p w:rsid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70F2F">
        <w:rPr>
          <w:rFonts w:cs="Arial"/>
          <w:color w:val="000000" w:themeColor="text1"/>
          <w:szCs w:val="22"/>
        </w:rPr>
        <w:t>(3)</w:t>
      </w:r>
      <w:r>
        <w:rPr>
          <w:rFonts w:cs="Arial"/>
          <w:color w:val="000000" w:themeColor="text1"/>
          <w:szCs w:val="22"/>
        </w:rPr>
        <w:t xml:space="preserve"> </w:t>
      </w:r>
      <w:r w:rsidRPr="00B70F2F">
        <w:rPr>
          <w:rFonts w:cs="Arial"/>
          <w:color w:val="000000" w:themeColor="text1"/>
          <w:szCs w:val="22"/>
        </w:rPr>
        <w:t>Pristojni inšpektor v primerih iz prvega ali drugega odstavka tega člena odredi umik knjig iz prodaje oziroma distribucije. Če zavezanec v roku, ki ga določi inšpektor, ne umakne knjig iz prodaje oziroma distribucije, tako odstranitev odredi inšpektor na stroške zavezanca.</w:t>
      </w:r>
    </w:p>
    <w:p w:rsidR="00B70F2F" w:rsidRPr="00B70F2F" w:rsidRDefault="00B70F2F" w:rsidP="00B70F2F">
      <w:pPr>
        <w:tabs>
          <w:tab w:val="left" w:pos="567"/>
          <w:tab w:val="left" w:pos="993"/>
        </w:tabs>
        <w:spacing w:line="240" w:lineRule="auto"/>
        <w:rPr>
          <w:rFonts w:cs="Arial"/>
          <w:color w:val="000000" w:themeColor="text1"/>
          <w:szCs w:val="22"/>
        </w:rPr>
      </w:pPr>
    </w:p>
    <w:p w:rsid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jc w:val="center"/>
        <w:rPr>
          <w:rFonts w:cs="Arial"/>
          <w:color w:val="000000" w:themeColor="text1"/>
          <w:szCs w:val="22"/>
        </w:rPr>
      </w:pPr>
      <w:r w:rsidRPr="00B70F2F">
        <w:rPr>
          <w:rFonts w:cs="Arial"/>
          <w:color w:val="000000" w:themeColor="text1"/>
          <w:szCs w:val="22"/>
        </w:rPr>
        <w:t>10.</w:t>
      </w:r>
      <w:r>
        <w:rPr>
          <w:rFonts w:cs="Arial"/>
          <w:color w:val="000000" w:themeColor="text1"/>
          <w:szCs w:val="22"/>
        </w:rPr>
        <w:t xml:space="preserve"> </w:t>
      </w:r>
      <w:r w:rsidRPr="00B70F2F">
        <w:rPr>
          <w:rFonts w:cs="Arial"/>
          <w:color w:val="000000" w:themeColor="text1"/>
          <w:szCs w:val="22"/>
        </w:rPr>
        <w:t>člen</w:t>
      </w:r>
    </w:p>
    <w:p w:rsidR="00B70F2F" w:rsidRPr="00B70F2F" w:rsidRDefault="00B70F2F" w:rsidP="00B70F2F">
      <w:pPr>
        <w:tabs>
          <w:tab w:val="left" w:pos="567"/>
          <w:tab w:val="left" w:pos="993"/>
        </w:tabs>
        <w:spacing w:line="240" w:lineRule="auto"/>
        <w:jc w:val="center"/>
        <w:rPr>
          <w:rFonts w:cs="Arial"/>
          <w:color w:val="000000" w:themeColor="text1"/>
          <w:szCs w:val="22"/>
        </w:rPr>
      </w:pPr>
      <w:r w:rsidRPr="00B70F2F">
        <w:rPr>
          <w:rFonts w:cs="Arial"/>
          <w:color w:val="000000" w:themeColor="text1"/>
          <w:szCs w:val="22"/>
        </w:rPr>
        <w:t>(</w:t>
      </w:r>
      <w:r w:rsidR="00395BBB">
        <w:rPr>
          <w:rFonts w:cs="Arial"/>
          <w:color w:val="000000" w:themeColor="text1"/>
          <w:szCs w:val="22"/>
        </w:rPr>
        <w:t>kazenske določbe</w:t>
      </w:r>
      <w:r w:rsidRPr="00B70F2F">
        <w:rPr>
          <w:rFonts w:cs="Arial"/>
          <w:color w:val="000000" w:themeColor="text1"/>
          <w:szCs w:val="22"/>
        </w:rPr>
        <w:t>)</w:t>
      </w:r>
    </w:p>
    <w:p w:rsid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70F2F">
        <w:rPr>
          <w:rFonts w:cs="Arial"/>
          <w:color w:val="000000" w:themeColor="text1"/>
          <w:szCs w:val="22"/>
        </w:rPr>
        <w:t>(1) Z globo od 500 do 2.000 eurov se kaznuje za prekršek založnik za knjigo, pri kateri v nasprotju s 4. členom tega zakona ne upošteva določb 5. ali 6. člena tega zakona.</w:t>
      </w:r>
    </w:p>
    <w:p w:rsid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70F2F">
        <w:rPr>
          <w:rFonts w:cs="Arial"/>
          <w:color w:val="000000" w:themeColor="text1"/>
          <w:szCs w:val="22"/>
        </w:rPr>
        <w:t>(2) Z globo od 500 do 2.000 eurov se kaznuje za prekršek knjigotržec za knjigo, pri kateri v nasprotju s 4. členom tega zakona ne upošteva določb 5. ali 6. člena tega zakona.</w:t>
      </w:r>
    </w:p>
    <w:p w:rsid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70F2F">
        <w:rPr>
          <w:rFonts w:cs="Arial"/>
          <w:color w:val="000000" w:themeColor="text1"/>
          <w:szCs w:val="22"/>
        </w:rPr>
        <w:t>(3) Z globo od 100 do 500 eurov se za prekršek iz prejšnjih dveh odstavkov kaznuje odgovorna oseba založnika oziroma knjigotržca.</w:t>
      </w:r>
    </w:p>
    <w:p w:rsidR="00B70F2F" w:rsidRPr="00B70F2F" w:rsidRDefault="00B70F2F" w:rsidP="00B70F2F">
      <w:pPr>
        <w:tabs>
          <w:tab w:val="left" w:pos="567"/>
          <w:tab w:val="left" w:pos="993"/>
        </w:tabs>
        <w:spacing w:line="240" w:lineRule="auto"/>
        <w:rPr>
          <w:rFonts w:cs="Arial"/>
          <w:color w:val="000000" w:themeColor="text1"/>
          <w:szCs w:val="22"/>
        </w:rPr>
      </w:pPr>
    </w:p>
    <w:p w:rsid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jc w:val="center"/>
        <w:rPr>
          <w:rFonts w:cs="Arial"/>
          <w:color w:val="000000" w:themeColor="text1"/>
          <w:szCs w:val="22"/>
        </w:rPr>
      </w:pPr>
      <w:r w:rsidRPr="00B70F2F">
        <w:rPr>
          <w:rFonts w:cs="Arial"/>
          <w:color w:val="000000" w:themeColor="text1"/>
          <w:szCs w:val="22"/>
        </w:rPr>
        <w:t>PREHODN</w:t>
      </w:r>
      <w:r w:rsidR="00395BBB">
        <w:rPr>
          <w:rFonts w:cs="Arial"/>
          <w:color w:val="000000" w:themeColor="text1"/>
          <w:szCs w:val="22"/>
        </w:rPr>
        <w:t>A</w:t>
      </w:r>
      <w:r w:rsidRPr="00B70F2F">
        <w:rPr>
          <w:rFonts w:cs="Arial"/>
          <w:color w:val="000000" w:themeColor="text1"/>
          <w:szCs w:val="22"/>
        </w:rPr>
        <w:t xml:space="preserve"> IN KONČN</w:t>
      </w:r>
      <w:r w:rsidR="00395BBB">
        <w:rPr>
          <w:rFonts w:cs="Arial"/>
          <w:color w:val="000000" w:themeColor="text1"/>
          <w:szCs w:val="22"/>
        </w:rPr>
        <w:t>A</w:t>
      </w:r>
      <w:r w:rsidRPr="00B70F2F">
        <w:rPr>
          <w:rFonts w:cs="Arial"/>
          <w:color w:val="000000" w:themeColor="text1"/>
          <w:szCs w:val="22"/>
        </w:rPr>
        <w:t xml:space="preserve"> DOLOČB</w:t>
      </w:r>
      <w:r w:rsidR="00395BBB">
        <w:rPr>
          <w:rFonts w:cs="Arial"/>
          <w:color w:val="000000" w:themeColor="text1"/>
          <w:szCs w:val="22"/>
        </w:rPr>
        <w:t>A</w:t>
      </w:r>
    </w:p>
    <w:p w:rsidR="00B70F2F" w:rsidRP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jc w:val="center"/>
        <w:rPr>
          <w:rFonts w:cs="Arial"/>
          <w:color w:val="000000" w:themeColor="text1"/>
          <w:szCs w:val="22"/>
        </w:rPr>
      </w:pPr>
      <w:r w:rsidRPr="00B70F2F">
        <w:rPr>
          <w:rFonts w:cs="Arial"/>
          <w:color w:val="000000" w:themeColor="text1"/>
          <w:szCs w:val="22"/>
        </w:rPr>
        <w:t>1</w:t>
      </w:r>
      <w:r w:rsidR="00395BBB">
        <w:rPr>
          <w:rFonts w:cs="Arial"/>
          <w:color w:val="000000" w:themeColor="text1"/>
          <w:szCs w:val="22"/>
        </w:rPr>
        <w:t>1</w:t>
      </w:r>
      <w:r w:rsidRPr="00B70F2F">
        <w:rPr>
          <w:rFonts w:cs="Arial"/>
          <w:color w:val="000000" w:themeColor="text1"/>
          <w:szCs w:val="22"/>
        </w:rPr>
        <w:t>.</w:t>
      </w:r>
      <w:r>
        <w:rPr>
          <w:rFonts w:cs="Arial"/>
          <w:color w:val="000000" w:themeColor="text1"/>
          <w:szCs w:val="22"/>
        </w:rPr>
        <w:t xml:space="preserve"> </w:t>
      </w:r>
      <w:r w:rsidRPr="00B70F2F">
        <w:rPr>
          <w:rFonts w:cs="Arial"/>
          <w:color w:val="000000" w:themeColor="text1"/>
          <w:szCs w:val="22"/>
        </w:rPr>
        <w:t>člen</w:t>
      </w:r>
    </w:p>
    <w:p w:rsid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70F2F">
        <w:rPr>
          <w:rFonts w:cs="Arial"/>
          <w:color w:val="000000" w:themeColor="text1"/>
          <w:szCs w:val="22"/>
        </w:rPr>
        <w:t>Založniki in knjigotržci so dolžni svoje poslovanje uskladiti z določbami tega zakona v roku šestih mesecev od dneva njegove uveljavitve. Določbe tega zakona se ne uporabljajo za knjige, izdane pred potekom tega roka.</w:t>
      </w:r>
    </w:p>
    <w:p w:rsidR="00B70F2F" w:rsidRPr="00B70F2F" w:rsidRDefault="00B70F2F" w:rsidP="00B70F2F">
      <w:pPr>
        <w:tabs>
          <w:tab w:val="left" w:pos="567"/>
          <w:tab w:val="left" w:pos="993"/>
        </w:tabs>
        <w:spacing w:line="240" w:lineRule="auto"/>
        <w:rPr>
          <w:rFonts w:cs="Arial"/>
          <w:color w:val="000000" w:themeColor="text1"/>
          <w:szCs w:val="22"/>
        </w:rPr>
      </w:pPr>
    </w:p>
    <w:p w:rsidR="00B70F2F" w:rsidRDefault="00B70F2F" w:rsidP="00B70F2F">
      <w:pPr>
        <w:tabs>
          <w:tab w:val="left" w:pos="567"/>
          <w:tab w:val="left" w:pos="993"/>
        </w:tabs>
        <w:spacing w:line="240" w:lineRule="auto"/>
        <w:rPr>
          <w:rFonts w:cs="Arial"/>
          <w:color w:val="000000" w:themeColor="text1"/>
          <w:szCs w:val="22"/>
        </w:rPr>
      </w:pPr>
    </w:p>
    <w:p w:rsidR="00B70F2F" w:rsidRPr="00B70F2F" w:rsidRDefault="00B70F2F" w:rsidP="00B70F2F">
      <w:pPr>
        <w:tabs>
          <w:tab w:val="left" w:pos="567"/>
          <w:tab w:val="left" w:pos="993"/>
        </w:tabs>
        <w:spacing w:line="240" w:lineRule="auto"/>
        <w:jc w:val="center"/>
        <w:rPr>
          <w:rFonts w:cs="Arial"/>
          <w:color w:val="000000" w:themeColor="text1"/>
          <w:szCs w:val="22"/>
        </w:rPr>
      </w:pPr>
      <w:r w:rsidRPr="00B70F2F">
        <w:rPr>
          <w:rFonts w:cs="Arial"/>
          <w:color w:val="000000" w:themeColor="text1"/>
          <w:szCs w:val="22"/>
        </w:rPr>
        <w:t>1</w:t>
      </w:r>
      <w:r w:rsidR="00395BBB">
        <w:rPr>
          <w:rFonts w:cs="Arial"/>
          <w:color w:val="000000" w:themeColor="text1"/>
          <w:szCs w:val="22"/>
        </w:rPr>
        <w:t>2</w:t>
      </w:r>
      <w:r w:rsidRPr="00B70F2F">
        <w:rPr>
          <w:rFonts w:cs="Arial"/>
          <w:color w:val="000000" w:themeColor="text1"/>
          <w:szCs w:val="22"/>
        </w:rPr>
        <w:t>.</w:t>
      </w:r>
      <w:r>
        <w:rPr>
          <w:rFonts w:cs="Arial"/>
          <w:color w:val="000000" w:themeColor="text1"/>
          <w:szCs w:val="22"/>
        </w:rPr>
        <w:t xml:space="preserve"> </w:t>
      </w:r>
      <w:r w:rsidRPr="00B70F2F">
        <w:rPr>
          <w:rFonts w:cs="Arial"/>
          <w:color w:val="000000" w:themeColor="text1"/>
          <w:szCs w:val="22"/>
        </w:rPr>
        <w:t>člen</w:t>
      </w:r>
    </w:p>
    <w:p w:rsidR="00B70F2F" w:rsidRDefault="00B70F2F" w:rsidP="00B70F2F">
      <w:pPr>
        <w:tabs>
          <w:tab w:val="left" w:pos="567"/>
          <w:tab w:val="left" w:pos="993"/>
        </w:tabs>
        <w:spacing w:line="240" w:lineRule="auto"/>
        <w:rPr>
          <w:rFonts w:cs="Arial"/>
          <w:color w:val="000000" w:themeColor="text1"/>
          <w:szCs w:val="22"/>
        </w:rPr>
      </w:pPr>
    </w:p>
    <w:p w:rsidR="00B70F2F" w:rsidRDefault="00B70F2F" w:rsidP="00B70F2F">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B70F2F">
        <w:rPr>
          <w:rFonts w:cs="Arial"/>
          <w:color w:val="000000" w:themeColor="text1"/>
          <w:szCs w:val="22"/>
        </w:rPr>
        <w:t xml:space="preserve">Ta zakon začne veljati petnajsti dan po objavi v Uradnem listu Republike Slovenije. </w:t>
      </w:r>
    </w:p>
    <w:p w:rsidR="00B70F2F" w:rsidRDefault="00B70F2F" w:rsidP="00B70F2F">
      <w:pPr>
        <w:tabs>
          <w:tab w:val="left" w:pos="567"/>
          <w:tab w:val="left" w:pos="993"/>
        </w:tabs>
        <w:spacing w:line="240" w:lineRule="auto"/>
        <w:rPr>
          <w:rFonts w:cs="Arial"/>
          <w:color w:val="000000" w:themeColor="text1"/>
          <w:szCs w:val="22"/>
        </w:rPr>
      </w:pPr>
    </w:p>
    <w:p w:rsidR="00D55007" w:rsidRDefault="00D55007" w:rsidP="00B70F2F">
      <w:pPr>
        <w:tabs>
          <w:tab w:val="left" w:pos="567"/>
          <w:tab w:val="left" w:pos="993"/>
        </w:tabs>
        <w:spacing w:line="240" w:lineRule="auto"/>
        <w:rPr>
          <w:rFonts w:cs="Arial"/>
          <w:color w:val="000000" w:themeColor="text1"/>
          <w:szCs w:val="22"/>
        </w:rPr>
      </w:pPr>
    </w:p>
    <w:p w:rsidR="00D55007" w:rsidRDefault="00D55007" w:rsidP="00D55007">
      <w:pPr>
        <w:tabs>
          <w:tab w:val="left" w:pos="567"/>
          <w:tab w:val="left" w:pos="993"/>
        </w:tabs>
        <w:spacing w:line="240" w:lineRule="auto"/>
        <w:rPr>
          <w:rFonts w:cs="Arial"/>
          <w:szCs w:val="22"/>
        </w:rPr>
      </w:pPr>
    </w:p>
    <w:p w:rsidR="00D55007" w:rsidRDefault="00D55007" w:rsidP="00D55007">
      <w:pPr>
        <w:tabs>
          <w:tab w:val="left" w:pos="567"/>
          <w:tab w:val="left" w:pos="993"/>
        </w:tabs>
        <w:spacing w:line="240" w:lineRule="auto"/>
        <w:rPr>
          <w:rFonts w:cs="Arial"/>
          <w:szCs w:val="22"/>
        </w:rPr>
      </w:pPr>
      <w:r>
        <w:rPr>
          <w:rFonts w:cs="Arial"/>
          <w:szCs w:val="22"/>
        </w:rPr>
        <w:t xml:space="preserve">Številka: </w:t>
      </w:r>
      <w:r w:rsidRPr="00B70F2F">
        <w:rPr>
          <w:rFonts w:cs="Arial"/>
          <w:szCs w:val="22"/>
        </w:rPr>
        <w:t>611-01/13-8/</w:t>
      </w:r>
    </w:p>
    <w:p w:rsidR="00D55007" w:rsidRDefault="00D55007" w:rsidP="00D55007">
      <w:pPr>
        <w:tabs>
          <w:tab w:val="left" w:pos="567"/>
          <w:tab w:val="left" w:pos="993"/>
        </w:tabs>
        <w:spacing w:line="240" w:lineRule="auto"/>
        <w:rPr>
          <w:rFonts w:cs="Arial"/>
          <w:szCs w:val="22"/>
        </w:rPr>
      </w:pPr>
      <w:r>
        <w:rPr>
          <w:rFonts w:cs="Arial"/>
          <w:szCs w:val="22"/>
        </w:rPr>
        <w:t>Datum: 30. januar 2014</w:t>
      </w:r>
    </w:p>
    <w:p w:rsidR="00D55007" w:rsidRDefault="00D55007" w:rsidP="00D55007">
      <w:pPr>
        <w:tabs>
          <w:tab w:val="left" w:pos="567"/>
          <w:tab w:val="left" w:pos="993"/>
        </w:tabs>
        <w:spacing w:line="240" w:lineRule="auto"/>
        <w:rPr>
          <w:rFonts w:cs="Arial"/>
          <w:szCs w:val="22"/>
        </w:rPr>
      </w:pPr>
      <w:r w:rsidRPr="00B70F2F">
        <w:rPr>
          <w:rFonts w:cs="Arial"/>
          <w:szCs w:val="22"/>
        </w:rPr>
        <w:t>EPA 1587-VI</w:t>
      </w:r>
    </w:p>
    <w:p w:rsidR="00D55007" w:rsidRDefault="00D55007" w:rsidP="00D55007">
      <w:pPr>
        <w:tabs>
          <w:tab w:val="left" w:pos="6521"/>
        </w:tabs>
        <w:rPr>
          <w:szCs w:val="22"/>
        </w:rPr>
      </w:pPr>
    </w:p>
    <w:p w:rsidR="00D55007" w:rsidRPr="00ED0A8E" w:rsidRDefault="00D55007" w:rsidP="00D55007">
      <w:pPr>
        <w:tabs>
          <w:tab w:val="left" w:pos="6521"/>
        </w:tabs>
        <w:rPr>
          <w:szCs w:val="22"/>
        </w:rPr>
      </w:pPr>
      <w:r w:rsidRPr="00ED0A8E">
        <w:rPr>
          <w:szCs w:val="22"/>
        </w:rPr>
        <w:tab/>
        <w:t>Državni zbor</w:t>
      </w:r>
    </w:p>
    <w:p w:rsidR="00D55007" w:rsidRDefault="00D55007" w:rsidP="00D55007">
      <w:pPr>
        <w:tabs>
          <w:tab w:val="left" w:pos="6521"/>
        </w:tabs>
        <w:rPr>
          <w:szCs w:val="22"/>
        </w:rPr>
      </w:pPr>
      <w:r w:rsidRPr="00ED0A8E">
        <w:rPr>
          <w:szCs w:val="22"/>
        </w:rPr>
        <w:tab/>
      </w:r>
      <w:r>
        <w:rPr>
          <w:szCs w:val="22"/>
        </w:rPr>
        <w:t>Janko Veber</w:t>
      </w:r>
    </w:p>
    <w:p w:rsidR="00D55007" w:rsidRPr="00ED0A8E" w:rsidRDefault="00D55007" w:rsidP="00D55007">
      <w:pPr>
        <w:tabs>
          <w:tab w:val="left" w:pos="6521"/>
        </w:tabs>
        <w:rPr>
          <w:szCs w:val="22"/>
        </w:rPr>
      </w:pPr>
      <w:r w:rsidRPr="00ED0A8E">
        <w:rPr>
          <w:szCs w:val="22"/>
        </w:rPr>
        <w:tab/>
        <w:t>predsednik</w:t>
      </w:r>
    </w:p>
    <w:p w:rsidR="00D55007" w:rsidRPr="00B70F2F" w:rsidRDefault="00D55007" w:rsidP="00B70F2F">
      <w:pPr>
        <w:tabs>
          <w:tab w:val="left" w:pos="567"/>
          <w:tab w:val="left" w:pos="993"/>
        </w:tabs>
        <w:spacing w:line="240" w:lineRule="auto"/>
        <w:rPr>
          <w:rFonts w:cs="Arial"/>
          <w:color w:val="000000" w:themeColor="text1"/>
          <w:szCs w:val="22"/>
        </w:rPr>
      </w:pPr>
    </w:p>
    <w:sectPr w:rsidR="00D55007" w:rsidRPr="00B70F2F"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D55007">
      <w:rPr>
        <w:rStyle w:val="tevilkastrani"/>
        <w:noProof/>
        <w:sz w:val="20"/>
        <w:szCs w:val="20"/>
      </w:rPr>
      <w:t>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4691D"/>
    <w:multiLevelType w:val="hybridMultilevel"/>
    <w:tmpl w:val="A614FE7C"/>
    <w:lvl w:ilvl="0" w:tplc="988A6A4E">
      <w:start w:val="3"/>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0E517A93"/>
    <w:multiLevelType w:val="hybridMultilevel"/>
    <w:tmpl w:val="3664EC3A"/>
    <w:lvl w:ilvl="0" w:tplc="5EDCAF72">
      <w:start w:val="3"/>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149B2D99"/>
    <w:multiLevelType w:val="hybridMultilevel"/>
    <w:tmpl w:val="EDBA9A24"/>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nsid w:val="1E66769A"/>
    <w:multiLevelType w:val="hybridMultilevel"/>
    <w:tmpl w:val="A88A667A"/>
    <w:lvl w:ilvl="0" w:tplc="988A6A4E">
      <w:start w:val="3"/>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1E8C09A2"/>
    <w:multiLevelType w:val="hybridMultilevel"/>
    <w:tmpl w:val="5D7CF13E"/>
    <w:lvl w:ilvl="0" w:tplc="A4BE7614">
      <w:start w:val="3"/>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2A51129B"/>
    <w:multiLevelType w:val="hybridMultilevel"/>
    <w:tmpl w:val="06DC6734"/>
    <w:lvl w:ilvl="0" w:tplc="5F42E7B2">
      <w:start w:val="3"/>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57A924B1"/>
    <w:multiLevelType w:val="hybridMultilevel"/>
    <w:tmpl w:val="8B3E3E08"/>
    <w:lvl w:ilvl="0" w:tplc="988A6A4E">
      <w:start w:val="3"/>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63D94C03"/>
    <w:multiLevelType w:val="hybridMultilevel"/>
    <w:tmpl w:val="B2C23D64"/>
    <w:lvl w:ilvl="0" w:tplc="5EDCAF72">
      <w:start w:val="3"/>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738928FE"/>
    <w:multiLevelType w:val="hybridMultilevel"/>
    <w:tmpl w:val="B3041188"/>
    <w:lvl w:ilvl="0" w:tplc="095A01AE">
      <w:start w:val="3"/>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7F343CA9"/>
    <w:multiLevelType w:val="hybridMultilevel"/>
    <w:tmpl w:val="9FB0A3A2"/>
    <w:lvl w:ilvl="0" w:tplc="988A6A4E">
      <w:start w:val="3"/>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3"/>
  </w:num>
  <w:num w:numId="4">
    <w:abstractNumId w:val="0"/>
  </w:num>
  <w:num w:numId="5">
    <w:abstractNumId w:val="8"/>
  </w:num>
  <w:num w:numId="6">
    <w:abstractNumId w:val="4"/>
  </w:num>
  <w:num w:numId="7">
    <w:abstractNumId w:val="11"/>
  </w:num>
  <w:num w:numId="8">
    <w:abstractNumId w:val="10"/>
  </w:num>
  <w:num w:numId="9">
    <w:abstractNumId w:val="5"/>
  </w:num>
  <w:num w:numId="10">
    <w:abstractNumId w:val="7"/>
  </w:num>
  <w:num w:numId="11">
    <w:abstractNumId w:val="1"/>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BBB"/>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70F2F"/>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4433C"/>
    <w:rsid w:val="00D55007"/>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49052-CE08-4189-8D23-96B7759AAA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17</TotalTime>
  <Pages>4</Pages>
  <Words>1073</Words>
  <Characters>6064</Characters>
  <Application>Microsoft Office Word</Application>
  <DocSecurity>0</DocSecurity>
  <Lines>50</Lines>
  <Paragraphs>14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7123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2014-01-22T13:42:00Z</cp:lastPrinted>
  <dcterms:created xsi:type="dcterms:W3CDTF">2014-01-22T13:34:00Z</dcterms:created>
  <dcterms:modified xsi:type="dcterms:W3CDTF">2014-02-06T11:30:00Z</dcterms:modified>
</cp:coreProperties>
</file>