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D5A" w:rsidRDefault="00BF6D5A" w:rsidP="00AF51E2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60"/>
        </w:rPr>
      </w:pPr>
      <w:bookmarkStart w:id="0" w:name="_GoBack"/>
      <w:bookmarkEnd w:id="0"/>
    </w:p>
    <w:p w:rsidR="00AF51E2" w:rsidRP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60"/>
        </w:rPr>
      </w:pPr>
      <w:r w:rsidRPr="00AF51E2">
        <w:rPr>
          <w:b/>
          <w:spacing w:val="60"/>
        </w:rPr>
        <w:t>ZAKON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AF51E2">
        <w:rPr>
          <w:b/>
        </w:rPr>
        <w:t>O SPREMEMBAH IN DOPOLNITVAH</w:t>
      </w:r>
    </w:p>
    <w:p w:rsidR="00AF51E2" w:rsidRP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AF51E2">
        <w:rPr>
          <w:b/>
        </w:rPr>
        <w:t>ZAKONA O DAVČNEM POSTOPKU (ZDavP-2K)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BF6D5A" w:rsidRDefault="00BF6D5A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</w:pPr>
      <w:r>
        <w:t>1. člen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V Zakonu o davčnem postopku (Uradni list RS, št. 13/11 – uradno prečiščeno besedilo, 32/12, 94/12, 101/13 – </w:t>
      </w:r>
      <w:proofErr w:type="spellStart"/>
      <w:r>
        <w:t>ZDavNepr</w:t>
      </w:r>
      <w:proofErr w:type="spellEnd"/>
      <w:r>
        <w:t xml:space="preserve">, 111/13, 22/14 – </w:t>
      </w:r>
      <w:proofErr w:type="spellStart"/>
      <w:r>
        <w:t>odl</w:t>
      </w:r>
      <w:proofErr w:type="spellEnd"/>
      <w:r>
        <w:t xml:space="preserve">. US, 25/14 – </w:t>
      </w:r>
      <w:proofErr w:type="spellStart"/>
      <w:r>
        <w:t>ZFU</w:t>
      </w:r>
      <w:proofErr w:type="spellEnd"/>
      <w:r>
        <w:t>, 40/14 – ZIN-B, 90/14, 91/15 in 63/16) se v drugem odstavku 1. člena druga alineja spremeni tako, da se glasi:</w:t>
      </w:r>
    </w:p>
    <w:p w:rsidR="00AF51E2" w:rsidRDefault="00AF51E2" w:rsidP="00AF51E2">
      <w:pPr>
        <w:tabs>
          <w:tab w:val="left" w:pos="426"/>
          <w:tab w:val="left" w:pos="993"/>
        </w:tabs>
        <w:spacing w:line="240" w:lineRule="auto"/>
      </w:pPr>
      <w:r>
        <w:t>»-</w:t>
      </w:r>
      <w:r>
        <w:tab/>
        <w:t xml:space="preserve">Direktiva Sveta 2011/16/EU z dne 15. februarja 2011 o upravnem sodelovanju na </w:t>
      </w:r>
      <w:r>
        <w:tab/>
        <w:t xml:space="preserve">področju obdavčevanja in razveljavitvi Direktive 77/799/EGS (UL L št. 64 z dne 11. </w:t>
      </w:r>
      <w:r>
        <w:tab/>
        <w:t xml:space="preserve">3. 2011, str. 1), spremenjena z Direktivo Sveta 2014/107/EU z dne 9. decembra </w:t>
      </w:r>
      <w:r>
        <w:tab/>
        <w:t xml:space="preserve">2014 o spremembi Direktive Sveta 2011/16/EU glede obvezne avtomatične </w:t>
      </w:r>
      <w:r>
        <w:tab/>
        <w:t xml:space="preserve">izmenjave podatkov na področju obdavčenja (UL L št. 359 z dne 16. 12. 2014, str. </w:t>
      </w:r>
      <w:r>
        <w:tab/>
        <w:t xml:space="preserve">1; v nadaljnjem besedilu: Direktiva 2014/107/EU), Direktivo Sveta 2015/2376/EU z </w:t>
      </w:r>
      <w:r>
        <w:tab/>
        <w:t xml:space="preserve">dne 8. decembra 2015 o spremembi Direktive 2011/16/EU glede obvezne </w:t>
      </w:r>
      <w:r>
        <w:tab/>
        <w:t xml:space="preserve">avtomatične izmenjave na področju obdavčenja (UL L št. 332/1 z dne 18. 12. </w:t>
      </w:r>
      <w:r>
        <w:tab/>
        <w:t xml:space="preserve">2015, str. 1; v nadaljnjem besedilu: Direktiva 2015/2376/EU), Direktivo Sveta </w:t>
      </w:r>
      <w:r>
        <w:tab/>
        <w:t xml:space="preserve">2016/881/EU z dne 25. maja 2016 o spremembi Direktive 2011/16/EU glede </w:t>
      </w:r>
      <w:r>
        <w:tab/>
        <w:t xml:space="preserve">obvezne avtomatične izmenjave podatkov na področju obdavčenja (UL L št. 146 z </w:t>
      </w:r>
      <w:r>
        <w:tab/>
        <w:t xml:space="preserve">dne 3. 6. 2016, str. 1; v nadaljnjem besedilu: Direktiva 2016/881/EU) in Direktivo </w:t>
      </w:r>
      <w:r>
        <w:tab/>
        <w:t xml:space="preserve">Sveta 2016/2258/EU z dne 6. decembra 2016 o spremembi Direktive 2011/16/EU </w:t>
      </w:r>
      <w:r>
        <w:tab/>
        <w:t xml:space="preserve">glede dostopa davčnih organov do informacij o preprečevanju pranja denarja (UL L </w:t>
      </w:r>
      <w:r>
        <w:tab/>
        <w:t xml:space="preserve">št. 342/1 z dne 16. 12. 2016, str. 1; v nadaljnjem besedilu: Direktiva </w:t>
      </w:r>
      <w:r>
        <w:tab/>
        <w:t xml:space="preserve">2016/2258/EU) z 39. členom ter </w:t>
      </w:r>
      <w:proofErr w:type="spellStart"/>
      <w:r>
        <w:t>II</w:t>
      </w:r>
      <w:proofErr w:type="spellEnd"/>
      <w:r>
        <w:t xml:space="preserve">. in </w:t>
      </w:r>
      <w:proofErr w:type="spellStart"/>
      <w:r>
        <w:t>III.B</w:t>
      </w:r>
      <w:proofErr w:type="spellEnd"/>
      <w:r>
        <w:t xml:space="preserve"> poglavjem četrtega dela tega zakona;«.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</w:pPr>
      <w:r>
        <w:t>2. člen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19. členu se za petim odstavkom doda nov šesti odstavek, ki se glasi: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»(6) Davčni organ sme delodajalcu razkriti podatke o številu mesecev, za izplačila, v katerih je za posameznega zavezanca, ki je zaposlen pri njem, že bila uveljavljena posebna davčna osnova – napotitev na čezmejno opravljanje dela v skladu z zakonom, ki ureja dohodnino, ter podatek o času začetka prve napotitve, za katero je bila uveljavljena posebna davčna osnova. Davčni organ sme podatke</w:t>
      </w:r>
      <w:r w:rsidR="00D63CA5">
        <w:t xml:space="preserve"> </w:t>
      </w:r>
      <w:r>
        <w:t>razkriti za obdobje deset let od prve napotitve na čezmejno opravljanje dela.«.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dosedanjem šestem odstavku, ki postane sedmi odstavek, se besedilo »četrtega in petega« nadomesti z besedilom »četrtega, petega in šestega«.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Dosedanji sedmi in osmi odstavek postaneta osmi in deveti odstavek.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</w:pPr>
      <w:r>
        <w:t>3. člen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četrtem odstavku 89. člena se beseda »drugega« nadomesti z besedo »prvega«.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BF6D5A" w:rsidRDefault="00BF6D5A" w:rsidP="00AF51E2">
      <w:pPr>
        <w:tabs>
          <w:tab w:val="left" w:pos="567"/>
          <w:tab w:val="left" w:pos="993"/>
        </w:tabs>
        <w:spacing w:line="240" w:lineRule="auto"/>
      </w:pPr>
    </w:p>
    <w:p w:rsidR="00BF6D5A" w:rsidRDefault="00BF6D5A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</w:pPr>
      <w:r>
        <w:lastRenderedPageBreak/>
        <w:t>4. člen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91. členu se beseda »davčnem« nadomesti z besedilom »upravnem ali drugem državnem«.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</w:pPr>
      <w:r>
        <w:t>5. člen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92. členu se v 4. točki beseda »davčnem« nadomesti z besedilom »upravnem ali drugem državnem«.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</w:pPr>
      <w:r>
        <w:t>6. člen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V </w:t>
      </w:r>
      <w:proofErr w:type="spellStart"/>
      <w:r>
        <w:t>255.a</w:t>
      </w:r>
      <w:proofErr w:type="spellEnd"/>
      <w:r>
        <w:t xml:space="preserve"> členu se za prvim odstavkom doda nov drugi odstavek, ki se glasi: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»(2) Za namene izvajanja tega poglavja zakona se pojem država članica, kot je uporabljen v opredelitvi izrazov v oddelku </w:t>
      </w:r>
      <w:proofErr w:type="spellStart"/>
      <w:r>
        <w:t>VIII</w:t>
      </w:r>
      <w:proofErr w:type="spellEnd"/>
      <w:r>
        <w:t xml:space="preserve"> priloge I Direktive 2014/107/EU, nanaša na vsako državo ali jurisdikcijo, ki ni Slovenija.«.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Dosedanji drugi odstavek postane tretji odstavek.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</w:pPr>
      <w:r>
        <w:t>7. člen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V drugem odstavku </w:t>
      </w:r>
      <w:proofErr w:type="spellStart"/>
      <w:r>
        <w:t>255.b</w:t>
      </w:r>
      <w:proofErr w:type="spellEnd"/>
      <w:r>
        <w:t xml:space="preserve"> člena in tretjem odstavku </w:t>
      </w:r>
      <w:proofErr w:type="spellStart"/>
      <w:r>
        <w:t>266.c</w:t>
      </w:r>
      <w:proofErr w:type="spellEnd"/>
      <w:r>
        <w:t xml:space="preserve"> člena se za besedilom »družba za upravljanje« doda besedilo »ali drug upravljavec«.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</w:pPr>
      <w:r>
        <w:t>8. člen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drugem odstavku 270. člena se zadnji stavek spremeni tako, da se glasi: »Minister, pristojen za finance, podrobneje določi vrsto in način dajanja teh podatkov.«.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</w:pPr>
      <w:r>
        <w:t>9. člen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Drugi odstavek 287. člena se spremeni tako, da se glasi: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»(2) Podatke, ki jih mora davčni zavezanec navesti v obvestilu iz prvega odstavka tega člena, določi minister, pristojen za finance.«.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</w:pPr>
      <w:r>
        <w:t>10. člen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prvem odstavku 289. člena se zadnji stavek spremeni tako, da se glasi: »Minister, pristojen za finance, podrobneje določi vrsto in način dajanja teh podatkov.«.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tretjem odstavku se besedilo »obliko predpiše« nadomesti z besedilom »vsebino določi«.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</w:pPr>
      <w:r>
        <w:t>11. člen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Drugi in tretji odstavek 303. člena se spremenita tako, da se glasita: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lastRenderedPageBreak/>
        <w:tab/>
      </w:r>
      <w:r>
        <w:tab/>
        <w:t xml:space="preserve">»(2) Podatke, ki jih ob priglasitvi davčnemu organu sporoči oseba iz </w:t>
      </w:r>
      <w:r w:rsidR="00D63CA5">
        <w:t>prejšnjega</w:t>
      </w:r>
      <w:r>
        <w:t xml:space="preserve"> odstavka, predpiše minister, pristojen za finance. Del priglasitve je tudi izjava o izpolnjevanju pogojev, določenih z zakonom, ki ureja dohodnino.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(3) Oseba, ki preneha opravljati dejavnost, in novi zasebnik v skladu z zakonom, ki ureja dohodnino</w:t>
      </w:r>
      <w:r w:rsidR="00D63CA5">
        <w:t xml:space="preserve"> </w:t>
      </w:r>
      <w:r>
        <w:t xml:space="preserve">oziroma nova pravna oseba ali prevzemna pravna oseba v skladu z zakonom, ki ureja gospodarske družbe, opravita priglasitev hkrati na isti vlogi, ki jo podpišeta oba. Kadar oseba preneha opravljati dejavnost zaradi smrti, priglasitev opravi novi zasebnik oziroma pravna oseba, v katero so vložena sredstva.«. 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</w:pPr>
      <w:r>
        <w:t>12. člen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četrtem odstavku 308. člena se zadnji stavek spremeni tako, da se glasi: »Priglasitev prenehanja ugotavljanja davčne osnove z upoštevanjem normiranih odhodkov, predloženo po roku, določenem v prvem stavku tega odstavka, davčni organ s sklepom zavrže.«.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</w:pPr>
      <w:r>
        <w:t>13. člen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proofErr w:type="spellStart"/>
      <w:r>
        <w:t>311.a</w:t>
      </w:r>
      <w:proofErr w:type="spellEnd"/>
      <w:r>
        <w:t xml:space="preserve"> člen se spremeni tako, da se glasi: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</w:pPr>
      <w:r>
        <w:t>»</w:t>
      </w:r>
      <w:proofErr w:type="spellStart"/>
      <w:r>
        <w:t>311.a</w:t>
      </w:r>
      <w:proofErr w:type="spellEnd"/>
      <w:r>
        <w:t xml:space="preserve"> člen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</w:pPr>
      <w:r>
        <w:t>(uveljavljanje normiranih stroškov ali dejanskih stroškov)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Davčni zavezanec nerezident – nastopajoči izvajalec ali športnik, ki nima poslovne enote v Sloveniji in lahko v skladu s 1. in 2. točko drugega odstavka 68. člena ZDoh-2 uveljavlja normirane stroške ali dejanske stroške, te uveljavi pri davčnem organu v 30 dneh od izplačila dohodka ali v 30 dneh od zadnjega izplačila dohodka, če se dohodek za posamezno aktivnost izplačuje v več delih. Davčni zavezanec uveljavlja normirane stroške ali dejanske stroške na podlagi dokazil in s pisnim zahtevkom. Vsebino zahtevka</w:t>
      </w:r>
      <w:r w:rsidR="00D63CA5">
        <w:t xml:space="preserve"> </w:t>
      </w:r>
      <w:r>
        <w:t>določi minister, pristojen za finance.«.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</w:pPr>
      <w:r>
        <w:t>14. člen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Prvi odstavek 327. člena se spremeni tako, da se glasi: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»(1) Kadar želi davčni zavezanec uveljavljati možnost v skladu z zakonom, ki ureja dohodnino, da se v davčno osnovo od obresti, doseženih v primeru vezanih denarnih sredstev in varčevanja pri bankah in hranilnicah, ustanovljenih v skladu s predpisi v Republiki Sloveniji, z ročnostjo, daljšo od enega leta, pri čemer zavezanec ne more razpolagati s privarčevanimi sredstvi pred potekom datuma vezave oziroma poteka varčevanja brez bistvenega zmanjšanja obresti, vštejejo obresti, obračunane za obdobje davčnega leta, je dolžan o tem obvestiti banko ali hranilnico v Republiki Sloveniji. Podatke v obvestilu</w:t>
      </w:r>
      <w:r w:rsidR="00D63CA5">
        <w:t xml:space="preserve"> </w:t>
      </w:r>
      <w:r>
        <w:t>predpiše minister, pristojen za finance.«.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</w:pPr>
      <w:r>
        <w:t>15. člen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V petem odstavku 352. člena se besedilo »pridobljenih v skladu s 340. členom tega zakona« nadomesti z besedilom »določenih z zakonom, ki ureja dohodnino, ob upoštevanju </w:t>
      </w:r>
      <w:proofErr w:type="spellStart"/>
      <w:r>
        <w:t>316.b</w:t>
      </w:r>
      <w:proofErr w:type="spellEnd"/>
      <w:r>
        <w:t xml:space="preserve">, 340. in </w:t>
      </w:r>
      <w:proofErr w:type="spellStart"/>
      <w:r>
        <w:t>340.a</w:t>
      </w:r>
      <w:proofErr w:type="spellEnd"/>
      <w:r>
        <w:t xml:space="preserve"> člena tega zakona«.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</w:pPr>
      <w:r>
        <w:lastRenderedPageBreak/>
        <w:t>16. člen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Šesti odstavek </w:t>
      </w:r>
      <w:proofErr w:type="spellStart"/>
      <w:r>
        <w:t>353.a</w:t>
      </w:r>
      <w:proofErr w:type="spellEnd"/>
      <w:r>
        <w:t xml:space="preserve"> člena se spremeni tako, da se glasi: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»(6) Če zavezancu za prispevke za socialno varnost </w:t>
      </w:r>
      <w:proofErr w:type="spellStart"/>
      <w:r>
        <w:t>predizpolnjen</w:t>
      </w:r>
      <w:proofErr w:type="spellEnd"/>
      <w:r>
        <w:t xml:space="preserve"> obračun prispevkov za socialno varnost ni bil vročen v roku iz četrtega odstavka tega člena ali če so podatki v </w:t>
      </w:r>
      <w:proofErr w:type="spellStart"/>
      <w:r>
        <w:t>predizpolnjenem</w:t>
      </w:r>
      <w:proofErr w:type="spellEnd"/>
      <w:r>
        <w:t xml:space="preserve"> obračunu prispevkov za socialno varnost nepravilni ali nepopolni, mora prek portala </w:t>
      </w:r>
      <w:proofErr w:type="spellStart"/>
      <w:r>
        <w:t>eDavki</w:t>
      </w:r>
      <w:proofErr w:type="spellEnd"/>
      <w:r>
        <w:t xml:space="preserve"> predložiti obračun prispevkov za socialno varnost v roku iz prvega odstavka 353. člena tega zakona.«.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</w:pPr>
      <w:r>
        <w:t>17. člen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V šestem odstavku </w:t>
      </w:r>
      <w:proofErr w:type="spellStart"/>
      <w:r>
        <w:t>382.a</w:t>
      </w:r>
      <w:proofErr w:type="spellEnd"/>
      <w:r>
        <w:t xml:space="preserve"> člena se zadnji stavek spremeni tako, da se glasi: »Priglasitev prenehanja ugotavljanja davčne osnove z upoštevanjem normiranih odhodkov, predloženo po roku, določenem v prvem stavku tega odstavka, davčni organ s sklepom zavrže.«. 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</w:pPr>
      <w:r>
        <w:t>18. člen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prvem odstavku 397. člena se v 45. točki besedilo »krovno matično podjetje« nadomesti z besedo «poročevalec«.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</w:pPr>
      <w:r>
        <w:t>19. člen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Naslov </w:t>
      </w:r>
      <w:proofErr w:type="spellStart"/>
      <w:r>
        <w:t>400.a</w:t>
      </w:r>
      <w:proofErr w:type="spellEnd"/>
      <w:r>
        <w:t xml:space="preserve"> člena se spremeni tako, da se glasi: »(davčni prekrški, ki jih storijo poročevalske finančne institucije ali drugi subjekti oziroma osebe v zvezi z izvajanjem sporazuma iz VI. poglavja četrtega dela tega zakona)«.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</w:pPr>
      <w:r>
        <w:t>20. člen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Naslov </w:t>
      </w:r>
      <w:proofErr w:type="spellStart"/>
      <w:r>
        <w:t>400.b</w:t>
      </w:r>
      <w:proofErr w:type="spellEnd"/>
      <w:r>
        <w:t xml:space="preserve"> člena se spremeni tako, da se glasi: »(davčni prekrški, ki jih storijo poročevalske finančne institucije Slovenije ali drugi subjekti oziroma osebe v zvezi z izvajanjem </w:t>
      </w:r>
      <w:proofErr w:type="spellStart"/>
      <w:r>
        <w:t>III.A</w:t>
      </w:r>
      <w:proofErr w:type="spellEnd"/>
      <w:r>
        <w:t xml:space="preserve"> poglavja četrtega dela tega zakona)«.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</w:pPr>
      <w:r>
        <w:t>PREHODNE IN KONČNA DOLOČBA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</w:pPr>
      <w:r>
        <w:t>21. člen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</w:pPr>
      <w:r>
        <w:t>(prenehanje veljavnosti)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(1) Z dnem začetka veljavnosti tega zakona prenehajo veljati:</w:t>
      </w:r>
    </w:p>
    <w:p w:rsidR="00AF51E2" w:rsidRDefault="00AF51E2" w:rsidP="00AF51E2">
      <w:pPr>
        <w:pStyle w:val="Odstavekseznama"/>
        <w:numPr>
          <w:ilvl w:val="0"/>
          <w:numId w:val="40"/>
        </w:numPr>
        <w:tabs>
          <w:tab w:val="left" w:pos="567"/>
          <w:tab w:val="left" w:pos="993"/>
        </w:tabs>
        <w:spacing w:line="240" w:lineRule="auto"/>
      </w:pPr>
      <w:r>
        <w:t>Pravilnik o obrazcu zahtevka za zmanjšanje davčne osnove od dohodka iz zaposlitve (iz drugega pogodbenega razmerja) zaradi uveljavljanja dejanskih stroškov (Uradni list RS, št. 138/06),</w:t>
      </w:r>
    </w:p>
    <w:p w:rsidR="00AF51E2" w:rsidRDefault="00AF51E2" w:rsidP="00AF51E2">
      <w:pPr>
        <w:pStyle w:val="Odstavekseznama"/>
        <w:numPr>
          <w:ilvl w:val="0"/>
          <w:numId w:val="40"/>
        </w:numPr>
        <w:tabs>
          <w:tab w:val="left" w:pos="567"/>
          <w:tab w:val="left" w:pos="993"/>
        </w:tabs>
        <w:spacing w:line="240" w:lineRule="auto"/>
      </w:pPr>
      <w:r>
        <w:t>Pravilnik o obrazcu za priglasitev davčne obravnave ob prenehanju opravljanja dejavnosti in nadaljevanju po drugi osebi (Uradni list RS, št. 103/10),</w:t>
      </w:r>
    </w:p>
    <w:p w:rsidR="00AF51E2" w:rsidRDefault="00AF51E2" w:rsidP="00AF51E2">
      <w:pPr>
        <w:pStyle w:val="Odstavekseznama"/>
        <w:numPr>
          <w:ilvl w:val="0"/>
          <w:numId w:val="40"/>
        </w:numPr>
        <w:tabs>
          <w:tab w:val="left" w:pos="567"/>
          <w:tab w:val="left" w:pos="993"/>
        </w:tabs>
        <w:spacing w:line="240" w:lineRule="auto"/>
      </w:pPr>
      <w:r>
        <w:t>Pravilnik o obrazcu zahtevka za uveljavljanje dejanskih stroškov nerezidenta – nastopajočega izvajalca ali športnika (Uradni list RS, št. 9/11),</w:t>
      </w:r>
    </w:p>
    <w:p w:rsidR="00AF51E2" w:rsidRDefault="00AF51E2" w:rsidP="00AF51E2">
      <w:pPr>
        <w:pStyle w:val="Odstavekseznama"/>
        <w:numPr>
          <w:ilvl w:val="0"/>
          <w:numId w:val="40"/>
        </w:numPr>
        <w:tabs>
          <w:tab w:val="left" w:pos="567"/>
          <w:tab w:val="left" w:pos="993"/>
        </w:tabs>
        <w:spacing w:line="240" w:lineRule="auto"/>
      </w:pPr>
      <w:r>
        <w:t>Pravilnik o obvestilu za uveljavljanje olajšave za vzdrževane družinske člane pri izračunu akontacije dohodnine (Uradni list RS, št. 138/06),</w:t>
      </w:r>
    </w:p>
    <w:p w:rsidR="00AF51E2" w:rsidRDefault="00AF51E2" w:rsidP="00AF51E2">
      <w:pPr>
        <w:pStyle w:val="Odstavekseznama"/>
        <w:numPr>
          <w:ilvl w:val="0"/>
          <w:numId w:val="40"/>
        </w:numPr>
        <w:tabs>
          <w:tab w:val="left" w:pos="567"/>
          <w:tab w:val="left" w:pos="993"/>
        </w:tabs>
        <w:spacing w:line="240" w:lineRule="auto"/>
      </w:pPr>
      <w:r>
        <w:lastRenderedPageBreak/>
        <w:t>Pravilnik o obrazcu obvestila o uveljavljanju davčne osnove po 84. členu ZDoh-2 od obresti od dolgoročno vezanih denarnih sredstev in dolgoročnega varčevanja pri bankah in hranilnicah (Uradni list RS, št. 138/06),</w:t>
      </w:r>
    </w:p>
    <w:p w:rsidR="00AF51E2" w:rsidRDefault="00AF51E2" w:rsidP="00AF51E2">
      <w:pPr>
        <w:pStyle w:val="Odstavekseznama"/>
        <w:numPr>
          <w:ilvl w:val="0"/>
          <w:numId w:val="40"/>
        </w:numPr>
        <w:tabs>
          <w:tab w:val="left" w:pos="567"/>
          <w:tab w:val="left" w:pos="993"/>
        </w:tabs>
        <w:spacing w:line="240" w:lineRule="auto"/>
      </w:pPr>
      <w:r>
        <w:t>Pravilnik o obrazcu vloge za uveljavljanje posebne olajšave za vzdrževane družinske člane, obrazcu vloge za uveljavljanje olajšave za investiranje v osnovno kmetijsko in osnovno gozdarsko dejavnost ter obrazcu zahtevka za zmanjšanje davčne osnove od dohodka iz drugega pogodbenega razmerja zaradi uveljavljanja dejanskih stroškov (Uradni list RS, št. 101/15).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(2) Minister, pristojen za finance, izda predpise na podlagi tega zakona v šestih mesecih po začetku veljavnosti tega zakona. Do izdaje teh predpisov se uporabljajo predpisi iz prejšnjega odstavka.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</w:pPr>
      <w:r>
        <w:t>22. člen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  <w:jc w:val="center"/>
      </w:pPr>
      <w:r>
        <w:t>(začetek veljavnosti)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Ta zakon začne veljati naslednji dan po objavi v Uradnem listu Republike Slovenije.</w:t>
      </w:r>
    </w:p>
    <w:p w:rsidR="00AF51E2" w:rsidRDefault="00AF51E2" w:rsidP="00AF51E2">
      <w:pPr>
        <w:tabs>
          <w:tab w:val="left" w:pos="567"/>
          <w:tab w:val="left" w:pos="993"/>
        </w:tabs>
        <w:spacing w:line="240" w:lineRule="auto"/>
      </w:pPr>
    </w:p>
    <w:p w:rsidR="00BF6D5A" w:rsidRDefault="00BF6D5A" w:rsidP="00AF51E2">
      <w:pPr>
        <w:tabs>
          <w:tab w:val="left" w:pos="567"/>
          <w:tab w:val="left" w:pos="993"/>
        </w:tabs>
        <w:spacing w:line="240" w:lineRule="auto"/>
      </w:pPr>
    </w:p>
    <w:p w:rsidR="00BF6D5A" w:rsidRDefault="00BF6D5A" w:rsidP="00AF51E2">
      <w:pPr>
        <w:tabs>
          <w:tab w:val="left" w:pos="567"/>
          <w:tab w:val="left" w:pos="993"/>
        </w:tabs>
        <w:spacing w:line="240" w:lineRule="auto"/>
      </w:pPr>
    </w:p>
    <w:p w:rsidR="00BF6D5A" w:rsidRDefault="00BF6D5A" w:rsidP="00BF6D5A">
      <w:pPr>
        <w:tabs>
          <w:tab w:val="left" w:pos="567"/>
          <w:tab w:val="left" w:pos="993"/>
        </w:tabs>
        <w:spacing w:line="240" w:lineRule="auto"/>
      </w:pPr>
      <w:r>
        <w:t>Š</w:t>
      </w:r>
      <w:r w:rsidRPr="00AF51E2">
        <w:t>tevilka:</w:t>
      </w:r>
      <w:r>
        <w:t xml:space="preserve"> </w:t>
      </w:r>
      <w:r w:rsidRPr="00AF51E2">
        <w:t>432-01/17-18/</w:t>
      </w:r>
    </w:p>
    <w:p w:rsidR="00BF6D5A" w:rsidRDefault="00BF6D5A" w:rsidP="00BF6D5A">
      <w:pPr>
        <w:tabs>
          <w:tab w:val="left" w:pos="567"/>
          <w:tab w:val="left" w:pos="993"/>
        </w:tabs>
        <w:spacing w:line="240" w:lineRule="auto"/>
      </w:pPr>
      <w:r>
        <w:t>Datum: 28. november 2017</w:t>
      </w:r>
    </w:p>
    <w:p w:rsidR="00BF6D5A" w:rsidRDefault="00BF6D5A" w:rsidP="00BF6D5A">
      <w:pPr>
        <w:tabs>
          <w:tab w:val="left" w:pos="567"/>
          <w:tab w:val="left" w:pos="993"/>
        </w:tabs>
        <w:spacing w:line="240" w:lineRule="auto"/>
      </w:pPr>
      <w:r>
        <w:t>E</w:t>
      </w:r>
      <w:r w:rsidRPr="00AF51E2">
        <w:t>PA 2252-</w:t>
      </w:r>
      <w:proofErr w:type="spellStart"/>
      <w:r w:rsidRPr="00AF51E2">
        <w:t>VII</w:t>
      </w:r>
      <w:proofErr w:type="spellEnd"/>
    </w:p>
    <w:p w:rsidR="00BF6D5A" w:rsidRPr="00ED0A8E" w:rsidRDefault="00BF6D5A" w:rsidP="00BF6D5A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BF6D5A" w:rsidRDefault="00BF6D5A" w:rsidP="00BF6D5A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 xml:space="preserve">Primož </w:t>
      </w:r>
      <w:proofErr w:type="spellStart"/>
      <w:r>
        <w:rPr>
          <w:szCs w:val="22"/>
        </w:rPr>
        <w:t>Hainz</w:t>
      </w:r>
      <w:proofErr w:type="spellEnd"/>
    </w:p>
    <w:p w:rsidR="00BF6D5A" w:rsidRDefault="00BF6D5A" w:rsidP="00BF6D5A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</w:t>
      </w:r>
      <w:r>
        <w:rPr>
          <w:szCs w:val="22"/>
        </w:rPr>
        <w:t>odpredsednik</w:t>
      </w:r>
    </w:p>
    <w:p w:rsidR="00BF6D5A" w:rsidRDefault="00BF6D5A" w:rsidP="00AF51E2">
      <w:pPr>
        <w:tabs>
          <w:tab w:val="left" w:pos="567"/>
          <w:tab w:val="left" w:pos="993"/>
        </w:tabs>
        <w:spacing w:line="240" w:lineRule="auto"/>
      </w:pPr>
    </w:p>
    <w:sectPr w:rsidR="00BF6D5A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BF6D5A">
      <w:rPr>
        <w:rStyle w:val="tevilkastrani"/>
        <w:noProof/>
        <w:sz w:val="20"/>
        <w:szCs w:val="20"/>
      </w:rPr>
      <w:t>5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C004B6"/>
    <w:multiLevelType w:val="hybridMultilevel"/>
    <w:tmpl w:val="DA3CDD4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6868B8"/>
    <w:multiLevelType w:val="hybridMultilevel"/>
    <w:tmpl w:val="148CBFB4"/>
    <w:lvl w:ilvl="0" w:tplc="17846BB2">
      <w:start w:val="2"/>
      <w:numFmt w:val="bullet"/>
      <w:lvlText w:val="–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63A165A4"/>
    <w:multiLevelType w:val="hybridMultilevel"/>
    <w:tmpl w:val="0568D1B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38"/>
  </w:num>
  <w:num w:numId="3">
    <w:abstractNumId w:val="8"/>
  </w:num>
  <w:num w:numId="4">
    <w:abstractNumId w:val="11"/>
  </w:num>
  <w:num w:numId="5">
    <w:abstractNumId w:val="10"/>
  </w:num>
  <w:num w:numId="6">
    <w:abstractNumId w:val="21"/>
  </w:num>
  <w:num w:numId="7">
    <w:abstractNumId w:val="31"/>
  </w:num>
  <w:num w:numId="8">
    <w:abstractNumId w:val="19"/>
  </w:num>
  <w:num w:numId="9">
    <w:abstractNumId w:val="35"/>
  </w:num>
  <w:num w:numId="10">
    <w:abstractNumId w:val="15"/>
  </w:num>
  <w:num w:numId="11">
    <w:abstractNumId w:val="5"/>
  </w:num>
  <w:num w:numId="12">
    <w:abstractNumId w:val="0"/>
  </w:num>
  <w:num w:numId="13">
    <w:abstractNumId w:val="22"/>
  </w:num>
  <w:num w:numId="14">
    <w:abstractNumId w:val="16"/>
  </w:num>
  <w:num w:numId="15">
    <w:abstractNumId w:val="18"/>
  </w:num>
  <w:num w:numId="16">
    <w:abstractNumId w:val="25"/>
  </w:num>
  <w:num w:numId="17">
    <w:abstractNumId w:val="2"/>
  </w:num>
  <w:num w:numId="18">
    <w:abstractNumId w:val="23"/>
  </w:num>
  <w:num w:numId="19">
    <w:abstractNumId w:val="7"/>
  </w:num>
  <w:num w:numId="20">
    <w:abstractNumId w:val="17"/>
  </w:num>
  <w:num w:numId="21">
    <w:abstractNumId w:val="32"/>
  </w:num>
  <w:num w:numId="22">
    <w:abstractNumId w:val="1"/>
  </w:num>
  <w:num w:numId="23">
    <w:abstractNumId w:val="3"/>
  </w:num>
  <w:num w:numId="24">
    <w:abstractNumId w:val="34"/>
  </w:num>
  <w:num w:numId="25">
    <w:abstractNumId w:val="6"/>
  </w:num>
  <w:num w:numId="26">
    <w:abstractNumId w:val="20"/>
  </w:num>
  <w:num w:numId="27">
    <w:abstractNumId w:val="24"/>
  </w:num>
  <w:num w:numId="28">
    <w:abstractNumId w:val="39"/>
  </w:num>
  <w:num w:numId="29">
    <w:abstractNumId w:val="13"/>
  </w:num>
  <w:num w:numId="30">
    <w:abstractNumId w:val="29"/>
  </w:num>
  <w:num w:numId="31">
    <w:abstractNumId w:val="30"/>
  </w:num>
  <w:num w:numId="32">
    <w:abstractNumId w:val="28"/>
  </w:num>
  <w:num w:numId="33">
    <w:abstractNumId w:val="33"/>
  </w:num>
  <w:num w:numId="34">
    <w:abstractNumId w:val="4"/>
  </w:num>
  <w:num w:numId="35">
    <w:abstractNumId w:val="14"/>
  </w:num>
  <w:num w:numId="36">
    <w:abstractNumId w:val="9"/>
  </w:num>
  <w:num w:numId="37">
    <w:abstractNumId w:val="37"/>
  </w:num>
  <w:num w:numId="38">
    <w:abstractNumId w:val="12"/>
  </w:num>
  <w:num w:numId="39">
    <w:abstractNumId w:val="26"/>
  </w:num>
  <w:num w:numId="40">
    <w:abstractNumId w:val="36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83314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AF51E2"/>
    <w:rsid w:val="00B4021E"/>
    <w:rsid w:val="00B64A88"/>
    <w:rsid w:val="00B87962"/>
    <w:rsid w:val="00B926CE"/>
    <w:rsid w:val="00BB2393"/>
    <w:rsid w:val="00BE26D1"/>
    <w:rsid w:val="00BE54BF"/>
    <w:rsid w:val="00BF6D5A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63CA5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13</TotalTime>
  <Pages>5</Pages>
  <Words>1428</Words>
  <Characters>8144</Characters>
  <Application>Microsoft Office Word</Application>
  <DocSecurity>0</DocSecurity>
  <Lines>67</Lines>
  <Paragraphs>19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9553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2017-11-28T11:37:00Z</cp:lastPrinted>
  <dcterms:created xsi:type="dcterms:W3CDTF">2017-11-07T09:57:00Z</dcterms:created>
  <dcterms:modified xsi:type="dcterms:W3CDTF">2017-12-05T11:21:00Z</dcterms:modified>
</cp:coreProperties>
</file>