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2578F" w:rsidRPr="00A2578F" w:rsidRDefault="00A2578F" w:rsidP="00A2578F">
      <w:pPr>
        <w:tabs>
          <w:tab w:val="left" w:pos="567"/>
          <w:tab w:val="left" w:pos="993"/>
        </w:tabs>
        <w:spacing w:line="240" w:lineRule="auto"/>
        <w:jc w:val="center"/>
        <w:rPr>
          <w:rFonts w:cs="Arial"/>
          <w:b/>
          <w:color w:val="000000" w:themeColor="text1"/>
          <w:spacing w:val="66"/>
          <w:szCs w:val="22"/>
        </w:rPr>
      </w:pPr>
      <w:bookmarkStart w:id="0" w:name="_GoBack"/>
      <w:bookmarkEnd w:id="0"/>
      <w:r w:rsidRPr="00A2578F">
        <w:rPr>
          <w:rFonts w:cs="Arial"/>
          <w:b/>
          <w:color w:val="000000" w:themeColor="text1"/>
          <w:spacing w:val="66"/>
          <w:szCs w:val="22"/>
        </w:rPr>
        <w:t>ZAKON</w:t>
      </w:r>
    </w:p>
    <w:p w:rsidR="00A2578F" w:rsidRDefault="00A2578F" w:rsidP="00A2578F">
      <w:pPr>
        <w:tabs>
          <w:tab w:val="left" w:pos="567"/>
          <w:tab w:val="left" w:pos="993"/>
        </w:tabs>
        <w:spacing w:line="240" w:lineRule="auto"/>
        <w:jc w:val="center"/>
        <w:rPr>
          <w:rFonts w:cs="Arial"/>
          <w:b/>
          <w:color w:val="000000" w:themeColor="text1"/>
          <w:szCs w:val="22"/>
        </w:rPr>
      </w:pPr>
    </w:p>
    <w:p w:rsidR="00A51455" w:rsidRDefault="00A2578F" w:rsidP="00A2578F">
      <w:pPr>
        <w:tabs>
          <w:tab w:val="left" w:pos="567"/>
          <w:tab w:val="left" w:pos="993"/>
        </w:tabs>
        <w:spacing w:line="240" w:lineRule="auto"/>
        <w:jc w:val="center"/>
        <w:rPr>
          <w:rFonts w:cs="Arial"/>
          <w:b/>
          <w:color w:val="000000" w:themeColor="text1"/>
          <w:szCs w:val="22"/>
        </w:rPr>
      </w:pPr>
      <w:r w:rsidRPr="00A2578F">
        <w:rPr>
          <w:rFonts w:cs="Arial"/>
          <w:b/>
          <w:color w:val="000000" w:themeColor="text1"/>
          <w:szCs w:val="22"/>
        </w:rPr>
        <w:t>O SPREMEMBAH IN DOPOLNITVAH</w:t>
      </w:r>
    </w:p>
    <w:p w:rsidR="00A2578F" w:rsidRPr="00A2578F" w:rsidRDefault="00A2578F" w:rsidP="00A2578F">
      <w:pPr>
        <w:tabs>
          <w:tab w:val="left" w:pos="567"/>
          <w:tab w:val="left" w:pos="993"/>
        </w:tabs>
        <w:spacing w:line="240" w:lineRule="auto"/>
        <w:jc w:val="center"/>
        <w:rPr>
          <w:rFonts w:cs="Arial"/>
          <w:b/>
          <w:color w:val="000000" w:themeColor="text1"/>
          <w:szCs w:val="22"/>
        </w:rPr>
      </w:pPr>
      <w:r w:rsidRPr="00A2578F">
        <w:rPr>
          <w:rFonts w:cs="Arial"/>
          <w:b/>
          <w:color w:val="000000" w:themeColor="text1"/>
          <w:szCs w:val="22"/>
        </w:rPr>
        <w:t>ZAKONA O DOHODNINI (ZD</w:t>
      </w:r>
      <w:r w:rsidR="0016363F">
        <w:rPr>
          <w:rFonts w:cs="Arial"/>
          <w:b/>
          <w:color w:val="000000" w:themeColor="text1"/>
          <w:szCs w:val="22"/>
        </w:rPr>
        <w:t>oh</w:t>
      </w:r>
      <w:r w:rsidRPr="00A2578F">
        <w:rPr>
          <w:rFonts w:cs="Arial"/>
          <w:b/>
          <w:color w:val="000000" w:themeColor="text1"/>
          <w:szCs w:val="22"/>
        </w:rPr>
        <w:t>-2</w:t>
      </w:r>
      <w:r w:rsidR="008E6E21">
        <w:rPr>
          <w:rFonts w:cs="Arial"/>
          <w:b/>
          <w:color w:val="000000" w:themeColor="text1"/>
          <w:szCs w:val="22"/>
        </w:rPr>
        <w:t>P</w:t>
      </w:r>
      <w:r w:rsidRPr="00A2578F">
        <w:rPr>
          <w:rFonts w:cs="Arial"/>
          <w:b/>
          <w:color w:val="000000" w:themeColor="text1"/>
          <w:szCs w:val="22"/>
        </w:rPr>
        <w:t>)</w:t>
      </w:r>
    </w:p>
    <w:p w:rsidR="00A2578F" w:rsidRDefault="00A2578F" w:rsidP="00A2578F">
      <w:pPr>
        <w:tabs>
          <w:tab w:val="left" w:pos="567"/>
          <w:tab w:val="left" w:pos="993"/>
        </w:tabs>
        <w:spacing w:line="240" w:lineRule="auto"/>
        <w:rPr>
          <w:rFonts w:cs="Arial"/>
          <w:color w:val="000000" w:themeColor="text1"/>
          <w:szCs w:val="22"/>
        </w:rPr>
      </w:pPr>
    </w:p>
    <w:p w:rsidR="00552CA0" w:rsidRPr="00A2578F" w:rsidRDefault="00552CA0" w:rsidP="00A2578F">
      <w:pPr>
        <w:tabs>
          <w:tab w:val="left" w:pos="567"/>
          <w:tab w:val="left" w:pos="993"/>
        </w:tabs>
        <w:spacing w:line="240" w:lineRule="auto"/>
        <w:rPr>
          <w:rFonts w:cs="Arial"/>
          <w:color w:val="000000" w:themeColor="text1"/>
          <w:szCs w:val="22"/>
        </w:rPr>
      </w:pPr>
    </w:p>
    <w:p w:rsidR="00A2578F" w:rsidRPr="00A2578F" w:rsidRDefault="00A2578F" w:rsidP="00A2578F">
      <w:pPr>
        <w:tabs>
          <w:tab w:val="left" w:pos="567"/>
          <w:tab w:val="left" w:pos="993"/>
        </w:tabs>
        <w:spacing w:line="240" w:lineRule="auto"/>
        <w:jc w:val="center"/>
        <w:rPr>
          <w:rFonts w:cs="Arial"/>
          <w:color w:val="000000" w:themeColor="text1"/>
          <w:szCs w:val="22"/>
        </w:rPr>
      </w:pPr>
      <w:r w:rsidRPr="00A2578F">
        <w:rPr>
          <w:rFonts w:cs="Arial"/>
          <w:color w:val="000000" w:themeColor="text1"/>
          <w:szCs w:val="22"/>
        </w:rPr>
        <w:t>1.</w:t>
      </w:r>
      <w:r>
        <w:rPr>
          <w:rFonts w:cs="Arial"/>
          <w:color w:val="000000" w:themeColor="text1"/>
          <w:szCs w:val="22"/>
        </w:rPr>
        <w:t xml:space="preserve"> </w:t>
      </w:r>
      <w:r w:rsidRPr="00A2578F">
        <w:rPr>
          <w:rFonts w:cs="Arial"/>
          <w:color w:val="000000" w:themeColor="text1"/>
          <w:szCs w:val="22"/>
        </w:rPr>
        <w:t>člen</w:t>
      </w:r>
    </w:p>
    <w:p w:rsidR="00A2578F" w:rsidRDefault="00A2578F" w:rsidP="00A2578F">
      <w:pPr>
        <w:tabs>
          <w:tab w:val="left" w:pos="567"/>
          <w:tab w:val="left" w:pos="993"/>
        </w:tabs>
        <w:spacing w:line="240" w:lineRule="auto"/>
        <w:rPr>
          <w:rFonts w:cs="Arial"/>
          <w:color w:val="000000" w:themeColor="text1"/>
          <w:szCs w:val="22"/>
        </w:rPr>
      </w:pPr>
    </w:p>
    <w:p w:rsidR="00A2578F" w:rsidRPr="00A2578F" w:rsidRDefault="00A2578F" w:rsidP="00A2578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A2578F">
        <w:rPr>
          <w:rFonts w:cs="Arial"/>
          <w:color w:val="000000" w:themeColor="text1"/>
          <w:szCs w:val="22"/>
        </w:rPr>
        <w:t xml:space="preserve">V Zakonu o dohodnini (Uradni list RS, št. 13/11 – uradno prečiščeno besedilo, 24/12, 30/12, 40/12 – </w:t>
      </w:r>
      <w:proofErr w:type="spellStart"/>
      <w:r w:rsidRPr="00A2578F">
        <w:rPr>
          <w:rFonts w:cs="Arial"/>
          <w:color w:val="000000" w:themeColor="text1"/>
          <w:szCs w:val="22"/>
        </w:rPr>
        <w:t>ZUJF</w:t>
      </w:r>
      <w:proofErr w:type="spellEnd"/>
      <w:r w:rsidRPr="00A2578F">
        <w:rPr>
          <w:rFonts w:cs="Arial"/>
          <w:color w:val="000000" w:themeColor="text1"/>
          <w:szCs w:val="22"/>
        </w:rPr>
        <w:t>, 75/12, 94/12,</w:t>
      </w:r>
      <w:r w:rsidR="00552CA0">
        <w:rPr>
          <w:rFonts w:cs="Arial"/>
          <w:color w:val="000000" w:themeColor="text1"/>
          <w:szCs w:val="22"/>
        </w:rPr>
        <w:t xml:space="preserve"> </w:t>
      </w:r>
      <w:r w:rsidRPr="00A2578F">
        <w:rPr>
          <w:rFonts w:cs="Arial"/>
          <w:color w:val="000000" w:themeColor="text1"/>
          <w:szCs w:val="22"/>
        </w:rPr>
        <w:t xml:space="preserve">96/13, 29/14 – </w:t>
      </w:r>
      <w:proofErr w:type="spellStart"/>
      <w:r w:rsidRPr="00A2578F">
        <w:rPr>
          <w:rFonts w:cs="Arial"/>
          <w:color w:val="000000" w:themeColor="text1"/>
          <w:szCs w:val="22"/>
        </w:rPr>
        <w:t>odl</w:t>
      </w:r>
      <w:proofErr w:type="spellEnd"/>
      <w:r w:rsidRPr="00A2578F">
        <w:rPr>
          <w:rFonts w:cs="Arial"/>
          <w:color w:val="000000" w:themeColor="text1"/>
          <w:szCs w:val="22"/>
        </w:rPr>
        <w:t>. US, 50/14 in 23/15) se 26. člen spremeni tako, da se glasi:</w:t>
      </w:r>
    </w:p>
    <w:p w:rsidR="00A2578F" w:rsidRPr="00A2578F" w:rsidRDefault="00A2578F" w:rsidP="00A2578F">
      <w:pPr>
        <w:tabs>
          <w:tab w:val="left" w:pos="567"/>
          <w:tab w:val="left" w:pos="993"/>
        </w:tabs>
        <w:spacing w:line="240" w:lineRule="auto"/>
        <w:rPr>
          <w:rFonts w:cs="Arial"/>
          <w:color w:val="000000" w:themeColor="text1"/>
          <w:szCs w:val="22"/>
        </w:rPr>
      </w:pPr>
    </w:p>
    <w:p w:rsidR="00A2578F" w:rsidRPr="00A2578F" w:rsidRDefault="00A2578F" w:rsidP="00A2578F">
      <w:pPr>
        <w:tabs>
          <w:tab w:val="left" w:pos="567"/>
          <w:tab w:val="left" w:pos="993"/>
        </w:tabs>
        <w:spacing w:line="240" w:lineRule="auto"/>
        <w:jc w:val="center"/>
        <w:rPr>
          <w:rFonts w:cs="Arial"/>
          <w:color w:val="000000" w:themeColor="text1"/>
          <w:szCs w:val="22"/>
        </w:rPr>
      </w:pPr>
      <w:r w:rsidRPr="00A2578F">
        <w:rPr>
          <w:rFonts w:cs="Arial"/>
          <w:color w:val="000000" w:themeColor="text1"/>
          <w:szCs w:val="22"/>
        </w:rPr>
        <w:t>»26. člen</w:t>
      </w:r>
    </w:p>
    <w:p w:rsidR="00A2578F" w:rsidRPr="00A2578F" w:rsidRDefault="00A2578F" w:rsidP="00A2578F">
      <w:pPr>
        <w:tabs>
          <w:tab w:val="left" w:pos="567"/>
          <w:tab w:val="left" w:pos="993"/>
        </w:tabs>
        <w:spacing w:line="240" w:lineRule="auto"/>
        <w:jc w:val="center"/>
        <w:rPr>
          <w:rFonts w:cs="Arial"/>
          <w:color w:val="000000" w:themeColor="text1"/>
          <w:szCs w:val="22"/>
        </w:rPr>
      </w:pPr>
      <w:r w:rsidRPr="00A2578F">
        <w:rPr>
          <w:rFonts w:cs="Arial"/>
          <w:color w:val="000000" w:themeColor="text1"/>
          <w:szCs w:val="22"/>
        </w:rPr>
        <w:t>(dohodki, povezani s kmetijsko in gozdarsko dejavnostjo)</w:t>
      </w:r>
    </w:p>
    <w:p w:rsidR="00A2578F" w:rsidRPr="00A2578F" w:rsidRDefault="00A2578F" w:rsidP="00A2578F">
      <w:pPr>
        <w:tabs>
          <w:tab w:val="left" w:pos="567"/>
          <w:tab w:val="left" w:pos="993"/>
        </w:tabs>
        <w:spacing w:line="240" w:lineRule="auto"/>
        <w:rPr>
          <w:rFonts w:cs="Arial"/>
          <w:color w:val="000000" w:themeColor="text1"/>
          <w:szCs w:val="22"/>
        </w:rPr>
      </w:pPr>
    </w:p>
    <w:p w:rsidR="00A2578F" w:rsidRPr="00A2578F" w:rsidRDefault="00A2578F" w:rsidP="00A2578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A2578F">
        <w:rPr>
          <w:rFonts w:cs="Arial"/>
          <w:color w:val="000000" w:themeColor="text1"/>
          <w:szCs w:val="22"/>
        </w:rPr>
        <w:t>Dohodnine se ne plača od dohodkov, pridobljenih v zvezi z osnovno kmetijsko in osnovno gozdarsko dejavnostjo, kot je določena v 69. členu tega zakona</w:t>
      </w:r>
      <w:r w:rsidR="00552CA0">
        <w:rPr>
          <w:rFonts w:cs="Arial"/>
          <w:color w:val="000000" w:themeColor="text1"/>
          <w:szCs w:val="22"/>
        </w:rPr>
        <w:t>,</w:t>
      </w:r>
      <w:r w:rsidRPr="00A2578F">
        <w:rPr>
          <w:rFonts w:cs="Arial"/>
          <w:color w:val="000000" w:themeColor="text1"/>
          <w:szCs w:val="22"/>
        </w:rPr>
        <w:t xml:space="preserve"> in katere dohodek se ugotavlja na podlagi 71. člena tega zakona, če gre za:</w:t>
      </w:r>
    </w:p>
    <w:p w:rsidR="00A2578F" w:rsidRPr="00A2578F" w:rsidRDefault="00A2578F" w:rsidP="00A2578F">
      <w:pPr>
        <w:pStyle w:val="Odstavekseznama"/>
        <w:numPr>
          <w:ilvl w:val="0"/>
          <w:numId w:val="4"/>
        </w:numPr>
        <w:tabs>
          <w:tab w:val="left" w:pos="567"/>
          <w:tab w:val="left" w:pos="993"/>
        </w:tabs>
        <w:spacing w:line="240" w:lineRule="auto"/>
        <w:rPr>
          <w:rFonts w:cs="Arial"/>
          <w:color w:val="000000" w:themeColor="text1"/>
          <w:szCs w:val="22"/>
        </w:rPr>
      </w:pPr>
      <w:r w:rsidRPr="00A2578F">
        <w:rPr>
          <w:rFonts w:cs="Arial"/>
          <w:color w:val="000000" w:themeColor="text1"/>
          <w:szCs w:val="22"/>
        </w:rPr>
        <w:t>dohodke iz opravljanja kmetijskih in gozdarskih storitev s kmetijsko in gozdarsko mehanizacijo v okviru strojnih krožkov, če jih pridobijo člani kmečkega gospodinjstva iz drugega odstavka 69. člena tega zakona v višini in pod pogoji, ki jih določi minister oziroma ministrica (v nadaljnjem besedilu: minister), pristojen za finance</w:t>
      </w:r>
      <w:r w:rsidR="00552CA0">
        <w:rPr>
          <w:rFonts w:cs="Arial"/>
          <w:color w:val="000000" w:themeColor="text1"/>
          <w:szCs w:val="22"/>
        </w:rPr>
        <w:t>,</w:t>
      </w:r>
      <w:r w:rsidRPr="00A2578F">
        <w:rPr>
          <w:rFonts w:cs="Arial"/>
          <w:color w:val="000000" w:themeColor="text1"/>
          <w:szCs w:val="22"/>
        </w:rPr>
        <w:t xml:space="preserve"> v soglasju z ministrom, pristojnim za kmetijstvo;</w:t>
      </w:r>
    </w:p>
    <w:p w:rsidR="00A2578F" w:rsidRPr="00A2578F" w:rsidRDefault="00A2578F" w:rsidP="00A2578F">
      <w:pPr>
        <w:pStyle w:val="Odstavekseznama"/>
        <w:numPr>
          <w:ilvl w:val="0"/>
          <w:numId w:val="4"/>
        </w:numPr>
        <w:tabs>
          <w:tab w:val="left" w:pos="567"/>
          <w:tab w:val="left" w:pos="993"/>
        </w:tabs>
        <w:spacing w:line="240" w:lineRule="auto"/>
        <w:rPr>
          <w:rFonts w:cs="Arial"/>
          <w:color w:val="000000" w:themeColor="text1"/>
          <w:szCs w:val="22"/>
        </w:rPr>
      </w:pPr>
      <w:r w:rsidRPr="00A2578F">
        <w:rPr>
          <w:rFonts w:cs="Arial"/>
          <w:color w:val="000000" w:themeColor="text1"/>
          <w:szCs w:val="22"/>
        </w:rPr>
        <w:t>dohodke, ki so izplačani za ukrepe kmetijske politike, vezane na izvajanje tehnologij, ki presegajo obvezne standarde, določene za posamezne ukrepe kmetijske politike s predpisi Evropske unije, in sicer:</w:t>
      </w:r>
    </w:p>
    <w:p w:rsidR="00A2578F" w:rsidRPr="00A2578F" w:rsidRDefault="00A2578F" w:rsidP="00A2578F">
      <w:pPr>
        <w:pStyle w:val="Odstavekseznama"/>
        <w:numPr>
          <w:ilvl w:val="0"/>
          <w:numId w:val="8"/>
        </w:numPr>
        <w:tabs>
          <w:tab w:val="left" w:pos="993"/>
        </w:tabs>
        <w:spacing w:line="240" w:lineRule="auto"/>
        <w:rPr>
          <w:rFonts w:cs="Arial"/>
          <w:color w:val="000000" w:themeColor="text1"/>
          <w:szCs w:val="22"/>
        </w:rPr>
      </w:pPr>
      <w:r w:rsidRPr="00A2578F">
        <w:rPr>
          <w:rFonts w:cs="Arial"/>
          <w:color w:val="000000" w:themeColor="text1"/>
          <w:szCs w:val="22"/>
        </w:rPr>
        <w:t>podpore za sheme kakovosti za kmetijske pridelke, kot jih določa 16. člen Uredb</w:t>
      </w:r>
      <w:r w:rsidR="00552CA0">
        <w:rPr>
          <w:rFonts w:cs="Arial"/>
          <w:color w:val="000000" w:themeColor="text1"/>
          <w:szCs w:val="22"/>
        </w:rPr>
        <w:t>e</w:t>
      </w:r>
      <w:r w:rsidRPr="00A2578F">
        <w:rPr>
          <w:rFonts w:cs="Arial"/>
          <w:color w:val="000000" w:themeColor="text1"/>
          <w:szCs w:val="22"/>
        </w:rPr>
        <w:t xml:space="preserve"> (EU) št. 1305/2013 Evropskega parlamenta in Sveta z dne 17. decembra 2013 o podpori za razvoj podeželja iz Evropskega kmetijskega sklada za razvoj podeželja (</w:t>
      </w:r>
      <w:proofErr w:type="spellStart"/>
      <w:r w:rsidRPr="00A2578F">
        <w:rPr>
          <w:rFonts w:cs="Arial"/>
          <w:color w:val="000000" w:themeColor="text1"/>
          <w:szCs w:val="22"/>
        </w:rPr>
        <w:t>EKSRP</w:t>
      </w:r>
      <w:proofErr w:type="spellEnd"/>
      <w:r w:rsidRPr="00A2578F">
        <w:rPr>
          <w:rFonts w:cs="Arial"/>
          <w:color w:val="000000" w:themeColor="text1"/>
          <w:szCs w:val="22"/>
        </w:rPr>
        <w:t>) in razveljavitvi Uredbe Sveta (ES) št. 1698/2005 (UL L 347, 20.</w:t>
      </w:r>
      <w:r>
        <w:rPr>
          <w:rFonts w:cs="Arial"/>
          <w:color w:val="000000" w:themeColor="text1"/>
          <w:szCs w:val="22"/>
        </w:rPr>
        <w:t xml:space="preserve"> </w:t>
      </w:r>
      <w:r w:rsidRPr="00A2578F">
        <w:rPr>
          <w:rFonts w:cs="Arial"/>
          <w:color w:val="000000" w:themeColor="text1"/>
          <w:szCs w:val="22"/>
        </w:rPr>
        <w:t>12.</w:t>
      </w:r>
      <w:r>
        <w:rPr>
          <w:rFonts w:cs="Arial"/>
          <w:color w:val="000000" w:themeColor="text1"/>
          <w:szCs w:val="22"/>
        </w:rPr>
        <w:t xml:space="preserve"> </w:t>
      </w:r>
      <w:r w:rsidRPr="00A2578F">
        <w:rPr>
          <w:rFonts w:cs="Arial"/>
          <w:color w:val="000000" w:themeColor="text1"/>
          <w:szCs w:val="22"/>
        </w:rPr>
        <w:t>2013, str. 487; v nadaljnjem besedilu: Uredba (EU) št. 1305/2013)</w:t>
      </w:r>
      <w:r w:rsidR="00A51455">
        <w:rPr>
          <w:rFonts w:cs="Arial"/>
          <w:color w:val="000000" w:themeColor="text1"/>
          <w:szCs w:val="22"/>
        </w:rPr>
        <w:t>,</w:t>
      </w:r>
    </w:p>
    <w:p w:rsidR="00A2578F" w:rsidRPr="00A2578F" w:rsidRDefault="00A2578F" w:rsidP="00A2578F">
      <w:pPr>
        <w:pStyle w:val="Odstavekseznama"/>
        <w:numPr>
          <w:ilvl w:val="0"/>
          <w:numId w:val="8"/>
        </w:numPr>
        <w:tabs>
          <w:tab w:val="left" w:pos="993"/>
        </w:tabs>
        <w:spacing w:line="240" w:lineRule="auto"/>
        <w:rPr>
          <w:rFonts w:cs="Arial"/>
          <w:color w:val="000000" w:themeColor="text1"/>
          <w:szCs w:val="22"/>
        </w:rPr>
      </w:pPr>
      <w:r w:rsidRPr="00A2578F">
        <w:rPr>
          <w:rFonts w:cs="Arial"/>
          <w:color w:val="000000" w:themeColor="text1"/>
          <w:szCs w:val="22"/>
        </w:rPr>
        <w:t>kmetijsko-okoljska podnebna plačila, kot jih določa 28. člen Uredbe (EU) št. 1305/2013,</w:t>
      </w:r>
    </w:p>
    <w:p w:rsidR="00A2578F" w:rsidRPr="00A2578F" w:rsidRDefault="00A2578F" w:rsidP="00A2578F">
      <w:pPr>
        <w:pStyle w:val="Odstavekseznama"/>
        <w:numPr>
          <w:ilvl w:val="0"/>
          <w:numId w:val="8"/>
        </w:numPr>
        <w:tabs>
          <w:tab w:val="left" w:pos="993"/>
        </w:tabs>
        <w:spacing w:line="240" w:lineRule="auto"/>
        <w:rPr>
          <w:rFonts w:cs="Arial"/>
          <w:color w:val="000000" w:themeColor="text1"/>
          <w:szCs w:val="22"/>
        </w:rPr>
      </w:pPr>
      <w:r w:rsidRPr="00A2578F">
        <w:rPr>
          <w:rFonts w:cs="Arial"/>
          <w:color w:val="000000" w:themeColor="text1"/>
          <w:szCs w:val="22"/>
        </w:rPr>
        <w:t>plačila za ekološko kmetovanje, kot jih določa 29. člen Uredbe (EU) št. 1305/2013,</w:t>
      </w:r>
    </w:p>
    <w:p w:rsidR="00A2578F" w:rsidRPr="00A2578F" w:rsidRDefault="00A2578F" w:rsidP="00A2578F">
      <w:pPr>
        <w:pStyle w:val="Odstavekseznama"/>
        <w:numPr>
          <w:ilvl w:val="0"/>
          <w:numId w:val="8"/>
        </w:numPr>
        <w:tabs>
          <w:tab w:val="left" w:pos="993"/>
        </w:tabs>
        <w:spacing w:line="240" w:lineRule="auto"/>
        <w:rPr>
          <w:rFonts w:cs="Arial"/>
          <w:color w:val="000000" w:themeColor="text1"/>
          <w:szCs w:val="22"/>
        </w:rPr>
      </w:pPr>
      <w:r w:rsidRPr="00A2578F">
        <w:rPr>
          <w:rFonts w:cs="Arial"/>
          <w:color w:val="000000" w:themeColor="text1"/>
          <w:szCs w:val="22"/>
        </w:rPr>
        <w:t xml:space="preserve">plačila v okviru območij Natura 2000 in na podlagi okvirne direktive o vodah, kot jih določa 30. člen Uredbe (EU) št. 1305/2013, </w:t>
      </w:r>
    </w:p>
    <w:p w:rsidR="00A2578F" w:rsidRPr="00A2578F" w:rsidRDefault="00A2578F" w:rsidP="00A2578F">
      <w:pPr>
        <w:pStyle w:val="Odstavekseznama"/>
        <w:numPr>
          <w:ilvl w:val="0"/>
          <w:numId w:val="8"/>
        </w:numPr>
        <w:tabs>
          <w:tab w:val="left" w:pos="993"/>
        </w:tabs>
        <w:spacing w:line="240" w:lineRule="auto"/>
        <w:rPr>
          <w:rFonts w:cs="Arial"/>
          <w:color w:val="000000" w:themeColor="text1"/>
          <w:szCs w:val="22"/>
        </w:rPr>
      </w:pPr>
      <w:r w:rsidRPr="00A2578F">
        <w:rPr>
          <w:rFonts w:cs="Arial"/>
          <w:color w:val="000000" w:themeColor="text1"/>
          <w:szCs w:val="22"/>
        </w:rPr>
        <w:t xml:space="preserve">plačila za območja z naravnimi ali drugimi posebnimi omejitvami, kot jih določata 31. in 32. člen Uredbe (EU) št. 1305/2013, </w:t>
      </w:r>
    </w:p>
    <w:p w:rsidR="00A2578F" w:rsidRPr="00A2578F" w:rsidRDefault="00A2578F" w:rsidP="00A2578F">
      <w:pPr>
        <w:pStyle w:val="Odstavekseznama"/>
        <w:numPr>
          <w:ilvl w:val="0"/>
          <w:numId w:val="8"/>
        </w:numPr>
        <w:tabs>
          <w:tab w:val="left" w:pos="993"/>
        </w:tabs>
        <w:spacing w:line="240" w:lineRule="auto"/>
        <w:rPr>
          <w:rFonts w:cs="Arial"/>
          <w:color w:val="000000" w:themeColor="text1"/>
          <w:szCs w:val="22"/>
        </w:rPr>
      </w:pPr>
      <w:r w:rsidRPr="00A2578F">
        <w:rPr>
          <w:rFonts w:cs="Arial"/>
          <w:color w:val="000000" w:themeColor="text1"/>
          <w:szCs w:val="22"/>
        </w:rPr>
        <w:t>plačila za dobrobit živali, kot jih določa 33. člen Uredbe (EU) št. 1305/2013,</w:t>
      </w:r>
    </w:p>
    <w:p w:rsidR="00A2578F" w:rsidRPr="00A2578F" w:rsidRDefault="00A2578F" w:rsidP="00A2578F">
      <w:pPr>
        <w:pStyle w:val="Odstavekseznama"/>
        <w:numPr>
          <w:ilvl w:val="0"/>
          <w:numId w:val="8"/>
        </w:numPr>
        <w:tabs>
          <w:tab w:val="left" w:pos="993"/>
        </w:tabs>
        <w:spacing w:line="240" w:lineRule="auto"/>
        <w:rPr>
          <w:rFonts w:cs="Arial"/>
          <w:color w:val="000000" w:themeColor="text1"/>
          <w:szCs w:val="22"/>
        </w:rPr>
      </w:pPr>
      <w:r w:rsidRPr="00A2578F">
        <w:rPr>
          <w:rFonts w:cs="Arial"/>
          <w:color w:val="000000" w:themeColor="text1"/>
          <w:szCs w:val="22"/>
        </w:rPr>
        <w:t>plačila za gozdarsko-okoljske in podnebne storitve ter ohranjanje gozdov, kot jih določa 34. člen Uredbe (EU) št. 1305/2013,</w:t>
      </w:r>
    </w:p>
    <w:p w:rsidR="00A2578F" w:rsidRPr="00A2578F" w:rsidRDefault="00A2578F" w:rsidP="00A2578F">
      <w:pPr>
        <w:pStyle w:val="Odstavekseznama"/>
        <w:numPr>
          <w:ilvl w:val="0"/>
          <w:numId w:val="8"/>
        </w:numPr>
        <w:tabs>
          <w:tab w:val="left" w:pos="993"/>
        </w:tabs>
        <w:spacing w:line="240" w:lineRule="auto"/>
        <w:rPr>
          <w:rFonts w:cs="Arial"/>
          <w:color w:val="000000" w:themeColor="text1"/>
          <w:szCs w:val="22"/>
        </w:rPr>
      </w:pPr>
      <w:r w:rsidRPr="00A2578F">
        <w:rPr>
          <w:rFonts w:cs="Arial"/>
          <w:color w:val="000000" w:themeColor="text1"/>
          <w:szCs w:val="22"/>
        </w:rPr>
        <w:t>plačilo za kmetijske prakse, ki ugodno vplivajo na podnebje in okolje (t.i. plačilo za zeleno komponento), kot ga določa 43. člen Uredbe (EU) št. 1307/2013 Evropskega parlamenta in Sveta z dne 17. december 2013 o pravilih za neposredna plačila kmetom na podlagi shem podpore v okviru skupne kmetijske politike ter razveljavitvi Uredbe Sveta (ES) št. 637/2008 in Uredbe Sveta (ES) št. 73/2009 (UL L št. 347 z dne 20. 12. 2013, str. 608), zadnjič spremenjene z Delegirano uredbo Komisije (EU) št. 1001/2014 z dne 18. julija 2014 o spremembi Priloge X k Uredbi (EU) št. 1307/2013 Evropskega parlamenta in Sveta o pravilih za neposredna plačila kmetom na podlagi shem podpore v okviru skupne kmetijske politike (UL L št. 281 z dne 25. 9. 2014, str. 1);</w:t>
      </w:r>
    </w:p>
    <w:p w:rsidR="00A2578F" w:rsidRPr="00A2578F" w:rsidRDefault="00A2578F" w:rsidP="00A2578F">
      <w:pPr>
        <w:pStyle w:val="Odstavekseznama"/>
        <w:numPr>
          <w:ilvl w:val="0"/>
          <w:numId w:val="4"/>
        </w:numPr>
        <w:tabs>
          <w:tab w:val="left" w:pos="567"/>
          <w:tab w:val="left" w:pos="993"/>
        </w:tabs>
        <w:spacing w:line="240" w:lineRule="auto"/>
        <w:rPr>
          <w:rFonts w:cs="Arial"/>
          <w:color w:val="000000" w:themeColor="text1"/>
          <w:szCs w:val="22"/>
        </w:rPr>
      </w:pPr>
      <w:r w:rsidRPr="00A2578F">
        <w:rPr>
          <w:rFonts w:cs="Arial"/>
          <w:color w:val="000000" w:themeColor="text1"/>
          <w:szCs w:val="22"/>
        </w:rPr>
        <w:lastRenderedPageBreak/>
        <w:t>plačila iz naslova ukrepov kmetijske politike, pridobljena v zvezi z dolgoročnimi vlaganji;</w:t>
      </w:r>
    </w:p>
    <w:p w:rsidR="00A2578F" w:rsidRPr="00A2578F" w:rsidRDefault="00A2578F" w:rsidP="00A2578F">
      <w:pPr>
        <w:pStyle w:val="Odstavekseznama"/>
        <w:numPr>
          <w:ilvl w:val="0"/>
          <w:numId w:val="4"/>
        </w:numPr>
        <w:tabs>
          <w:tab w:val="left" w:pos="567"/>
          <w:tab w:val="left" w:pos="993"/>
        </w:tabs>
        <w:spacing w:line="240" w:lineRule="auto"/>
        <w:rPr>
          <w:rFonts w:cs="Arial"/>
          <w:color w:val="000000" w:themeColor="text1"/>
          <w:szCs w:val="22"/>
        </w:rPr>
      </w:pPr>
      <w:r w:rsidRPr="00A2578F">
        <w:rPr>
          <w:rFonts w:cs="Arial"/>
          <w:color w:val="000000" w:themeColor="text1"/>
          <w:szCs w:val="22"/>
        </w:rPr>
        <w:t>izplačila na podlagi zavarovanja za škodo na premoženju, ki se uporablja za opravljanje osnovne kmetijske in osnovne gozdarske dejavnosti;</w:t>
      </w:r>
    </w:p>
    <w:p w:rsidR="00A2578F" w:rsidRPr="00A2578F" w:rsidRDefault="00A2578F" w:rsidP="00A2578F">
      <w:pPr>
        <w:pStyle w:val="Odstavekseznama"/>
        <w:numPr>
          <w:ilvl w:val="0"/>
          <w:numId w:val="4"/>
        </w:numPr>
        <w:tabs>
          <w:tab w:val="left" w:pos="567"/>
          <w:tab w:val="left" w:pos="993"/>
        </w:tabs>
        <w:spacing w:line="240" w:lineRule="auto"/>
        <w:rPr>
          <w:rFonts w:cs="Arial"/>
          <w:color w:val="000000" w:themeColor="text1"/>
          <w:szCs w:val="22"/>
        </w:rPr>
      </w:pPr>
      <w:r w:rsidRPr="00A2578F">
        <w:rPr>
          <w:rFonts w:cs="Arial"/>
          <w:color w:val="000000" w:themeColor="text1"/>
          <w:szCs w:val="22"/>
        </w:rPr>
        <w:t xml:space="preserve">denarno pomoč, ki jo posameznik prejme zaradi naravne in druge nesreče ali odškodnino za škodo, ki jo povzročijo prostoživeče živali ali zavarovane prostoživeče živalske vrste, določeno v skladu s posebnimi predpisi; </w:t>
      </w:r>
    </w:p>
    <w:p w:rsidR="00A2578F" w:rsidRPr="00A2578F" w:rsidRDefault="00A2578F" w:rsidP="00A2578F">
      <w:pPr>
        <w:pStyle w:val="Odstavekseznama"/>
        <w:numPr>
          <w:ilvl w:val="0"/>
          <w:numId w:val="4"/>
        </w:numPr>
        <w:tabs>
          <w:tab w:val="left" w:pos="567"/>
          <w:tab w:val="left" w:pos="993"/>
        </w:tabs>
        <w:spacing w:line="240" w:lineRule="auto"/>
        <w:rPr>
          <w:rFonts w:cs="Arial"/>
          <w:color w:val="000000" w:themeColor="text1"/>
          <w:szCs w:val="22"/>
        </w:rPr>
      </w:pPr>
      <w:r w:rsidRPr="00A2578F">
        <w:rPr>
          <w:rFonts w:cs="Arial"/>
          <w:color w:val="000000" w:themeColor="text1"/>
          <w:szCs w:val="22"/>
        </w:rPr>
        <w:t>dohodek iz osnovne kmetijske in osnovne gozdarske dejavnosti, ki se ne šteje kot dohodek iz te dejavnosti na kmečkem gospodinjstvu v skladu z drugim odstavkom 69. člena tega zakona;</w:t>
      </w:r>
    </w:p>
    <w:p w:rsidR="00A2578F" w:rsidRPr="00A2578F" w:rsidRDefault="00A2578F" w:rsidP="00A2578F">
      <w:pPr>
        <w:pStyle w:val="Odstavekseznama"/>
        <w:numPr>
          <w:ilvl w:val="0"/>
          <w:numId w:val="4"/>
        </w:numPr>
        <w:tabs>
          <w:tab w:val="left" w:pos="567"/>
          <w:tab w:val="left" w:pos="993"/>
        </w:tabs>
        <w:spacing w:line="240" w:lineRule="auto"/>
        <w:rPr>
          <w:rFonts w:cs="Arial"/>
          <w:color w:val="000000" w:themeColor="text1"/>
          <w:szCs w:val="22"/>
        </w:rPr>
      </w:pPr>
      <w:r w:rsidRPr="00A2578F">
        <w:rPr>
          <w:rFonts w:cs="Arial"/>
          <w:color w:val="000000" w:themeColor="text1"/>
          <w:szCs w:val="22"/>
        </w:rPr>
        <w:t>plačilo za vodenje knjigovodstva na kmetijah po uradni metodologiji E</w:t>
      </w:r>
      <w:r w:rsidR="00552CA0">
        <w:rPr>
          <w:rFonts w:cs="Arial"/>
          <w:color w:val="000000" w:themeColor="text1"/>
          <w:szCs w:val="22"/>
        </w:rPr>
        <w:t xml:space="preserve">U </w:t>
      </w:r>
      <w:r w:rsidRPr="00A2578F">
        <w:rPr>
          <w:rFonts w:cs="Arial"/>
          <w:color w:val="000000" w:themeColor="text1"/>
          <w:szCs w:val="22"/>
        </w:rPr>
        <w:t>za</w:t>
      </w:r>
      <w:r>
        <w:rPr>
          <w:rFonts w:cs="Arial"/>
          <w:color w:val="000000" w:themeColor="text1"/>
          <w:szCs w:val="22"/>
        </w:rPr>
        <w:t xml:space="preserve"> </w:t>
      </w:r>
      <w:r w:rsidRPr="00A2578F">
        <w:rPr>
          <w:rFonts w:cs="Arial"/>
          <w:color w:val="000000" w:themeColor="text1"/>
          <w:szCs w:val="22"/>
        </w:rPr>
        <w:t xml:space="preserve">zbiranje računovodskih podatkov o dohodkih in poslovanju kmetijskih gospodarstev (Farm </w:t>
      </w:r>
      <w:proofErr w:type="spellStart"/>
      <w:r w:rsidRPr="00A2578F">
        <w:rPr>
          <w:rFonts w:cs="Arial"/>
          <w:color w:val="000000" w:themeColor="text1"/>
          <w:szCs w:val="22"/>
        </w:rPr>
        <w:t>Accountancy</w:t>
      </w:r>
      <w:proofErr w:type="spellEnd"/>
      <w:r w:rsidRPr="00A2578F">
        <w:rPr>
          <w:rFonts w:cs="Arial"/>
          <w:color w:val="000000" w:themeColor="text1"/>
          <w:szCs w:val="22"/>
        </w:rPr>
        <w:t xml:space="preserve"> </w:t>
      </w:r>
      <w:proofErr w:type="spellStart"/>
      <w:r w:rsidRPr="00A2578F">
        <w:rPr>
          <w:rFonts w:cs="Arial"/>
          <w:color w:val="000000" w:themeColor="text1"/>
          <w:szCs w:val="22"/>
        </w:rPr>
        <w:t>Data</w:t>
      </w:r>
      <w:proofErr w:type="spellEnd"/>
      <w:r w:rsidRPr="00A2578F">
        <w:rPr>
          <w:rFonts w:cs="Arial"/>
          <w:color w:val="000000" w:themeColor="text1"/>
          <w:szCs w:val="22"/>
        </w:rPr>
        <w:t xml:space="preserve"> </w:t>
      </w:r>
      <w:proofErr w:type="spellStart"/>
      <w:r w:rsidRPr="00A2578F">
        <w:rPr>
          <w:rFonts w:cs="Arial"/>
          <w:color w:val="000000" w:themeColor="text1"/>
          <w:szCs w:val="22"/>
        </w:rPr>
        <w:t>Network</w:t>
      </w:r>
      <w:proofErr w:type="spellEnd"/>
      <w:r w:rsidRPr="00A2578F">
        <w:rPr>
          <w:rFonts w:cs="Arial"/>
          <w:color w:val="000000" w:themeColor="text1"/>
          <w:szCs w:val="22"/>
        </w:rPr>
        <w:t xml:space="preserve"> – </w:t>
      </w:r>
      <w:proofErr w:type="spellStart"/>
      <w:r w:rsidRPr="00A2578F">
        <w:rPr>
          <w:rFonts w:cs="Arial"/>
          <w:color w:val="000000" w:themeColor="text1"/>
          <w:szCs w:val="22"/>
        </w:rPr>
        <w:t>FADN</w:t>
      </w:r>
      <w:proofErr w:type="spellEnd"/>
      <w:r w:rsidRPr="00A2578F">
        <w:rPr>
          <w:rFonts w:cs="Arial"/>
          <w:color w:val="000000" w:themeColor="text1"/>
          <w:szCs w:val="22"/>
        </w:rPr>
        <w:t>), ki so namenjena vodenju knjigovodstva v zvezi z opravljanjem osnovne kmetijske in osnovne gozdarske dejavnosti;</w:t>
      </w:r>
    </w:p>
    <w:p w:rsidR="00A2578F" w:rsidRPr="00A2578F" w:rsidRDefault="00A2578F" w:rsidP="00A2578F">
      <w:pPr>
        <w:pStyle w:val="Odstavekseznama"/>
        <w:numPr>
          <w:ilvl w:val="0"/>
          <w:numId w:val="4"/>
        </w:numPr>
        <w:tabs>
          <w:tab w:val="left" w:pos="567"/>
          <w:tab w:val="left" w:pos="993"/>
        </w:tabs>
        <w:spacing w:line="240" w:lineRule="auto"/>
        <w:rPr>
          <w:rFonts w:cs="Arial"/>
          <w:color w:val="000000" w:themeColor="text1"/>
          <w:szCs w:val="22"/>
        </w:rPr>
      </w:pPr>
      <w:r w:rsidRPr="00A2578F">
        <w:rPr>
          <w:rFonts w:cs="Arial"/>
          <w:color w:val="000000" w:themeColor="text1"/>
          <w:szCs w:val="22"/>
        </w:rPr>
        <w:t xml:space="preserve">dohodek kmečkega gospodinjstva od uporabe do 40 čebeljih panjev. Oprostitev se prizna tako, da se davčna osnova od potencialnih tržnih dohodkov čebelarstva zniža za delež, ugotovljen iz razmerja med številom oproščenih panjev in skupnim številom panjev v uporabi članov kmečkega gospodinjstva.«. </w:t>
      </w:r>
    </w:p>
    <w:p w:rsidR="00A2578F" w:rsidRPr="00A2578F" w:rsidRDefault="00A2578F" w:rsidP="00A2578F">
      <w:pPr>
        <w:tabs>
          <w:tab w:val="left" w:pos="567"/>
          <w:tab w:val="left" w:pos="993"/>
        </w:tabs>
        <w:spacing w:line="240" w:lineRule="auto"/>
        <w:rPr>
          <w:rFonts w:cs="Arial"/>
          <w:color w:val="000000" w:themeColor="text1"/>
          <w:szCs w:val="22"/>
        </w:rPr>
      </w:pPr>
    </w:p>
    <w:p w:rsidR="00A2578F" w:rsidRDefault="00A2578F" w:rsidP="00A2578F">
      <w:pPr>
        <w:tabs>
          <w:tab w:val="left" w:pos="567"/>
          <w:tab w:val="left" w:pos="993"/>
        </w:tabs>
        <w:spacing w:line="240" w:lineRule="auto"/>
        <w:rPr>
          <w:rFonts w:cs="Arial"/>
          <w:color w:val="000000" w:themeColor="text1"/>
          <w:szCs w:val="22"/>
        </w:rPr>
      </w:pPr>
    </w:p>
    <w:p w:rsidR="00A2578F" w:rsidRPr="00A2578F" w:rsidRDefault="00552CA0" w:rsidP="00A2578F">
      <w:pPr>
        <w:tabs>
          <w:tab w:val="left" w:pos="567"/>
          <w:tab w:val="left" w:pos="993"/>
        </w:tabs>
        <w:spacing w:line="240" w:lineRule="auto"/>
        <w:jc w:val="center"/>
        <w:rPr>
          <w:rFonts w:cs="Arial"/>
          <w:color w:val="000000" w:themeColor="text1"/>
          <w:szCs w:val="22"/>
        </w:rPr>
      </w:pPr>
      <w:r>
        <w:rPr>
          <w:rFonts w:cs="Arial"/>
          <w:color w:val="000000" w:themeColor="text1"/>
          <w:szCs w:val="22"/>
        </w:rPr>
        <w:t>2</w:t>
      </w:r>
      <w:r w:rsidR="00A2578F" w:rsidRPr="00A2578F">
        <w:rPr>
          <w:rFonts w:cs="Arial"/>
          <w:color w:val="000000" w:themeColor="text1"/>
          <w:szCs w:val="22"/>
        </w:rPr>
        <w:t>. člen</w:t>
      </w:r>
    </w:p>
    <w:p w:rsidR="00A2578F" w:rsidRPr="00A2578F" w:rsidRDefault="00A2578F" w:rsidP="00A2578F">
      <w:pPr>
        <w:tabs>
          <w:tab w:val="left" w:pos="567"/>
          <w:tab w:val="left" w:pos="993"/>
        </w:tabs>
        <w:spacing w:line="240" w:lineRule="auto"/>
        <w:rPr>
          <w:rFonts w:cs="Arial"/>
          <w:color w:val="000000" w:themeColor="text1"/>
          <w:szCs w:val="22"/>
        </w:rPr>
      </w:pPr>
    </w:p>
    <w:p w:rsidR="00A2578F" w:rsidRPr="00A2578F" w:rsidRDefault="00A2578F" w:rsidP="00A2578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A2578F">
        <w:rPr>
          <w:rFonts w:cs="Arial"/>
          <w:color w:val="000000" w:themeColor="text1"/>
          <w:szCs w:val="22"/>
        </w:rPr>
        <w:t>Drugi odstavek 47. člena se spremeni tako, da se glasi:</w:t>
      </w:r>
    </w:p>
    <w:p w:rsidR="00A2578F" w:rsidRPr="00A2578F" w:rsidRDefault="00A2578F" w:rsidP="00A2578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A2578F">
        <w:rPr>
          <w:rFonts w:cs="Arial"/>
          <w:color w:val="000000" w:themeColor="text1"/>
          <w:szCs w:val="22"/>
        </w:rPr>
        <w:t>»</w:t>
      </w:r>
      <w:r>
        <w:rPr>
          <w:rFonts w:cs="Arial"/>
          <w:color w:val="000000" w:themeColor="text1"/>
          <w:szCs w:val="22"/>
        </w:rPr>
        <w:t xml:space="preserve">(2) </w:t>
      </w:r>
      <w:r w:rsidRPr="00A2578F">
        <w:rPr>
          <w:rFonts w:cs="Arial"/>
          <w:color w:val="000000" w:themeColor="text1"/>
          <w:szCs w:val="22"/>
        </w:rPr>
        <w:t>Davčna osnova od dohodka iz osnovne kmetijske in osnovne gozdarske dejavnosti se ugotavlja na podlagi dejanskih prihodkov in odhodkov ali na podlagi dejanskih prihodkov in normiranih odhodkov, če se člani kmečkega gospodinjstva, za katere se v skladu z 69. členom tega zakona šteje, da opravljajo osnovno kmetijsko in osnovno gozdarsko dejavnost, za katero se obračunava davek na dodano vrednost, za to prostovoljno odločijo, pri čemer morajo:</w:t>
      </w:r>
    </w:p>
    <w:p w:rsidR="00A2578F" w:rsidRPr="00A2578F" w:rsidRDefault="00A2578F" w:rsidP="00A2578F">
      <w:pPr>
        <w:pStyle w:val="Odstavekseznama"/>
        <w:numPr>
          <w:ilvl w:val="2"/>
          <w:numId w:val="8"/>
        </w:numPr>
        <w:tabs>
          <w:tab w:val="left" w:pos="567"/>
          <w:tab w:val="left" w:pos="993"/>
        </w:tabs>
        <w:spacing w:line="240" w:lineRule="auto"/>
        <w:ind w:left="360"/>
        <w:rPr>
          <w:rFonts w:cs="Arial"/>
          <w:color w:val="000000" w:themeColor="text1"/>
          <w:szCs w:val="22"/>
        </w:rPr>
      </w:pPr>
      <w:r w:rsidRPr="00A2578F">
        <w:rPr>
          <w:rFonts w:cs="Arial"/>
          <w:color w:val="000000" w:themeColor="text1"/>
          <w:szCs w:val="22"/>
        </w:rPr>
        <w:t>enega od zavezancev za dohodnino od dohodka iz osnovne kmetijske in osnovne gozdarske dejavnosti v okviru kmečkega gospodinjstva, določenega v drugem odstavku 69. člena tega zakona, določiti kot zavezanca za celotno kmetijsko in gozdarsko dejavnost v okviru kmečkega gospodinjstva (kot nosilca te dejavnosti), oziroma če se v okviru kmečkega gospodinjstva opravlja tudi druga kmetijska ali dopolnilna dejavnost na kmetiji, kot jo določajo predpisi o kmetijstvu, kot zavezanca za celotno kmetijsko in dopolnilno dejavnost v okviru kmečkega gospodinjstva,</w:t>
      </w:r>
    </w:p>
    <w:p w:rsidR="00A2578F" w:rsidRPr="00A2578F" w:rsidRDefault="00A2578F" w:rsidP="00A2578F">
      <w:pPr>
        <w:pStyle w:val="Odstavekseznama"/>
        <w:numPr>
          <w:ilvl w:val="2"/>
          <w:numId w:val="8"/>
        </w:numPr>
        <w:tabs>
          <w:tab w:val="left" w:pos="567"/>
          <w:tab w:val="left" w:pos="993"/>
        </w:tabs>
        <w:spacing w:line="240" w:lineRule="auto"/>
        <w:ind w:left="360"/>
        <w:rPr>
          <w:rFonts w:cs="Arial"/>
          <w:color w:val="000000" w:themeColor="text1"/>
          <w:szCs w:val="22"/>
        </w:rPr>
      </w:pPr>
      <w:r w:rsidRPr="00A2578F">
        <w:rPr>
          <w:rFonts w:cs="Arial"/>
          <w:color w:val="000000" w:themeColor="text1"/>
          <w:szCs w:val="22"/>
        </w:rPr>
        <w:t>tak način ugotavljanja davčne osnove priglasiti pri davčnem organu in</w:t>
      </w:r>
    </w:p>
    <w:p w:rsidR="00A2578F" w:rsidRPr="00A2578F" w:rsidRDefault="00A2578F" w:rsidP="00A2578F">
      <w:pPr>
        <w:pStyle w:val="Odstavekseznama"/>
        <w:numPr>
          <w:ilvl w:val="2"/>
          <w:numId w:val="8"/>
        </w:numPr>
        <w:tabs>
          <w:tab w:val="left" w:pos="567"/>
          <w:tab w:val="left" w:pos="993"/>
        </w:tabs>
        <w:spacing w:line="240" w:lineRule="auto"/>
        <w:ind w:left="360"/>
        <w:rPr>
          <w:rFonts w:cs="Arial"/>
          <w:color w:val="000000" w:themeColor="text1"/>
          <w:szCs w:val="22"/>
        </w:rPr>
      </w:pPr>
      <w:r w:rsidRPr="00A2578F">
        <w:rPr>
          <w:rFonts w:cs="Arial"/>
          <w:color w:val="000000" w:themeColor="text1"/>
          <w:szCs w:val="22"/>
        </w:rPr>
        <w:t>se zavezati, da bodo davčno osnovo na tak način ugotavljali najmanj pet davčnih let.«</w:t>
      </w:r>
      <w:r>
        <w:rPr>
          <w:rFonts w:cs="Arial"/>
          <w:color w:val="000000" w:themeColor="text1"/>
          <w:szCs w:val="22"/>
        </w:rPr>
        <w:t>.</w:t>
      </w:r>
    </w:p>
    <w:p w:rsidR="00A2578F" w:rsidRPr="00A2578F" w:rsidRDefault="00A2578F" w:rsidP="00A2578F">
      <w:pPr>
        <w:tabs>
          <w:tab w:val="left" w:pos="567"/>
          <w:tab w:val="left" w:pos="993"/>
        </w:tabs>
        <w:spacing w:line="240" w:lineRule="auto"/>
        <w:rPr>
          <w:rFonts w:cs="Arial"/>
          <w:color w:val="000000" w:themeColor="text1"/>
          <w:szCs w:val="22"/>
        </w:rPr>
      </w:pPr>
    </w:p>
    <w:p w:rsidR="00A2578F" w:rsidRPr="00A2578F" w:rsidRDefault="00A2578F" w:rsidP="00A2578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A2578F">
        <w:rPr>
          <w:rFonts w:cs="Arial"/>
          <w:color w:val="000000" w:themeColor="text1"/>
          <w:szCs w:val="22"/>
        </w:rPr>
        <w:t>Četrti odstavek se črta.</w:t>
      </w:r>
    </w:p>
    <w:p w:rsidR="00A2578F" w:rsidRDefault="00A2578F" w:rsidP="00A2578F">
      <w:pPr>
        <w:tabs>
          <w:tab w:val="left" w:pos="567"/>
          <w:tab w:val="left" w:pos="993"/>
        </w:tabs>
        <w:spacing w:line="240" w:lineRule="auto"/>
        <w:rPr>
          <w:rFonts w:cs="Arial"/>
          <w:color w:val="000000" w:themeColor="text1"/>
          <w:szCs w:val="22"/>
        </w:rPr>
      </w:pPr>
    </w:p>
    <w:p w:rsidR="00A2578F" w:rsidRPr="00A2578F" w:rsidRDefault="00A2578F" w:rsidP="00A2578F">
      <w:pPr>
        <w:tabs>
          <w:tab w:val="left" w:pos="567"/>
          <w:tab w:val="left" w:pos="993"/>
        </w:tabs>
        <w:spacing w:line="240" w:lineRule="auto"/>
        <w:rPr>
          <w:rFonts w:cs="Arial"/>
          <w:color w:val="000000" w:themeColor="text1"/>
          <w:szCs w:val="22"/>
        </w:rPr>
      </w:pPr>
    </w:p>
    <w:p w:rsidR="00A2578F" w:rsidRPr="00A2578F" w:rsidRDefault="00552CA0" w:rsidP="00A2578F">
      <w:pPr>
        <w:tabs>
          <w:tab w:val="left" w:pos="567"/>
          <w:tab w:val="left" w:pos="993"/>
        </w:tabs>
        <w:spacing w:line="240" w:lineRule="auto"/>
        <w:jc w:val="center"/>
        <w:rPr>
          <w:rFonts w:cs="Arial"/>
          <w:color w:val="000000" w:themeColor="text1"/>
          <w:szCs w:val="22"/>
        </w:rPr>
      </w:pPr>
      <w:r>
        <w:rPr>
          <w:rFonts w:cs="Arial"/>
          <w:color w:val="000000" w:themeColor="text1"/>
          <w:szCs w:val="22"/>
        </w:rPr>
        <w:t>3</w:t>
      </w:r>
      <w:r w:rsidR="00A2578F" w:rsidRPr="00A2578F">
        <w:rPr>
          <w:rFonts w:cs="Arial"/>
          <w:color w:val="000000" w:themeColor="text1"/>
          <w:szCs w:val="22"/>
        </w:rPr>
        <w:t>. člen</w:t>
      </w:r>
    </w:p>
    <w:p w:rsidR="00A2578F" w:rsidRPr="00A2578F" w:rsidRDefault="00A2578F" w:rsidP="00A2578F">
      <w:pPr>
        <w:tabs>
          <w:tab w:val="left" w:pos="567"/>
          <w:tab w:val="left" w:pos="993"/>
        </w:tabs>
        <w:spacing w:line="240" w:lineRule="auto"/>
        <w:rPr>
          <w:rFonts w:cs="Arial"/>
          <w:color w:val="000000" w:themeColor="text1"/>
          <w:szCs w:val="22"/>
        </w:rPr>
      </w:pPr>
    </w:p>
    <w:p w:rsidR="00A2578F" w:rsidRPr="00A2578F" w:rsidRDefault="00A2578F" w:rsidP="00A2578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A2578F">
        <w:rPr>
          <w:rFonts w:cs="Arial"/>
          <w:color w:val="000000" w:themeColor="text1"/>
          <w:szCs w:val="22"/>
        </w:rPr>
        <w:t>Drugi odstavek 49. člena se spremeni tako, da se glasi:</w:t>
      </w:r>
    </w:p>
    <w:p w:rsidR="00A2578F" w:rsidRPr="00A2578F" w:rsidRDefault="00A2578F" w:rsidP="00A2578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A2578F">
        <w:rPr>
          <w:rFonts w:cs="Arial"/>
          <w:color w:val="000000" w:themeColor="text1"/>
          <w:szCs w:val="22"/>
        </w:rPr>
        <w:t>»(2) Prihodki in odhodki se pri prehodih med različnimi načini ugotavljanja davčne osnove v skladu s tem zakonom upoštevajo na način, da ne pride do njihovega neupoštevanja ali dvakratnega upoštevanja.«.</w:t>
      </w:r>
    </w:p>
    <w:p w:rsidR="00A2578F" w:rsidRPr="00A2578F" w:rsidRDefault="00A2578F" w:rsidP="00A2578F">
      <w:pPr>
        <w:tabs>
          <w:tab w:val="left" w:pos="567"/>
          <w:tab w:val="left" w:pos="993"/>
        </w:tabs>
        <w:spacing w:line="240" w:lineRule="auto"/>
        <w:rPr>
          <w:rFonts w:cs="Arial"/>
          <w:color w:val="000000" w:themeColor="text1"/>
          <w:szCs w:val="22"/>
        </w:rPr>
      </w:pPr>
    </w:p>
    <w:p w:rsidR="00A2578F" w:rsidRPr="00A2578F" w:rsidRDefault="00A2578F" w:rsidP="00A2578F">
      <w:pPr>
        <w:tabs>
          <w:tab w:val="left" w:pos="567"/>
          <w:tab w:val="left" w:pos="993"/>
        </w:tabs>
        <w:spacing w:line="240" w:lineRule="auto"/>
        <w:rPr>
          <w:rFonts w:cs="Arial"/>
          <w:color w:val="000000" w:themeColor="text1"/>
          <w:szCs w:val="22"/>
        </w:rPr>
      </w:pPr>
    </w:p>
    <w:p w:rsidR="00A2578F" w:rsidRPr="00A2578F" w:rsidRDefault="00552CA0" w:rsidP="00A2578F">
      <w:pPr>
        <w:tabs>
          <w:tab w:val="left" w:pos="567"/>
          <w:tab w:val="left" w:pos="993"/>
        </w:tabs>
        <w:spacing w:line="240" w:lineRule="auto"/>
        <w:jc w:val="center"/>
        <w:rPr>
          <w:rFonts w:cs="Arial"/>
          <w:color w:val="000000" w:themeColor="text1"/>
          <w:szCs w:val="22"/>
        </w:rPr>
      </w:pPr>
      <w:r>
        <w:rPr>
          <w:rFonts w:cs="Arial"/>
          <w:color w:val="000000" w:themeColor="text1"/>
          <w:szCs w:val="22"/>
        </w:rPr>
        <w:t>4</w:t>
      </w:r>
      <w:r w:rsidR="00A2578F" w:rsidRPr="00A2578F">
        <w:rPr>
          <w:rFonts w:cs="Arial"/>
          <w:color w:val="000000" w:themeColor="text1"/>
          <w:szCs w:val="22"/>
        </w:rPr>
        <w:t>. člen</w:t>
      </w:r>
    </w:p>
    <w:p w:rsidR="00A2578F" w:rsidRPr="00A2578F" w:rsidRDefault="00A2578F" w:rsidP="00A2578F">
      <w:pPr>
        <w:tabs>
          <w:tab w:val="left" w:pos="567"/>
          <w:tab w:val="left" w:pos="993"/>
        </w:tabs>
        <w:spacing w:line="240" w:lineRule="auto"/>
        <w:rPr>
          <w:rFonts w:cs="Arial"/>
          <w:color w:val="000000" w:themeColor="text1"/>
          <w:szCs w:val="22"/>
        </w:rPr>
      </w:pPr>
    </w:p>
    <w:p w:rsidR="00A2578F" w:rsidRPr="00A2578F" w:rsidRDefault="00A2578F" w:rsidP="00A2578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A2578F">
        <w:rPr>
          <w:rFonts w:cs="Arial"/>
          <w:color w:val="000000" w:themeColor="text1"/>
          <w:szCs w:val="22"/>
        </w:rPr>
        <w:t>Za tretjim odstavkom 96. člena doda nov četrti odstavek, ki se glasi:</w:t>
      </w:r>
    </w:p>
    <w:p w:rsidR="00A2578F" w:rsidRPr="00A2578F" w:rsidRDefault="00A2578F" w:rsidP="00A2578F">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Pr="00A2578F">
        <w:rPr>
          <w:rFonts w:cs="Arial"/>
          <w:color w:val="000000" w:themeColor="text1"/>
          <w:szCs w:val="22"/>
        </w:rPr>
        <w:t>»(4) V čas prijavljenega stalnega prebivališča iz 2. točke drugega odstavka tega člena se pri državljanu države članice EU oziroma EGP, ki ni Slovenija, šteje tudi čas prijavljenega začasnega prebivališča v stanovanju ali stanovanjski hiši.«.</w:t>
      </w:r>
    </w:p>
    <w:p w:rsidR="00A2578F" w:rsidRPr="00A2578F" w:rsidRDefault="00A2578F" w:rsidP="00A2578F">
      <w:pPr>
        <w:tabs>
          <w:tab w:val="left" w:pos="567"/>
          <w:tab w:val="left" w:pos="993"/>
        </w:tabs>
        <w:spacing w:line="240" w:lineRule="auto"/>
        <w:rPr>
          <w:rFonts w:cs="Arial"/>
          <w:color w:val="000000" w:themeColor="text1"/>
          <w:szCs w:val="22"/>
        </w:rPr>
      </w:pPr>
    </w:p>
    <w:p w:rsidR="00A2578F" w:rsidRPr="00A2578F" w:rsidRDefault="00A2578F" w:rsidP="00A2578F">
      <w:pPr>
        <w:tabs>
          <w:tab w:val="left" w:pos="567"/>
          <w:tab w:val="left" w:pos="993"/>
        </w:tabs>
        <w:spacing w:line="240" w:lineRule="auto"/>
        <w:rPr>
          <w:rFonts w:cs="Arial"/>
          <w:color w:val="000000" w:themeColor="text1"/>
          <w:szCs w:val="22"/>
        </w:rPr>
      </w:pPr>
    </w:p>
    <w:p w:rsidR="00A2578F" w:rsidRPr="00A2578F" w:rsidRDefault="00552CA0" w:rsidP="00A2578F">
      <w:pPr>
        <w:tabs>
          <w:tab w:val="left" w:pos="567"/>
          <w:tab w:val="left" w:pos="993"/>
        </w:tabs>
        <w:spacing w:line="240" w:lineRule="auto"/>
        <w:jc w:val="center"/>
        <w:rPr>
          <w:rFonts w:cs="Arial"/>
          <w:color w:val="000000" w:themeColor="text1"/>
          <w:szCs w:val="22"/>
        </w:rPr>
      </w:pPr>
      <w:r>
        <w:rPr>
          <w:rFonts w:cs="Arial"/>
          <w:color w:val="000000" w:themeColor="text1"/>
          <w:szCs w:val="22"/>
        </w:rPr>
        <w:t>5</w:t>
      </w:r>
      <w:r w:rsidR="00A2578F" w:rsidRPr="00A2578F">
        <w:rPr>
          <w:rFonts w:cs="Arial"/>
          <w:color w:val="000000" w:themeColor="text1"/>
          <w:szCs w:val="22"/>
        </w:rPr>
        <w:t>. člen</w:t>
      </w:r>
    </w:p>
    <w:p w:rsidR="00A2578F" w:rsidRPr="00A2578F" w:rsidRDefault="00A2578F" w:rsidP="00A2578F">
      <w:pPr>
        <w:tabs>
          <w:tab w:val="left" w:pos="567"/>
          <w:tab w:val="left" w:pos="993"/>
        </w:tabs>
        <w:spacing w:line="240" w:lineRule="auto"/>
        <w:rPr>
          <w:rFonts w:cs="Arial"/>
          <w:color w:val="000000" w:themeColor="text1"/>
          <w:szCs w:val="22"/>
        </w:rPr>
      </w:pPr>
    </w:p>
    <w:p w:rsidR="00A2578F" w:rsidRPr="00A2578F" w:rsidRDefault="00A2578F" w:rsidP="00A2578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A2578F">
        <w:rPr>
          <w:rFonts w:cs="Arial"/>
          <w:color w:val="000000" w:themeColor="text1"/>
          <w:szCs w:val="22"/>
        </w:rPr>
        <w:t>V 116. členu se</w:t>
      </w:r>
      <w:r w:rsidR="00552CA0">
        <w:rPr>
          <w:rFonts w:cs="Arial"/>
          <w:color w:val="000000" w:themeColor="text1"/>
          <w:szCs w:val="22"/>
        </w:rPr>
        <w:t xml:space="preserve"> </w:t>
      </w:r>
      <w:r w:rsidRPr="00A2578F">
        <w:rPr>
          <w:rFonts w:cs="Arial"/>
          <w:color w:val="000000" w:themeColor="text1"/>
          <w:szCs w:val="22"/>
        </w:rPr>
        <w:t>besedilo »prvem, drugem in četrtem odstavku«</w:t>
      </w:r>
      <w:r w:rsidR="00B525E1">
        <w:rPr>
          <w:rFonts w:cs="Arial"/>
          <w:color w:val="000000" w:themeColor="text1"/>
          <w:szCs w:val="22"/>
        </w:rPr>
        <w:t xml:space="preserve"> črta</w:t>
      </w:r>
      <w:r w:rsidRPr="00A2578F">
        <w:rPr>
          <w:rFonts w:cs="Arial"/>
          <w:color w:val="000000" w:themeColor="text1"/>
          <w:szCs w:val="22"/>
        </w:rPr>
        <w:t>.</w:t>
      </w:r>
    </w:p>
    <w:p w:rsidR="00A2578F" w:rsidRPr="00A2578F" w:rsidRDefault="00A2578F" w:rsidP="00A2578F">
      <w:pPr>
        <w:tabs>
          <w:tab w:val="left" w:pos="567"/>
          <w:tab w:val="left" w:pos="993"/>
        </w:tabs>
        <w:spacing w:line="240" w:lineRule="auto"/>
        <w:rPr>
          <w:rFonts w:cs="Arial"/>
          <w:color w:val="000000" w:themeColor="text1"/>
          <w:szCs w:val="22"/>
        </w:rPr>
      </w:pPr>
    </w:p>
    <w:p w:rsidR="00A2578F" w:rsidRPr="00A2578F" w:rsidRDefault="00A2578F" w:rsidP="00A2578F">
      <w:pPr>
        <w:tabs>
          <w:tab w:val="left" w:pos="567"/>
          <w:tab w:val="left" w:pos="993"/>
        </w:tabs>
        <w:spacing w:line="240" w:lineRule="auto"/>
        <w:rPr>
          <w:rFonts w:cs="Arial"/>
          <w:color w:val="000000" w:themeColor="text1"/>
          <w:szCs w:val="22"/>
        </w:rPr>
      </w:pPr>
    </w:p>
    <w:p w:rsidR="00A2578F" w:rsidRPr="00A2578F" w:rsidRDefault="00A2578F" w:rsidP="00A2578F">
      <w:pPr>
        <w:tabs>
          <w:tab w:val="left" w:pos="567"/>
          <w:tab w:val="left" w:pos="993"/>
        </w:tabs>
        <w:spacing w:line="240" w:lineRule="auto"/>
        <w:jc w:val="center"/>
        <w:rPr>
          <w:rFonts w:cs="Arial"/>
          <w:color w:val="000000" w:themeColor="text1"/>
          <w:szCs w:val="22"/>
        </w:rPr>
      </w:pPr>
      <w:r w:rsidRPr="00A2578F">
        <w:rPr>
          <w:rFonts w:cs="Arial"/>
          <w:color w:val="000000" w:themeColor="text1"/>
          <w:szCs w:val="22"/>
        </w:rPr>
        <w:t>PREHODN</w:t>
      </w:r>
      <w:r w:rsidR="00552CA0">
        <w:rPr>
          <w:rFonts w:cs="Arial"/>
          <w:color w:val="000000" w:themeColor="text1"/>
          <w:szCs w:val="22"/>
        </w:rPr>
        <w:t>E</w:t>
      </w:r>
      <w:r w:rsidRPr="00A2578F">
        <w:rPr>
          <w:rFonts w:cs="Arial"/>
          <w:color w:val="000000" w:themeColor="text1"/>
          <w:szCs w:val="22"/>
        </w:rPr>
        <w:t xml:space="preserve"> IN KONČN</w:t>
      </w:r>
      <w:r w:rsidR="00552CA0">
        <w:rPr>
          <w:rFonts w:cs="Arial"/>
          <w:color w:val="000000" w:themeColor="text1"/>
          <w:szCs w:val="22"/>
        </w:rPr>
        <w:t>E</w:t>
      </w:r>
      <w:r w:rsidRPr="00A2578F">
        <w:rPr>
          <w:rFonts w:cs="Arial"/>
          <w:color w:val="000000" w:themeColor="text1"/>
          <w:szCs w:val="22"/>
        </w:rPr>
        <w:t xml:space="preserve"> DOLOČB</w:t>
      </w:r>
      <w:r w:rsidR="00552CA0">
        <w:rPr>
          <w:rFonts w:cs="Arial"/>
          <w:color w:val="000000" w:themeColor="text1"/>
          <w:szCs w:val="22"/>
        </w:rPr>
        <w:t>E</w:t>
      </w:r>
    </w:p>
    <w:p w:rsidR="00A2578F" w:rsidRPr="00A2578F" w:rsidRDefault="00A2578F" w:rsidP="00A2578F">
      <w:pPr>
        <w:tabs>
          <w:tab w:val="left" w:pos="567"/>
          <w:tab w:val="left" w:pos="993"/>
        </w:tabs>
        <w:spacing w:line="240" w:lineRule="auto"/>
        <w:jc w:val="center"/>
        <w:rPr>
          <w:rFonts w:cs="Arial"/>
          <w:color w:val="000000" w:themeColor="text1"/>
          <w:szCs w:val="22"/>
        </w:rPr>
      </w:pPr>
    </w:p>
    <w:p w:rsidR="00A2578F" w:rsidRPr="00A2578F" w:rsidRDefault="00552CA0" w:rsidP="00A2578F">
      <w:pPr>
        <w:tabs>
          <w:tab w:val="left" w:pos="567"/>
          <w:tab w:val="left" w:pos="993"/>
        </w:tabs>
        <w:spacing w:line="240" w:lineRule="auto"/>
        <w:jc w:val="center"/>
        <w:rPr>
          <w:rFonts w:cs="Arial"/>
          <w:color w:val="000000" w:themeColor="text1"/>
          <w:szCs w:val="22"/>
        </w:rPr>
      </w:pPr>
      <w:r>
        <w:rPr>
          <w:rFonts w:cs="Arial"/>
          <w:color w:val="000000" w:themeColor="text1"/>
          <w:szCs w:val="22"/>
        </w:rPr>
        <w:t>6</w:t>
      </w:r>
      <w:r w:rsidR="00A2578F" w:rsidRPr="00A2578F">
        <w:rPr>
          <w:rFonts w:cs="Arial"/>
          <w:color w:val="000000" w:themeColor="text1"/>
          <w:szCs w:val="22"/>
        </w:rPr>
        <w:t>. člen</w:t>
      </w:r>
    </w:p>
    <w:p w:rsidR="00A2578F" w:rsidRPr="00A2578F" w:rsidRDefault="00A2578F" w:rsidP="00A2578F">
      <w:pPr>
        <w:tabs>
          <w:tab w:val="left" w:pos="567"/>
          <w:tab w:val="left" w:pos="993"/>
        </w:tabs>
        <w:spacing w:line="240" w:lineRule="auto"/>
        <w:rPr>
          <w:rFonts w:cs="Arial"/>
          <w:color w:val="000000" w:themeColor="text1"/>
          <w:szCs w:val="22"/>
        </w:rPr>
      </w:pPr>
    </w:p>
    <w:p w:rsidR="00A2578F" w:rsidRPr="00A2578F" w:rsidRDefault="00A2578F" w:rsidP="00A2578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A2578F">
        <w:rPr>
          <w:rFonts w:cs="Arial"/>
          <w:color w:val="000000" w:themeColor="text1"/>
          <w:szCs w:val="22"/>
        </w:rPr>
        <w:t>(1) Ne glede na spremenjeni 26. člen zakona se za oprostitev dohodnine za dohodke, izplačane za ukrepe kmetijske politike, kot jih določa Uredba Sveta št. 1698/2005 z dne 20. septembra 2005 o podpori za razvoj podeželja iz Evropskega kmetijskega sklada za razvoj podeželja (</w:t>
      </w:r>
      <w:proofErr w:type="spellStart"/>
      <w:r w:rsidRPr="00A2578F">
        <w:rPr>
          <w:rFonts w:cs="Arial"/>
          <w:color w:val="000000" w:themeColor="text1"/>
          <w:szCs w:val="22"/>
        </w:rPr>
        <w:t>EKSRP</w:t>
      </w:r>
      <w:proofErr w:type="spellEnd"/>
      <w:r w:rsidRPr="00A2578F">
        <w:rPr>
          <w:rFonts w:cs="Arial"/>
          <w:color w:val="000000" w:themeColor="text1"/>
          <w:szCs w:val="22"/>
        </w:rPr>
        <w:t>) (UL L št. 277 z dne 21. 10. 2005, str.</w:t>
      </w:r>
      <w:r>
        <w:rPr>
          <w:rFonts w:cs="Arial"/>
          <w:color w:val="000000" w:themeColor="text1"/>
          <w:szCs w:val="22"/>
        </w:rPr>
        <w:t> </w:t>
      </w:r>
      <w:r w:rsidRPr="00A2578F">
        <w:rPr>
          <w:rFonts w:cs="Arial"/>
          <w:color w:val="000000" w:themeColor="text1"/>
          <w:szCs w:val="22"/>
        </w:rPr>
        <w:t>1) upošteva 2. točka 26. člena Zakona o dohodnini (Uradni list RS, 13/11 – uradno prečiščeno besedilo,</w:t>
      </w:r>
      <w:r w:rsidR="00552CA0">
        <w:rPr>
          <w:rFonts w:cs="Arial"/>
          <w:color w:val="000000" w:themeColor="text1"/>
          <w:szCs w:val="22"/>
        </w:rPr>
        <w:t xml:space="preserve"> </w:t>
      </w:r>
      <w:r w:rsidRPr="00A2578F">
        <w:rPr>
          <w:rFonts w:cs="Arial"/>
          <w:color w:val="000000" w:themeColor="text1"/>
          <w:szCs w:val="22"/>
        </w:rPr>
        <w:t xml:space="preserve">24/12, 30/12, 40/12 – </w:t>
      </w:r>
      <w:proofErr w:type="spellStart"/>
      <w:r w:rsidRPr="00A2578F">
        <w:rPr>
          <w:rFonts w:cs="Arial"/>
          <w:color w:val="000000" w:themeColor="text1"/>
          <w:szCs w:val="22"/>
        </w:rPr>
        <w:t>ZUJF</w:t>
      </w:r>
      <w:proofErr w:type="spellEnd"/>
      <w:r w:rsidRPr="00A2578F">
        <w:rPr>
          <w:rFonts w:cs="Arial"/>
          <w:color w:val="000000" w:themeColor="text1"/>
          <w:szCs w:val="22"/>
        </w:rPr>
        <w:t>, 75/12, 94/12,</w:t>
      </w:r>
      <w:r w:rsidR="00552CA0">
        <w:rPr>
          <w:rFonts w:cs="Arial"/>
          <w:color w:val="000000" w:themeColor="text1"/>
          <w:szCs w:val="22"/>
        </w:rPr>
        <w:t xml:space="preserve"> </w:t>
      </w:r>
      <w:r w:rsidRPr="00A2578F">
        <w:rPr>
          <w:rFonts w:cs="Arial"/>
          <w:color w:val="000000" w:themeColor="text1"/>
          <w:szCs w:val="22"/>
        </w:rPr>
        <w:t xml:space="preserve">96/13, 29/14 – </w:t>
      </w:r>
      <w:proofErr w:type="spellStart"/>
      <w:r w:rsidRPr="00A2578F">
        <w:rPr>
          <w:rFonts w:cs="Arial"/>
          <w:color w:val="000000" w:themeColor="text1"/>
          <w:szCs w:val="22"/>
        </w:rPr>
        <w:t>odl</w:t>
      </w:r>
      <w:proofErr w:type="spellEnd"/>
      <w:r w:rsidRPr="00A2578F">
        <w:rPr>
          <w:rFonts w:cs="Arial"/>
          <w:color w:val="000000" w:themeColor="text1"/>
          <w:szCs w:val="22"/>
        </w:rPr>
        <w:t>. US, 50/14 in 23/15; v nadaljnjem besedilu: ZDoh-2).</w:t>
      </w:r>
    </w:p>
    <w:p w:rsidR="00A2578F" w:rsidRPr="00A2578F" w:rsidRDefault="00A2578F" w:rsidP="00A2578F">
      <w:pPr>
        <w:tabs>
          <w:tab w:val="left" w:pos="567"/>
          <w:tab w:val="left" w:pos="993"/>
        </w:tabs>
        <w:spacing w:line="240" w:lineRule="auto"/>
        <w:rPr>
          <w:rFonts w:cs="Arial"/>
          <w:color w:val="000000" w:themeColor="text1"/>
          <w:szCs w:val="22"/>
        </w:rPr>
      </w:pPr>
    </w:p>
    <w:p w:rsidR="00A2578F" w:rsidRPr="00A2578F" w:rsidRDefault="00A2578F" w:rsidP="00A2578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A2578F">
        <w:rPr>
          <w:rFonts w:cs="Arial"/>
          <w:color w:val="000000" w:themeColor="text1"/>
          <w:szCs w:val="22"/>
        </w:rPr>
        <w:t>(2) Ne glede na spremenjeno 3. točko 26. člena zakona in spremenjeni 47. člen zakona se za leto 2015 uporablja 3. točka 26. člena ZDoh-2 in 47. člen ZDoh-2.</w:t>
      </w:r>
    </w:p>
    <w:p w:rsidR="00A2578F" w:rsidRPr="00A2578F" w:rsidRDefault="00A2578F" w:rsidP="00A2578F">
      <w:pPr>
        <w:tabs>
          <w:tab w:val="left" w:pos="567"/>
          <w:tab w:val="left" w:pos="993"/>
        </w:tabs>
        <w:spacing w:line="240" w:lineRule="auto"/>
        <w:rPr>
          <w:rFonts w:cs="Arial"/>
          <w:color w:val="000000" w:themeColor="text1"/>
          <w:szCs w:val="22"/>
        </w:rPr>
      </w:pPr>
    </w:p>
    <w:p w:rsidR="00A2578F" w:rsidRDefault="00A2578F" w:rsidP="00A2578F">
      <w:pPr>
        <w:tabs>
          <w:tab w:val="left" w:pos="567"/>
          <w:tab w:val="left" w:pos="993"/>
        </w:tabs>
        <w:spacing w:line="240" w:lineRule="auto"/>
        <w:rPr>
          <w:rFonts w:cs="Arial"/>
          <w:color w:val="000000" w:themeColor="text1"/>
          <w:szCs w:val="22"/>
        </w:rPr>
      </w:pPr>
    </w:p>
    <w:p w:rsidR="00A2578F" w:rsidRPr="00A2578F" w:rsidRDefault="00552CA0" w:rsidP="00A2578F">
      <w:pPr>
        <w:tabs>
          <w:tab w:val="left" w:pos="567"/>
          <w:tab w:val="left" w:pos="993"/>
        </w:tabs>
        <w:spacing w:line="240" w:lineRule="auto"/>
        <w:jc w:val="center"/>
        <w:rPr>
          <w:rFonts w:cs="Arial"/>
          <w:color w:val="000000" w:themeColor="text1"/>
          <w:szCs w:val="22"/>
        </w:rPr>
      </w:pPr>
      <w:r>
        <w:rPr>
          <w:rFonts w:cs="Arial"/>
          <w:color w:val="000000" w:themeColor="text1"/>
          <w:szCs w:val="22"/>
        </w:rPr>
        <w:t>7</w:t>
      </w:r>
      <w:r w:rsidR="00A2578F" w:rsidRPr="00A2578F">
        <w:rPr>
          <w:rFonts w:cs="Arial"/>
          <w:color w:val="000000" w:themeColor="text1"/>
          <w:szCs w:val="22"/>
        </w:rPr>
        <w:t>. člen</w:t>
      </w:r>
    </w:p>
    <w:p w:rsidR="00A2578F" w:rsidRPr="00A2578F" w:rsidRDefault="00A2578F" w:rsidP="00A2578F">
      <w:pPr>
        <w:tabs>
          <w:tab w:val="left" w:pos="567"/>
          <w:tab w:val="left" w:pos="993"/>
        </w:tabs>
        <w:spacing w:line="240" w:lineRule="auto"/>
        <w:rPr>
          <w:rFonts w:cs="Arial"/>
          <w:color w:val="000000" w:themeColor="text1"/>
          <w:szCs w:val="22"/>
        </w:rPr>
      </w:pPr>
    </w:p>
    <w:p w:rsidR="00A2578F" w:rsidRPr="00A2578F" w:rsidRDefault="00A2578F" w:rsidP="00A2578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A2578F">
        <w:rPr>
          <w:rFonts w:cs="Arial"/>
          <w:color w:val="000000" w:themeColor="text1"/>
          <w:szCs w:val="22"/>
        </w:rPr>
        <w:t xml:space="preserve">Ne glede na 3. točko drugega odstavka spremenjenega 47. člena zakona se lahko zavezanci, ki se v skladu z drugim odstavkom 47. člena ZDoh-2 za davčni leti 2014 in 2015 niso prostovoljno odločili za ugotavljanje davčne osnove na podlagi dejanskih prihodkov in odhodkov ali na podlagi dejanskih prihodkov in normiranih odhodkov, za davčno leto 2016 odločijo za obdavčitev v skladu s </w:t>
      </w:r>
      <w:proofErr w:type="spellStart"/>
      <w:r w:rsidRPr="00A2578F">
        <w:rPr>
          <w:rFonts w:cs="Arial"/>
          <w:color w:val="000000" w:themeColor="text1"/>
          <w:szCs w:val="22"/>
        </w:rPr>
        <w:t>III.4</w:t>
      </w:r>
      <w:proofErr w:type="spellEnd"/>
      <w:r w:rsidRPr="00A2578F">
        <w:rPr>
          <w:rFonts w:cs="Arial"/>
          <w:color w:val="000000" w:themeColor="text1"/>
          <w:szCs w:val="22"/>
        </w:rPr>
        <w:t xml:space="preserve"> poglavjem zakona.</w:t>
      </w:r>
    </w:p>
    <w:p w:rsidR="00A2578F" w:rsidRDefault="00A2578F" w:rsidP="00A2578F">
      <w:pPr>
        <w:tabs>
          <w:tab w:val="left" w:pos="567"/>
          <w:tab w:val="left" w:pos="993"/>
        </w:tabs>
        <w:spacing w:line="240" w:lineRule="auto"/>
        <w:rPr>
          <w:rFonts w:cs="Arial"/>
          <w:color w:val="000000" w:themeColor="text1"/>
          <w:szCs w:val="22"/>
        </w:rPr>
      </w:pPr>
    </w:p>
    <w:p w:rsidR="00A2578F" w:rsidRPr="00A2578F" w:rsidRDefault="00A2578F" w:rsidP="00A2578F">
      <w:pPr>
        <w:tabs>
          <w:tab w:val="left" w:pos="567"/>
          <w:tab w:val="left" w:pos="993"/>
        </w:tabs>
        <w:spacing w:line="240" w:lineRule="auto"/>
        <w:rPr>
          <w:rFonts w:cs="Arial"/>
          <w:color w:val="000000" w:themeColor="text1"/>
          <w:szCs w:val="22"/>
        </w:rPr>
      </w:pPr>
    </w:p>
    <w:p w:rsidR="00A2578F" w:rsidRPr="00A2578F" w:rsidRDefault="00552CA0" w:rsidP="00A2578F">
      <w:pPr>
        <w:tabs>
          <w:tab w:val="left" w:pos="567"/>
          <w:tab w:val="left" w:pos="993"/>
        </w:tabs>
        <w:spacing w:line="240" w:lineRule="auto"/>
        <w:jc w:val="center"/>
        <w:rPr>
          <w:rFonts w:cs="Arial"/>
          <w:color w:val="000000" w:themeColor="text1"/>
          <w:szCs w:val="22"/>
        </w:rPr>
      </w:pPr>
      <w:r>
        <w:rPr>
          <w:rFonts w:cs="Arial"/>
          <w:color w:val="000000" w:themeColor="text1"/>
          <w:szCs w:val="22"/>
        </w:rPr>
        <w:t>8</w:t>
      </w:r>
      <w:r w:rsidR="00A2578F" w:rsidRPr="00A2578F">
        <w:rPr>
          <w:rFonts w:cs="Arial"/>
          <w:color w:val="000000" w:themeColor="text1"/>
          <w:szCs w:val="22"/>
        </w:rPr>
        <w:t>. člen</w:t>
      </w:r>
    </w:p>
    <w:p w:rsidR="00A2578F" w:rsidRPr="00A2578F" w:rsidRDefault="00A2578F" w:rsidP="00A2578F">
      <w:pPr>
        <w:tabs>
          <w:tab w:val="left" w:pos="567"/>
          <w:tab w:val="left" w:pos="993"/>
        </w:tabs>
        <w:spacing w:line="240" w:lineRule="auto"/>
        <w:rPr>
          <w:rFonts w:cs="Arial"/>
          <w:color w:val="000000" w:themeColor="text1"/>
          <w:szCs w:val="22"/>
        </w:rPr>
      </w:pPr>
    </w:p>
    <w:p w:rsidR="00FD0795" w:rsidRDefault="00A2578F" w:rsidP="00A2578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A2578F">
        <w:rPr>
          <w:rFonts w:cs="Arial"/>
          <w:color w:val="000000" w:themeColor="text1"/>
          <w:szCs w:val="22"/>
        </w:rPr>
        <w:t>Ta zakon začne veljati naslednji dan po objavi v Uradnem listu Republike Slovenije, določb</w:t>
      </w:r>
      <w:r w:rsidR="00552CA0">
        <w:rPr>
          <w:rFonts w:cs="Arial"/>
          <w:color w:val="000000" w:themeColor="text1"/>
          <w:szCs w:val="22"/>
        </w:rPr>
        <w:t>e</w:t>
      </w:r>
      <w:r w:rsidRPr="00A2578F">
        <w:rPr>
          <w:rFonts w:cs="Arial"/>
          <w:color w:val="000000" w:themeColor="text1"/>
          <w:szCs w:val="22"/>
        </w:rPr>
        <w:t xml:space="preserve"> spremenjenega 26. in 116. člena zakona pa se uporablja</w:t>
      </w:r>
      <w:r w:rsidR="00552CA0">
        <w:rPr>
          <w:rFonts w:cs="Arial"/>
          <w:color w:val="000000" w:themeColor="text1"/>
          <w:szCs w:val="22"/>
        </w:rPr>
        <w:t>jo</w:t>
      </w:r>
      <w:r w:rsidRPr="00A2578F">
        <w:rPr>
          <w:rFonts w:cs="Arial"/>
          <w:color w:val="000000" w:themeColor="text1"/>
          <w:szCs w:val="22"/>
        </w:rPr>
        <w:t xml:space="preserve"> že pri odmeri dohodnine za leto 2015, razen za dohodke iz </w:t>
      </w:r>
      <w:r w:rsidR="00552CA0">
        <w:rPr>
          <w:rFonts w:cs="Arial"/>
          <w:color w:val="000000" w:themeColor="text1"/>
          <w:szCs w:val="22"/>
        </w:rPr>
        <w:t>6</w:t>
      </w:r>
      <w:r w:rsidRPr="00A2578F">
        <w:rPr>
          <w:rFonts w:cs="Arial"/>
          <w:color w:val="000000" w:themeColor="text1"/>
          <w:szCs w:val="22"/>
        </w:rPr>
        <w:t>. člena tega zakona.</w:t>
      </w:r>
    </w:p>
    <w:p w:rsidR="00A51455" w:rsidRDefault="00A51455" w:rsidP="00A2578F">
      <w:pPr>
        <w:tabs>
          <w:tab w:val="left" w:pos="567"/>
          <w:tab w:val="left" w:pos="993"/>
        </w:tabs>
        <w:spacing w:line="240" w:lineRule="auto"/>
        <w:rPr>
          <w:rFonts w:cs="Arial"/>
          <w:color w:val="000000" w:themeColor="text1"/>
          <w:szCs w:val="22"/>
        </w:rPr>
      </w:pPr>
    </w:p>
    <w:p w:rsidR="00A51455" w:rsidRDefault="00A51455" w:rsidP="00A2578F">
      <w:pPr>
        <w:tabs>
          <w:tab w:val="left" w:pos="567"/>
          <w:tab w:val="left" w:pos="993"/>
        </w:tabs>
        <w:spacing w:line="240" w:lineRule="auto"/>
        <w:rPr>
          <w:rFonts w:cs="Arial"/>
          <w:color w:val="000000" w:themeColor="text1"/>
          <w:szCs w:val="22"/>
        </w:rPr>
      </w:pPr>
    </w:p>
    <w:p w:rsidR="00A51455" w:rsidRDefault="00A51455" w:rsidP="00A2578F">
      <w:pPr>
        <w:tabs>
          <w:tab w:val="left" w:pos="567"/>
          <w:tab w:val="left" w:pos="993"/>
        </w:tabs>
        <w:spacing w:line="240" w:lineRule="auto"/>
        <w:rPr>
          <w:rFonts w:cs="Arial"/>
          <w:color w:val="000000" w:themeColor="text1"/>
          <w:szCs w:val="22"/>
        </w:rPr>
      </w:pPr>
    </w:p>
    <w:p w:rsidR="00A51455" w:rsidRDefault="00A51455" w:rsidP="00A51455">
      <w:pPr>
        <w:tabs>
          <w:tab w:val="left" w:pos="567"/>
          <w:tab w:val="left" w:pos="993"/>
        </w:tabs>
        <w:spacing w:line="240" w:lineRule="auto"/>
        <w:rPr>
          <w:rFonts w:cs="Arial"/>
          <w:szCs w:val="22"/>
        </w:rPr>
      </w:pPr>
      <w:r>
        <w:rPr>
          <w:rFonts w:cs="Arial"/>
          <w:szCs w:val="22"/>
        </w:rPr>
        <w:t>Š</w:t>
      </w:r>
      <w:r w:rsidRPr="00A2578F">
        <w:rPr>
          <w:rFonts w:cs="Arial"/>
          <w:szCs w:val="22"/>
        </w:rPr>
        <w:t>tevilka:</w:t>
      </w:r>
      <w:r>
        <w:rPr>
          <w:rFonts w:cs="Arial"/>
          <w:szCs w:val="22"/>
        </w:rPr>
        <w:t xml:space="preserve"> </w:t>
      </w:r>
      <w:r w:rsidRPr="00A2578F">
        <w:rPr>
          <w:rFonts w:cs="Arial"/>
          <w:szCs w:val="22"/>
        </w:rPr>
        <w:t>435-01/15-11/</w:t>
      </w:r>
    </w:p>
    <w:p w:rsidR="00A51455" w:rsidRDefault="00A51455" w:rsidP="00A51455">
      <w:pPr>
        <w:tabs>
          <w:tab w:val="left" w:pos="567"/>
          <w:tab w:val="left" w:pos="993"/>
        </w:tabs>
        <w:spacing w:line="240" w:lineRule="auto"/>
        <w:rPr>
          <w:rFonts w:cs="Arial"/>
          <w:szCs w:val="22"/>
        </w:rPr>
      </w:pPr>
      <w:r>
        <w:rPr>
          <w:rFonts w:cs="Arial"/>
          <w:szCs w:val="22"/>
        </w:rPr>
        <w:t>Datum: 13. julij 2015</w:t>
      </w:r>
    </w:p>
    <w:p w:rsidR="00A51455" w:rsidRDefault="00A51455" w:rsidP="00A51455">
      <w:pPr>
        <w:tabs>
          <w:tab w:val="left" w:pos="567"/>
          <w:tab w:val="left" w:pos="993"/>
        </w:tabs>
        <w:spacing w:line="240" w:lineRule="auto"/>
        <w:rPr>
          <w:rFonts w:cs="Arial"/>
          <w:szCs w:val="22"/>
        </w:rPr>
      </w:pPr>
      <w:r w:rsidRPr="00A2578F">
        <w:rPr>
          <w:rFonts w:cs="Arial"/>
          <w:szCs w:val="22"/>
        </w:rPr>
        <w:t>EPA</w:t>
      </w:r>
      <w:r>
        <w:rPr>
          <w:rFonts w:cs="Arial"/>
          <w:szCs w:val="22"/>
        </w:rPr>
        <w:t xml:space="preserve"> </w:t>
      </w:r>
      <w:r w:rsidRPr="00A2578F">
        <w:rPr>
          <w:rFonts w:cs="Arial"/>
          <w:szCs w:val="22"/>
        </w:rPr>
        <w:t>574-</w:t>
      </w:r>
      <w:proofErr w:type="spellStart"/>
      <w:r w:rsidRPr="00A2578F">
        <w:rPr>
          <w:rFonts w:cs="Arial"/>
          <w:szCs w:val="22"/>
        </w:rPr>
        <w:t>VII</w:t>
      </w:r>
      <w:proofErr w:type="spellEnd"/>
    </w:p>
    <w:p w:rsidR="00A51455" w:rsidRDefault="00A51455" w:rsidP="00A2578F">
      <w:pPr>
        <w:tabs>
          <w:tab w:val="left" w:pos="567"/>
          <w:tab w:val="left" w:pos="993"/>
        </w:tabs>
        <w:spacing w:line="240" w:lineRule="auto"/>
        <w:rPr>
          <w:rFonts w:cs="Arial"/>
          <w:color w:val="000000" w:themeColor="text1"/>
          <w:szCs w:val="22"/>
        </w:rPr>
      </w:pPr>
    </w:p>
    <w:p w:rsidR="00A51455" w:rsidRPr="00ED0A8E" w:rsidRDefault="00A51455" w:rsidP="00A51455">
      <w:pPr>
        <w:tabs>
          <w:tab w:val="left" w:pos="6521"/>
        </w:tabs>
        <w:rPr>
          <w:szCs w:val="22"/>
        </w:rPr>
      </w:pPr>
      <w:r w:rsidRPr="00ED0A8E">
        <w:rPr>
          <w:szCs w:val="22"/>
        </w:rPr>
        <w:tab/>
        <w:t>Državni zbor</w:t>
      </w:r>
    </w:p>
    <w:p w:rsidR="00A51455" w:rsidRDefault="00A51455" w:rsidP="00A51455">
      <w:pPr>
        <w:tabs>
          <w:tab w:val="left" w:pos="6521"/>
        </w:tabs>
        <w:rPr>
          <w:szCs w:val="22"/>
        </w:rPr>
      </w:pPr>
      <w:r w:rsidRPr="00ED0A8E">
        <w:rPr>
          <w:szCs w:val="22"/>
        </w:rPr>
        <w:tab/>
      </w:r>
      <w:r>
        <w:rPr>
          <w:szCs w:val="22"/>
        </w:rPr>
        <w:t>dr. Milan Brglez</w:t>
      </w:r>
    </w:p>
    <w:p w:rsidR="00A51455" w:rsidRPr="00ED0A8E" w:rsidRDefault="00A51455" w:rsidP="00A51455">
      <w:pPr>
        <w:tabs>
          <w:tab w:val="left" w:pos="6521"/>
        </w:tabs>
        <w:rPr>
          <w:szCs w:val="22"/>
        </w:rPr>
      </w:pPr>
      <w:r w:rsidRPr="00ED0A8E">
        <w:rPr>
          <w:szCs w:val="22"/>
        </w:rPr>
        <w:tab/>
        <w:t>predsednik</w:t>
      </w:r>
    </w:p>
    <w:p w:rsidR="00A51455" w:rsidRDefault="00A51455" w:rsidP="00A2578F">
      <w:pPr>
        <w:tabs>
          <w:tab w:val="left" w:pos="567"/>
          <w:tab w:val="left" w:pos="993"/>
        </w:tabs>
        <w:spacing w:line="240" w:lineRule="auto"/>
        <w:rPr>
          <w:rFonts w:cs="Arial"/>
          <w:color w:val="000000" w:themeColor="text1"/>
          <w:szCs w:val="22"/>
        </w:rPr>
      </w:pPr>
    </w:p>
    <w:sectPr w:rsidR="00A51455" w:rsidSect="00FD0795">
      <w:headerReference w:type="default" r:id="rId9"/>
      <w:pgSz w:w="11907" w:h="16840" w:code="9"/>
      <w:pgMar w:top="1276" w:right="1701" w:bottom="1418" w:left="1701" w:header="595" w:footer="62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A0A89" w:rsidRDefault="00EA0A89" w:rsidP="002E5070">
      <w:r>
        <w:separator/>
      </w:r>
    </w:p>
  </w:endnote>
  <w:endnote w:type="continuationSeparator" w:id="0">
    <w:p w:rsidR="00EA0A89" w:rsidRDefault="00EA0A89"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A0A89" w:rsidRDefault="00EA0A89" w:rsidP="002E5070">
      <w:r>
        <w:separator/>
      </w:r>
    </w:p>
  </w:footnote>
  <w:footnote w:type="continuationSeparator" w:id="0">
    <w:p w:rsidR="00EA0A89" w:rsidRDefault="00EA0A89"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C78F0" w:rsidRPr="00A036D6" w:rsidRDefault="007C78F0" w:rsidP="005C11F0">
    <w:pPr>
      <w:pStyle w:val="Glava"/>
      <w:tabs>
        <w:tab w:val="clear" w:pos="4703"/>
        <w:tab w:val="clear" w:pos="9406"/>
        <w:tab w:val="center" w:pos="4253"/>
      </w:tabs>
      <w:rPr>
        <w:sz w:val="20"/>
        <w:szCs w:val="20"/>
      </w:rPr>
    </w:pPr>
    <w:r w:rsidRPr="00A036D6">
      <w:rPr>
        <w:sz w:val="20"/>
        <w:szCs w:val="20"/>
      </w:rPr>
      <w:tab/>
    </w:r>
    <w:r w:rsidRPr="00A036D6">
      <w:rPr>
        <w:rStyle w:val="tevilkastrani"/>
        <w:sz w:val="20"/>
        <w:szCs w:val="20"/>
      </w:rPr>
      <w:fldChar w:fldCharType="begin"/>
    </w:r>
    <w:r w:rsidRPr="00A036D6">
      <w:rPr>
        <w:rStyle w:val="tevilkastrani"/>
        <w:sz w:val="20"/>
        <w:szCs w:val="20"/>
      </w:rPr>
      <w:instrText xml:space="preserve"> PAGE </w:instrText>
    </w:r>
    <w:r w:rsidRPr="00A036D6">
      <w:rPr>
        <w:rStyle w:val="tevilkastrani"/>
        <w:sz w:val="20"/>
        <w:szCs w:val="20"/>
      </w:rPr>
      <w:fldChar w:fldCharType="separate"/>
    </w:r>
    <w:r w:rsidR="00A51455">
      <w:rPr>
        <w:rStyle w:val="tevilkastrani"/>
        <w:noProof/>
        <w:sz w:val="20"/>
        <w:szCs w:val="20"/>
      </w:rPr>
      <w:t>2</w:t>
    </w:r>
    <w:r w:rsidRPr="00A036D6">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A13227"/>
    <w:multiLevelType w:val="hybridMultilevel"/>
    <w:tmpl w:val="862EFFE4"/>
    <w:lvl w:ilvl="0" w:tplc="73EEFF6E">
      <w:start w:val="1"/>
      <w:numFmt w:val="decimal"/>
      <w:lvlText w:val="%1."/>
      <w:lvlJc w:val="left"/>
      <w:pPr>
        <w:ind w:left="390" w:hanging="39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
    <w:nsid w:val="0E6B5BBB"/>
    <w:multiLevelType w:val="hybridMultilevel"/>
    <w:tmpl w:val="9F5E87DA"/>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
    <w:nsid w:val="101F380A"/>
    <w:multiLevelType w:val="hybridMultilevel"/>
    <w:tmpl w:val="DAACBBCE"/>
    <w:lvl w:ilvl="0" w:tplc="61D24ABA">
      <w:numFmt w:val="bullet"/>
      <w:lvlText w:val="-"/>
      <w:lvlJc w:val="left"/>
      <w:pPr>
        <w:ind w:left="780" w:hanging="390"/>
      </w:pPr>
      <w:rPr>
        <w:rFonts w:ascii="Arial" w:eastAsia="Times New Roman" w:hAnsi="Arial" w:hint="default"/>
      </w:rPr>
    </w:lvl>
    <w:lvl w:ilvl="1" w:tplc="2C9CEBFA">
      <w:start w:val="8"/>
      <w:numFmt w:val="bullet"/>
      <w:lvlText w:val="-"/>
      <w:lvlJc w:val="left"/>
      <w:pPr>
        <w:ind w:left="1680" w:hanging="570"/>
      </w:pPr>
      <w:rPr>
        <w:rFonts w:ascii="Arial" w:eastAsia="Times New Roman" w:hAnsi="Arial" w:cs="Arial" w:hint="default"/>
      </w:rPr>
    </w:lvl>
    <w:lvl w:ilvl="2" w:tplc="525E6388">
      <w:start w:val="1"/>
      <w:numFmt w:val="decimal"/>
      <w:lvlText w:val="%3."/>
      <w:lvlJc w:val="left"/>
      <w:pPr>
        <w:ind w:left="2370" w:hanging="360"/>
      </w:pPr>
      <w:rPr>
        <w:rFonts w:hint="default"/>
      </w:rPr>
    </w:lvl>
    <w:lvl w:ilvl="3" w:tplc="0424000F" w:tentative="1">
      <w:start w:val="1"/>
      <w:numFmt w:val="decimal"/>
      <w:lvlText w:val="%4."/>
      <w:lvlJc w:val="left"/>
      <w:pPr>
        <w:ind w:left="2910" w:hanging="360"/>
      </w:pPr>
    </w:lvl>
    <w:lvl w:ilvl="4" w:tplc="04240019" w:tentative="1">
      <w:start w:val="1"/>
      <w:numFmt w:val="lowerLetter"/>
      <w:lvlText w:val="%5."/>
      <w:lvlJc w:val="left"/>
      <w:pPr>
        <w:ind w:left="3630" w:hanging="360"/>
      </w:pPr>
    </w:lvl>
    <w:lvl w:ilvl="5" w:tplc="0424001B" w:tentative="1">
      <w:start w:val="1"/>
      <w:numFmt w:val="lowerRoman"/>
      <w:lvlText w:val="%6."/>
      <w:lvlJc w:val="right"/>
      <w:pPr>
        <w:ind w:left="4350" w:hanging="180"/>
      </w:pPr>
    </w:lvl>
    <w:lvl w:ilvl="6" w:tplc="0424000F" w:tentative="1">
      <w:start w:val="1"/>
      <w:numFmt w:val="decimal"/>
      <w:lvlText w:val="%7."/>
      <w:lvlJc w:val="left"/>
      <w:pPr>
        <w:ind w:left="5070" w:hanging="360"/>
      </w:pPr>
    </w:lvl>
    <w:lvl w:ilvl="7" w:tplc="04240019" w:tentative="1">
      <w:start w:val="1"/>
      <w:numFmt w:val="lowerLetter"/>
      <w:lvlText w:val="%8."/>
      <w:lvlJc w:val="left"/>
      <w:pPr>
        <w:ind w:left="5790" w:hanging="360"/>
      </w:pPr>
    </w:lvl>
    <w:lvl w:ilvl="8" w:tplc="0424001B" w:tentative="1">
      <w:start w:val="1"/>
      <w:numFmt w:val="lowerRoman"/>
      <w:lvlText w:val="%9."/>
      <w:lvlJc w:val="right"/>
      <w:pPr>
        <w:ind w:left="6510" w:hanging="180"/>
      </w:pPr>
    </w:lvl>
  </w:abstractNum>
  <w:abstractNum w:abstractNumId="3">
    <w:nsid w:val="10C80812"/>
    <w:multiLevelType w:val="hybridMultilevel"/>
    <w:tmpl w:val="88AE1406"/>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4">
    <w:nsid w:val="14AC47C8"/>
    <w:multiLevelType w:val="hybridMultilevel"/>
    <w:tmpl w:val="856864EC"/>
    <w:lvl w:ilvl="0" w:tplc="73EEFF6E">
      <w:start w:val="1"/>
      <w:numFmt w:val="decimal"/>
      <w:lvlText w:val="%1."/>
      <w:lvlJc w:val="left"/>
      <w:pPr>
        <w:ind w:left="390" w:hanging="390"/>
      </w:pPr>
      <w:rPr>
        <w:rFonts w:hint="default"/>
      </w:rPr>
    </w:lvl>
    <w:lvl w:ilvl="1" w:tplc="2C9CEBFA">
      <w:start w:val="8"/>
      <w:numFmt w:val="bullet"/>
      <w:lvlText w:val="-"/>
      <w:lvlJc w:val="left"/>
      <w:pPr>
        <w:ind w:left="1290" w:hanging="570"/>
      </w:pPr>
      <w:rPr>
        <w:rFonts w:ascii="Arial" w:eastAsia="Times New Roman" w:hAnsi="Arial" w:cs="Arial" w:hint="default"/>
      </w:r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5">
    <w:nsid w:val="2275132B"/>
    <w:multiLevelType w:val="hybridMultilevel"/>
    <w:tmpl w:val="22603466"/>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6">
    <w:nsid w:val="4C384594"/>
    <w:multiLevelType w:val="hybridMultilevel"/>
    <w:tmpl w:val="2728A20A"/>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7">
    <w:nsid w:val="689A3C17"/>
    <w:multiLevelType w:val="hybridMultilevel"/>
    <w:tmpl w:val="E80A7B2E"/>
    <w:lvl w:ilvl="0" w:tplc="73EEFF6E">
      <w:start w:val="1"/>
      <w:numFmt w:val="decimal"/>
      <w:lvlText w:val="%1."/>
      <w:lvlJc w:val="left"/>
      <w:pPr>
        <w:ind w:left="390" w:hanging="39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8">
    <w:nsid w:val="6DA64A37"/>
    <w:multiLevelType w:val="hybridMultilevel"/>
    <w:tmpl w:val="D118287E"/>
    <w:lvl w:ilvl="0" w:tplc="04240001">
      <w:start w:val="1"/>
      <w:numFmt w:val="bullet"/>
      <w:lvlText w:val=""/>
      <w:lvlJc w:val="left"/>
      <w:pPr>
        <w:ind w:left="780" w:hanging="390"/>
      </w:pPr>
      <w:rPr>
        <w:rFonts w:ascii="Symbol" w:hAnsi="Symbol" w:hint="default"/>
      </w:rPr>
    </w:lvl>
    <w:lvl w:ilvl="1" w:tplc="2C9CEBFA">
      <w:start w:val="8"/>
      <w:numFmt w:val="bullet"/>
      <w:lvlText w:val="-"/>
      <w:lvlJc w:val="left"/>
      <w:pPr>
        <w:ind w:left="1680" w:hanging="570"/>
      </w:pPr>
      <w:rPr>
        <w:rFonts w:ascii="Arial" w:eastAsia="Times New Roman" w:hAnsi="Arial" w:cs="Arial" w:hint="default"/>
      </w:rPr>
    </w:lvl>
    <w:lvl w:ilvl="2" w:tplc="0424001B" w:tentative="1">
      <w:start w:val="1"/>
      <w:numFmt w:val="lowerRoman"/>
      <w:lvlText w:val="%3."/>
      <w:lvlJc w:val="right"/>
      <w:pPr>
        <w:ind w:left="2190" w:hanging="180"/>
      </w:pPr>
    </w:lvl>
    <w:lvl w:ilvl="3" w:tplc="0424000F" w:tentative="1">
      <w:start w:val="1"/>
      <w:numFmt w:val="decimal"/>
      <w:lvlText w:val="%4."/>
      <w:lvlJc w:val="left"/>
      <w:pPr>
        <w:ind w:left="2910" w:hanging="360"/>
      </w:pPr>
    </w:lvl>
    <w:lvl w:ilvl="4" w:tplc="04240019" w:tentative="1">
      <w:start w:val="1"/>
      <w:numFmt w:val="lowerLetter"/>
      <w:lvlText w:val="%5."/>
      <w:lvlJc w:val="left"/>
      <w:pPr>
        <w:ind w:left="3630" w:hanging="360"/>
      </w:pPr>
    </w:lvl>
    <w:lvl w:ilvl="5" w:tplc="0424001B" w:tentative="1">
      <w:start w:val="1"/>
      <w:numFmt w:val="lowerRoman"/>
      <w:lvlText w:val="%6."/>
      <w:lvlJc w:val="right"/>
      <w:pPr>
        <w:ind w:left="4350" w:hanging="180"/>
      </w:pPr>
    </w:lvl>
    <w:lvl w:ilvl="6" w:tplc="0424000F" w:tentative="1">
      <w:start w:val="1"/>
      <w:numFmt w:val="decimal"/>
      <w:lvlText w:val="%7."/>
      <w:lvlJc w:val="left"/>
      <w:pPr>
        <w:ind w:left="5070" w:hanging="360"/>
      </w:pPr>
    </w:lvl>
    <w:lvl w:ilvl="7" w:tplc="04240019" w:tentative="1">
      <w:start w:val="1"/>
      <w:numFmt w:val="lowerLetter"/>
      <w:lvlText w:val="%8."/>
      <w:lvlJc w:val="left"/>
      <w:pPr>
        <w:ind w:left="5790" w:hanging="360"/>
      </w:pPr>
    </w:lvl>
    <w:lvl w:ilvl="8" w:tplc="0424001B" w:tentative="1">
      <w:start w:val="1"/>
      <w:numFmt w:val="lowerRoman"/>
      <w:lvlText w:val="%9."/>
      <w:lvlJc w:val="right"/>
      <w:pPr>
        <w:ind w:left="6510" w:hanging="180"/>
      </w:pPr>
    </w:lvl>
  </w:abstractNum>
  <w:num w:numId="1">
    <w:abstractNumId w:val="5"/>
  </w:num>
  <w:num w:numId="2">
    <w:abstractNumId w:val="3"/>
  </w:num>
  <w:num w:numId="3">
    <w:abstractNumId w:val="6"/>
  </w:num>
  <w:num w:numId="4">
    <w:abstractNumId w:val="4"/>
  </w:num>
  <w:num w:numId="5">
    <w:abstractNumId w:val="0"/>
  </w:num>
  <w:num w:numId="6">
    <w:abstractNumId w:val="1"/>
  </w:num>
  <w:num w:numId="7">
    <w:abstractNumId w:val="8"/>
  </w:num>
  <w:num w:numId="8">
    <w:abstractNumId w:val="2"/>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2867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0A89"/>
    <w:rsid w:val="000141DE"/>
    <w:rsid w:val="00020791"/>
    <w:rsid w:val="00023FA4"/>
    <w:rsid w:val="000442EF"/>
    <w:rsid w:val="00047807"/>
    <w:rsid w:val="00064B4D"/>
    <w:rsid w:val="00076965"/>
    <w:rsid w:val="000A018B"/>
    <w:rsid w:val="000B0978"/>
    <w:rsid w:val="000B723C"/>
    <w:rsid w:val="0010208A"/>
    <w:rsid w:val="00110EA2"/>
    <w:rsid w:val="0011161E"/>
    <w:rsid w:val="00114AF8"/>
    <w:rsid w:val="00117519"/>
    <w:rsid w:val="00131B36"/>
    <w:rsid w:val="00132F70"/>
    <w:rsid w:val="00142CE9"/>
    <w:rsid w:val="0016363F"/>
    <w:rsid w:val="00177E31"/>
    <w:rsid w:val="00197BD8"/>
    <w:rsid w:val="001A4EBA"/>
    <w:rsid w:val="001C2408"/>
    <w:rsid w:val="001C6AC4"/>
    <w:rsid w:val="001D40CA"/>
    <w:rsid w:val="001D4593"/>
    <w:rsid w:val="001F4AE9"/>
    <w:rsid w:val="00200EDB"/>
    <w:rsid w:val="00213CD4"/>
    <w:rsid w:val="00215359"/>
    <w:rsid w:val="00216105"/>
    <w:rsid w:val="00224607"/>
    <w:rsid w:val="00285514"/>
    <w:rsid w:val="00285C41"/>
    <w:rsid w:val="002A2C63"/>
    <w:rsid w:val="002A477E"/>
    <w:rsid w:val="002E5070"/>
    <w:rsid w:val="002E7802"/>
    <w:rsid w:val="002F19AC"/>
    <w:rsid w:val="002F35FF"/>
    <w:rsid w:val="003177F6"/>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2CA0"/>
    <w:rsid w:val="0055639A"/>
    <w:rsid w:val="00587103"/>
    <w:rsid w:val="005B7B04"/>
    <w:rsid w:val="005C10B0"/>
    <w:rsid w:val="005C11F0"/>
    <w:rsid w:val="005F01B9"/>
    <w:rsid w:val="005F46FB"/>
    <w:rsid w:val="00615A85"/>
    <w:rsid w:val="00634C10"/>
    <w:rsid w:val="006352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6A6C"/>
    <w:rsid w:val="0077605A"/>
    <w:rsid w:val="007950E2"/>
    <w:rsid w:val="00796369"/>
    <w:rsid w:val="00796CC0"/>
    <w:rsid w:val="007B30A4"/>
    <w:rsid w:val="007C6A78"/>
    <w:rsid w:val="007C71B2"/>
    <w:rsid w:val="007C78F0"/>
    <w:rsid w:val="007D396C"/>
    <w:rsid w:val="007F39B0"/>
    <w:rsid w:val="0082338E"/>
    <w:rsid w:val="00851522"/>
    <w:rsid w:val="00856008"/>
    <w:rsid w:val="00856C95"/>
    <w:rsid w:val="008B2D3C"/>
    <w:rsid w:val="008B5E78"/>
    <w:rsid w:val="008C4247"/>
    <w:rsid w:val="008E6E21"/>
    <w:rsid w:val="009121AD"/>
    <w:rsid w:val="009156F9"/>
    <w:rsid w:val="00936A60"/>
    <w:rsid w:val="00971C5F"/>
    <w:rsid w:val="009749BC"/>
    <w:rsid w:val="00984A60"/>
    <w:rsid w:val="00986ACF"/>
    <w:rsid w:val="00991AE5"/>
    <w:rsid w:val="00991F38"/>
    <w:rsid w:val="009A5206"/>
    <w:rsid w:val="009B4969"/>
    <w:rsid w:val="009C00B6"/>
    <w:rsid w:val="009D4362"/>
    <w:rsid w:val="00A036D6"/>
    <w:rsid w:val="00A059D4"/>
    <w:rsid w:val="00A20E80"/>
    <w:rsid w:val="00A2578F"/>
    <w:rsid w:val="00A418F5"/>
    <w:rsid w:val="00A4447F"/>
    <w:rsid w:val="00A51455"/>
    <w:rsid w:val="00A530B4"/>
    <w:rsid w:val="00A60F7A"/>
    <w:rsid w:val="00A764EF"/>
    <w:rsid w:val="00A93C67"/>
    <w:rsid w:val="00A95EAF"/>
    <w:rsid w:val="00AA523A"/>
    <w:rsid w:val="00AB47E4"/>
    <w:rsid w:val="00AF06AA"/>
    <w:rsid w:val="00AF26FF"/>
    <w:rsid w:val="00B0618D"/>
    <w:rsid w:val="00B4021E"/>
    <w:rsid w:val="00B525E1"/>
    <w:rsid w:val="00B64A88"/>
    <w:rsid w:val="00B87962"/>
    <w:rsid w:val="00B926CE"/>
    <w:rsid w:val="00BB2393"/>
    <w:rsid w:val="00BE54BF"/>
    <w:rsid w:val="00C05F5D"/>
    <w:rsid w:val="00C15BF9"/>
    <w:rsid w:val="00C25582"/>
    <w:rsid w:val="00C34089"/>
    <w:rsid w:val="00C34621"/>
    <w:rsid w:val="00C510F9"/>
    <w:rsid w:val="00C55CAA"/>
    <w:rsid w:val="00C75050"/>
    <w:rsid w:val="00C9785D"/>
    <w:rsid w:val="00CA1568"/>
    <w:rsid w:val="00CA3452"/>
    <w:rsid w:val="00CA348A"/>
    <w:rsid w:val="00CA641E"/>
    <w:rsid w:val="00CB3822"/>
    <w:rsid w:val="00CC1344"/>
    <w:rsid w:val="00CC4CBD"/>
    <w:rsid w:val="00CC70EC"/>
    <w:rsid w:val="00D0169A"/>
    <w:rsid w:val="00D12BC4"/>
    <w:rsid w:val="00D1425D"/>
    <w:rsid w:val="00D23B63"/>
    <w:rsid w:val="00D301B7"/>
    <w:rsid w:val="00D34950"/>
    <w:rsid w:val="00D73919"/>
    <w:rsid w:val="00DA298B"/>
    <w:rsid w:val="00DA682B"/>
    <w:rsid w:val="00DC45CC"/>
    <w:rsid w:val="00DD716B"/>
    <w:rsid w:val="00DE2A4E"/>
    <w:rsid w:val="00E03BB4"/>
    <w:rsid w:val="00E04052"/>
    <w:rsid w:val="00E30C83"/>
    <w:rsid w:val="00E35A5D"/>
    <w:rsid w:val="00E37B4F"/>
    <w:rsid w:val="00E54438"/>
    <w:rsid w:val="00E653F0"/>
    <w:rsid w:val="00E661C7"/>
    <w:rsid w:val="00E72862"/>
    <w:rsid w:val="00E858FD"/>
    <w:rsid w:val="00E97F1F"/>
    <w:rsid w:val="00EA0A89"/>
    <w:rsid w:val="00EC76D2"/>
    <w:rsid w:val="00EF3D39"/>
    <w:rsid w:val="00F14242"/>
    <w:rsid w:val="00F159E8"/>
    <w:rsid w:val="00F3340A"/>
    <w:rsid w:val="00F47503"/>
    <w:rsid w:val="00F5361B"/>
    <w:rsid w:val="00F5431C"/>
    <w:rsid w:val="00F758E4"/>
    <w:rsid w:val="00FD0795"/>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867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28158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AppData\Local\Temp\notes066979\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42A207C-2A89-470E-8316-7E6AE1F69D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ZPS.dot</Template>
  <TotalTime>16</TotalTime>
  <Pages>3</Pages>
  <Words>1178</Words>
  <Characters>6427</Characters>
  <Application>Microsoft Office Word</Application>
  <DocSecurity>0</DocSecurity>
  <Lines>53</Lines>
  <Paragraphs>15</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7590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9</cp:revision>
  <cp:lastPrinted>2011-06-20T14:59:00Z</cp:lastPrinted>
  <dcterms:created xsi:type="dcterms:W3CDTF">2015-07-02T08:02:00Z</dcterms:created>
  <dcterms:modified xsi:type="dcterms:W3CDTF">2015-07-21T06:01:00Z</dcterms:modified>
</cp:coreProperties>
</file>