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56"/>
          <w:szCs w:val="22"/>
        </w:rPr>
      </w:pPr>
      <w:bookmarkStart w:id="0" w:name="_GoBack"/>
      <w:bookmarkEnd w:id="0"/>
      <w:r w:rsidRPr="00825F92">
        <w:rPr>
          <w:rFonts w:cs="Arial"/>
          <w:b/>
          <w:color w:val="000000" w:themeColor="text1"/>
          <w:spacing w:val="56"/>
          <w:szCs w:val="22"/>
        </w:rPr>
        <w:t>ZAKON</w:t>
      </w:r>
    </w:p>
    <w:p w:rsidR="00825F92" w:rsidRDefault="00825F92" w:rsidP="00825F9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825F92" w:rsidRDefault="00825F92" w:rsidP="00825F9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825F92">
        <w:rPr>
          <w:rFonts w:cs="Arial"/>
          <w:b/>
          <w:color w:val="000000" w:themeColor="text1"/>
          <w:szCs w:val="22"/>
        </w:rPr>
        <w:t>O SPREMEMBAH</w:t>
      </w:r>
      <w:r w:rsidR="00F3778F">
        <w:rPr>
          <w:rFonts w:cs="Arial"/>
          <w:b/>
          <w:color w:val="000000" w:themeColor="text1"/>
          <w:szCs w:val="22"/>
        </w:rPr>
        <w:t xml:space="preserve"> </w:t>
      </w:r>
      <w:r w:rsidRPr="00825F92">
        <w:rPr>
          <w:rFonts w:cs="Arial"/>
          <w:b/>
          <w:color w:val="000000" w:themeColor="text1"/>
          <w:szCs w:val="22"/>
        </w:rPr>
        <w:t>ZAKONA O DAVKU</w:t>
      </w: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825F92">
        <w:rPr>
          <w:rFonts w:cs="Arial"/>
          <w:b/>
          <w:color w:val="000000" w:themeColor="text1"/>
          <w:szCs w:val="22"/>
        </w:rPr>
        <w:t>OD DOHODKOV PRAVNIH OSEB (ZDDPO-2K)</w:t>
      </w:r>
    </w:p>
    <w:p w:rsid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2703A" w:rsidRDefault="0092703A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825F92">
        <w:rPr>
          <w:rFonts w:cs="Arial"/>
          <w:color w:val="000000" w:themeColor="text1"/>
          <w:szCs w:val="22"/>
        </w:rPr>
        <w:t>1. člen</w:t>
      </w: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825F92">
        <w:rPr>
          <w:rFonts w:cs="Arial"/>
          <w:color w:val="000000" w:themeColor="text1"/>
          <w:szCs w:val="22"/>
        </w:rPr>
        <w:t xml:space="preserve">V Zakonu o davku od dohodkov pravnih oseb (Uradni list RS, št. 117/06, 56/08, 76/08, 5/09, 96/09, 110/09 </w:t>
      </w:r>
      <w:r>
        <w:rPr>
          <w:rFonts w:cs="Arial"/>
          <w:color w:val="000000" w:themeColor="text1"/>
          <w:szCs w:val="22"/>
        </w:rPr>
        <w:t>–</w:t>
      </w:r>
      <w:r w:rsidRPr="00825F92">
        <w:rPr>
          <w:rFonts w:cs="Arial"/>
          <w:color w:val="000000" w:themeColor="text1"/>
          <w:szCs w:val="22"/>
        </w:rPr>
        <w:t xml:space="preserve"> ZDavP-2B, 43/10, 59/11, 24/12, 30/12, 94/12</w:t>
      </w:r>
      <w:r w:rsidR="00F3778F">
        <w:rPr>
          <w:rFonts w:cs="Arial"/>
          <w:color w:val="000000" w:themeColor="text1"/>
          <w:szCs w:val="22"/>
        </w:rPr>
        <w:t xml:space="preserve"> in </w:t>
      </w:r>
      <w:r w:rsidRPr="00825F92">
        <w:rPr>
          <w:rFonts w:cs="Arial"/>
          <w:color w:val="000000" w:themeColor="text1"/>
          <w:szCs w:val="22"/>
        </w:rPr>
        <w:t xml:space="preserve">81/13) se </w:t>
      </w:r>
      <w:proofErr w:type="spellStart"/>
      <w:r w:rsidRPr="00825F92">
        <w:rPr>
          <w:rFonts w:cs="Arial"/>
          <w:color w:val="000000" w:themeColor="text1"/>
          <w:szCs w:val="22"/>
        </w:rPr>
        <w:t>67</w:t>
      </w:r>
      <w:r>
        <w:rPr>
          <w:rFonts w:cs="Arial"/>
          <w:color w:val="000000" w:themeColor="text1"/>
          <w:szCs w:val="22"/>
        </w:rPr>
        <w:t>.</w:t>
      </w:r>
      <w:r w:rsidRPr="00825F92">
        <w:rPr>
          <w:rFonts w:cs="Arial"/>
          <w:color w:val="000000" w:themeColor="text1"/>
          <w:szCs w:val="22"/>
        </w:rPr>
        <w:t>b</w:t>
      </w:r>
      <w:proofErr w:type="spellEnd"/>
      <w:r w:rsidRPr="00825F92">
        <w:rPr>
          <w:rFonts w:cs="Arial"/>
          <w:color w:val="000000" w:themeColor="text1"/>
          <w:szCs w:val="22"/>
        </w:rPr>
        <w:t xml:space="preserve"> člen spremeni tako, da se glasi:</w:t>
      </w: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>»</w:t>
      </w:r>
      <w:proofErr w:type="spellStart"/>
      <w:r w:rsidRPr="00825F92">
        <w:rPr>
          <w:rFonts w:cs="Arial"/>
          <w:color w:val="000000" w:themeColor="text1"/>
          <w:szCs w:val="22"/>
        </w:rPr>
        <w:t>67</w:t>
      </w:r>
      <w:r>
        <w:rPr>
          <w:rFonts w:cs="Arial"/>
          <w:color w:val="000000" w:themeColor="text1"/>
          <w:szCs w:val="22"/>
        </w:rPr>
        <w:t>.</w:t>
      </w:r>
      <w:r w:rsidRPr="00825F92">
        <w:rPr>
          <w:rFonts w:cs="Arial"/>
          <w:color w:val="000000" w:themeColor="text1"/>
          <w:szCs w:val="22"/>
        </w:rPr>
        <w:t>b</w:t>
      </w:r>
      <w:proofErr w:type="spellEnd"/>
      <w:r w:rsidRPr="00825F92">
        <w:rPr>
          <w:rFonts w:cs="Arial"/>
          <w:color w:val="000000" w:themeColor="text1"/>
          <w:szCs w:val="22"/>
        </w:rPr>
        <w:t xml:space="preserve"> člen</w:t>
      </w: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825F92">
        <w:rPr>
          <w:rFonts w:cs="Arial"/>
          <w:color w:val="000000" w:themeColor="text1"/>
          <w:szCs w:val="22"/>
        </w:rPr>
        <w:t>(zavezanec, ki lahko ugotavlja davčno osnovo po tem poglavju, in pogoji)</w:t>
      </w:r>
    </w:p>
    <w:p w:rsid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825F92">
        <w:rPr>
          <w:rFonts w:cs="Arial"/>
          <w:color w:val="000000" w:themeColor="text1"/>
          <w:szCs w:val="22"/>
        </w:rPr>
        <w:t>(1)</w:t>
      </w:r>
      <w:r>
        <w:rPr>
          <w:rFonts w:cs="Arial"/>
          <w:color w:val="000000" w:themeColor="text1"/>
          <w:szCs w:val="22"/>
        </w:rPr>
        <w:t xml:space="preserve"> </w:t>
      </w:r>
      <w:r w:rsidRPr="00825F92">
        <w:rPr>
          <w:rFonts w:cs="Arial"/>
          <w:color w:val="000000" w:themeColor="text1"/>
          <w:szCs w:val="22"/>
        </w:rPr>
        <w:t xml:space="preserve">Zavezanec po tem zakonu, ki je družba po zakonu, ki ureja gospodarske družbe, in družbi primerljiva tuja oseba za poslovno enoto, ki jo ima v Sloveniji, lahko ugotavlja davčno osnovo za davčno obdobje z upoštevanjem normiranih odhodkov v višini, določeni v prvem odstavku </w:t>
      </w:r>
      <w:proofErr w:type="spellStart"/>
      <w:r w:rsidRPr="00825F92">
        <w:rPr>
          <w:rFonts w:cs="Arial"/>
          <w:color w:val="000000" w:themeColor="text1"/>
          <w:szCs w:val="22"/>
        </w:rPr>
        <w:t>67.e</w:t>
      </w:r>
      <w:proofErr w:type="spellEnd"/>
      <w:r w:rsidRPr="00825F92">
        <w:rPr>
          <w:rFonts w:cs="Arial"/>
          <w:color w:val="000000" w:themeColor="text1"/>
          <w:szCs w:val="22"/>
        </w:rPr>
        <w:t xml:space="preserve"> člena tega zakona (v nadaljnjem besedilu: zavezanec iz </w:t>
      </w:r>
      <w:proofErr w:type="spellStart"/>
      <w:r w:rsidRPr="00825F92">
        <w:rPr>
          <w:rFonts w:cs="Arial"/>
          <w:color w:val="000000" w:themeColor="text1"/>
          <w:szCs w:val="22"/>
        </w:rPr>
        <w:t>67.b</w:t>
      </w:r>
      <w:proofErr w:type="spellEnd"/>
      <w:r w:rsidRPr="00825F92">
        <w:rPr>
          <w:rFonts w:cs="Arial"/>
          <w:color w:val="000000" w:themeColor="text1"/>
          <w:szCs w:val="22"/>
        </w:rPr>
        <w:t xml:space="preserve"> člena tega zakona), če priglasi ugotavljanje davčne osnove z upoštevanjem normiranih odhodkov v skladu s tem zakonom in zakonom, ki ureja davčni postopek, in pod naslednjimi pogoji:</w:t>
      </w:r>
    </w:p>
    <w:p w:rsidR="00825F92" w:rsidRPr="00825F92" w:rsidRDefault="00825F92" w:rsidP="00825F92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825F92">
        <w:rPr>
          <w:rFonts w:cs="Arial"/>
          <w:color w:val="000000" w:themeColor="text1"/>
          <w:szCs w:val="22"/>
        </w:rPr>
        <w:t xml:space="preserve">če v koledarskem letu pred davčnim obdobjem, za katero uveljavlja ugotavljanje davčne osnove z upoštevanjem normiranih odhodkov, njegovi prihodki, ugotovljeni po pravilih o </w:t>
      </w:r>
      <w:proofErr w:type="spellStart"/>
      <w:r w:rsidRPr="00825F92">
        <w:rPr>
          <w:rFonts w:cs="Arial"/>
          <w:color w:val="000000" w:themeColor="text1"/>
          <w:szCs w:val="22"/>
        </w:rPr>
        <w:t>računovodenju</w:t>
      </w:r>
      <w:proofErr w:type="spellEnd"/>
      <w:r w:rsidRPr="00825F92">
        <w:rPr>
          <w:rFonts w:cs="Arial"/>
          <w:color w:val="000000" w:themeColor="text1"/>
          <w:szCs w:val="22"/>
        </w:rPr>
        <w:t xml:space="preserve">, ne presegajo 50.000 </w:t>
      </w:r>
      <w:proofErr w:type="spellStart"/>
      <w:r w:rsidRPr="00825F92">
        <w:rPr>
          <w:rFonts w:cs="Arial"/>
          <w:color w:val="000000" w:themeColor="text1"/>
          <w:szCs w:val="22"/>
        </w:rPr>
        <w:t>eurov</w:t>
      </w:r>
      <w:proofErr w:type="spellEnd"/>
      <w:r w:rsidRPr="00825F92">
        <w:rPr>
          <w:rFonts w:cs="Arial"/>
          <w:color w:val="000000" w:themeColor="text1"/>
          <w:szCs w:val="22"/>
        </w:rPr>
        <w:t>, ali</w:t>
      </w:r>
    </w:p>
    <w:p w:rsidR="00825F92" w:rsidRPr="00825F92" w:rsidRDefault="00825F92" w:rsidP="00825F92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825F92">
        <w:rPr>
          <w:rFonts w:cs="Arial"/>
          <w:color w:val="000000" w:themeColor="text1"/>
          <w:szCs w:val="22"/>
        </w:rPr>
        <w:t xml:space="preserve">če v koledarskem letu pred davčnim obdobjem, za katero uveljavlja ugotavljanje davčne osnove z upoštevanjem normiranih odhodkov, njegovi prihodki, ugotovljeni po pravilih o </w:t>
      </w:r>
      <w:proofErr w:type="spellStart"/>
      <w:r w:rsidRPr="00825F92">
        <w:rPr>
          <w:rFonts w:cs="Arial"/>
          <w:color w:val="000000" w:themeColor="text1"/>
          <w:szCs w:val="22"/>
        </w:rPr>
        <w:t>računovodenju</w:t>
      </w:r>
      <w:proofErr w:type="spellEnd"/>
      <w:r w:rsidR="00F3778F">
        <w:rPr>
          <w:rFonts w:cs="Arial"/>
          <w:color w:val="000000" w:themeColor="text1"/>
          <w:szCs w:val="22"/>
        </w:rPr>
        <w:t>,</w:t>
      </w:r>
      <w:r w:rsidRPr="00825F92">
        <w:rPr>
          <w:rFonts w:cs="Arial"/>
          <w:color w:val="000000" w:themeColor="text1"/>
          <w:szCs w:val="22"/>
        </w:rPr>
        <w:t xml:space="preserve"> ne presegajo 100.000 evrov in je bila v skladu predpisi, ki urejajo pokojninsko in invalidsko zavarovanje, pri zavezancu obvezno zavarovana vsaj ena oseba za poln</w:t>
      </w:r>
      <w:r w:rsidR="00F3778F">
        <w:rPr>
          <w:rFonts w:cs="Arial"/>
          <w:color w:val="000000" w:themeColor="text1"/>
          <w:szCs w:val="22"/>
        </w:rPr>
        <w:t>i</w:t>
      </w:r>
      <w:r w:rsidRPr="00825F92">
        <w:rPr>
          <w:rFonts w:cs="Arial"/>
          <w:color w:val="000000" w:themeColor="text1"/>
          <w:szCs w:val="22"/>
        </w:rPr>
        <w:t xml:space="preserve"> delovni čas neprekinjeno najmanj pet mesecev,  </w:t>
      </w: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825F92">
        <w:rPr>
          <w:rFonts w:cs="Arial"/>
          <w:color w:val="000000" w:themeColor="text1"/>
          <w:szCs w:val="22"/>
        </w:rPr>
        <w:t>in s tem poglavjem ni drugače določeno.</w:t>
      </w:r>
      <w:r>
        <w:rPr>
          <w:rFonts w:cs="Arial"/>
          <w:color w:val="000000" w:themeColor="text1"/>
          <w:szCs w:val="22"/>
        </w:rPr>
        <w:t>«.</w:t>
      </w: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825F92">
        <w:rPr>
          <w:rFonts w:cs="Arial"/>
          <w:color w:val="000000" w:themeColor="text1"/>
          <w:szCs w:val="22"/>
        </w:rPr>
        <w:t>2. člen</w:t>
      </w: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825F92">
        <w:rPr>
          <w:rFonts w:cs="Arial"/>
          <w:color w:val="000000" w:themeColor="text1"/>
          <w:szCs w:val="22"/>
        </w:rPr>
        <w:t>V</w:t>
      </w:r>
      <w:r w:rsidR="00F3778F">
        <w:rPr>
          <w:rFonts w:cs="Arial"/>
          <w:color w:val="000000" w:themeColor="text1"/>
          <w:szCs w:val="22"/>
        </w:rPr>
        <w:t xml:space="preserve"> prvem odstavku</w:t>
      </w:r>
      <w:r w:rsidRPr="00825F92">
        <w:rPr>
          <w:rFonts w:cs="Arial"/>
          <w:color w:val="000000" w:themeColor="text1"/>
          <w:szCs w:val="22"/>
        </w:rPr>
        <w:t xml:space="preserve"> </w:t>
      </w:r>
      <w:proofErr w:type="spellStart"/>
      <w:r w:rsidRPr="00825F92">
        <w:rPr>
          <w:rFonts w:cs="Arial"/>
          <w:color w:val="000000" w:themeColor="text1"/>
          <w:szCs w:val="22"/>
        </w:rPr>
        <w:t>67</w:t>
      </w:r>
      <w:r>
        <w:rPr>
          <w:rFonts w:cs="Arial"/>
          <w:color w:val="000000" w:themeColor="text1"/>
          <w:szCs w:val="22"/>
        </w:rPr>
        <w:t>.</w:t>
      </w:r>
      <w:r w:rsidRPr="00825F92">
        <w:rPr>
          <w:rFonts w:cs="Arial"/>
          <w:color w:val="000000" w:themeColor="text1"/>
          <w:szCs w:val="22"/>
        </w:rPr>
        <w:t>e</w:t>
      </w:r>
      <w:proofErr w:type="spellEnd"/>
      <w:r w:rsidRPr="00825F92">
        <w:rPr>
          <w:rFonts w:cs="Arial"/>
          <w:color w:val="000000" w:themeColor="text1"/>
          <w:szCs w:val="22"/>
        </w:rPr>
        <w:t xml:space="preserve"> člen</w:t>
      </w:r>
      <w:r w:rsidR="00F3778F">
        <w:rPr>
          <w:rFonts w:cs="Arial"/>
          <w:color w:val="000000" w:themeColor="text1"/>
          <w:szCs w:val="22"/>
        </w:rPr>
        <w:t>a</w:t>
      </w:r>
      <w:r w:rsidRPr="00825F92">
        <w:rPr>
          <w:rFonts w:cs="Arial"/>
          <w:color w:val="000000" w:themeColor="text1"/>
          <w:szCs w:val="22"/>
        </w:rPr>
        <w:t xml:space="preserve"> se število </w:t>
      </w:r>
      <w:r>
        <w:rPr>
          <w:rFonts w:cs="Arial"/>
          <w:color w:val="000000" w:themeColor="text1"/>
          <w:szCs w:val="22"/>
        </w:rPr>
        <w:t>»</w:t>
      </w:r>
      <w:r w:rsidRPr="00825F92">
        <w:rPr>
          <w:rFonts w:cs="Arial"/>
          <w:color w:val="000000" w:themeColor="text1"/>
          <w:szCs w:val="22"/>
        </w:rPr>
        <w:t>70</w:t>
      </w:r>
      <w:r>
        <w:rPr>
          <w:rFonts w:cs="Arial"/>
          <w:color w:val="000000" w:themeColor="text1"/>
          <w:szCs w:val="22"/>
        </w:rPr>
        <w:t>«</w:t>
      </w:r>
      <w:r w:rsidRPr="00825F92">
        <w:rPr>
          <w:rFonts w:cs="Arial"/>
          <w:color w:val="000000" w:themeColor="text1"/>
          <w:szCs w:val="22"/>
        </w:rPr>
        <w:t xml:space="preserve"> nadomesti s številom </w:t>
      </w:r>
      <w:r>
        <w:rPr>
          <w:rFonts w:cs="Arial"/>
          <w:color w:val="000000" w:themeColor="text1"/>
          <w:szCs w:val="22"/>
        </w:rPr>
        <w:t>»</w:t>
      </w:r>
      <w:r w:rsidRPr="00825F92">
        <w:rPr>
          <w:rFonts w:cs="Arial"/>
          <w:color w:val="000000" w:themeColor="text1"/>
          <w:szCs w:val="22"/>
        </w:rPr>
        <w:t>80</w:t>
      </w:r>
      <w:r>
        <w:rPr>
          <w:rFonts w:cs="Arial"/>
          <w:color w:val="000000" w:themeColor="text1"/>
          <w:szCs w:val="22"/>
        </w:rPr>
        <w:t>«</w:t>
      </w:r>
      <w:r w:rsidRPr="00825F92">
        <w:rPr>
          <w:rFonts w:cs="Arial"/>
          <w:color w:val="000000" w:themeColor="text1"/>
          <w:szCs w:val="22"/>
        </w:rPr>
        <w:t>.</w:t>
      </w: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3778F" w:rsidRDefault="007349BB" w:rsidP="00825F9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 xml:space="preserve">PREHODNA IN </w:t>
      </w:r>
      <w:r w:rsidR="00F3778F">
        <w:rPr>
          <w:rFonts w:cs="Arial"/>
          <w:color w:val="000000" w:themeColor="text1"/>
          <w:szCs w:val="22"/>
        </w:rPr>
        <w:t>KONČN</w:t>
      </w:r>
      <w:r>
        <w:rPr>
          <w:rFonts w:cs="Arial"/>
          <w:color w:val="000000" w:themeColor="text1"/>
          <w:szCs w:val="22"/>
        </w:rPr>
        <w:t>I</w:t>
      </w:r>
      <w:r w:rsidR="00F3778F">
        <w:rPr>
          <w:rFonts w:cs="Arial"/>
          <w:color w:val="000000" w:themeColor="text1"/>
          <w:szCs w:val="22"/>
        </w:rPr>
        <w:t xml:space="preserve"> DOLOČB</w:t>
      </w:r>
      <w:r>
        <w:rPr>
          <w:rFonts w:cs="Arial"/>
          <w:color w:val="000000" w:themeColor="text1"/>
          <w:szCs w:val="22"/>
        </w:rPr>
        <w:t>I</w:t>
      </w:r>
    </w:p>
    <w:p w:rsidR="00F3778F" w:rsidRDefault="00F3778F" w:rsidP="00825F9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825F92">
        <w:rPr>
          <w:rFonts w:cs="Arial"/>
          <w:color w:val="000000" w:themeColor="text1"/>
          <w:szCs w:val="22"/>
        </w:rPr>
        <w:t>3. člen</w:t>
      </w: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825F92">
        <w:rPr>
          <w:rFonts w:cs="Arial"/>
          <w:color w:val="000000" w:themeColor="text1"/>
          <w:szCs w:val="22"/>
        </w:rPr>
        <w:t>(1) Ta zakon začne veljati naslednji dan po objavi v Uradnem listu Republike Slovenije in se uporablja za davčna leta, ki se začnejo od vključno 1. januarja 2015.</w:t>
      </w:r>
    </w:p>
    <w:p w:rsidR="00825F92" w:rsidRP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825F92">
        <w:rPr>
          <w:rFonts w:cs="Arial"/>
          <w:color w:val="000000" w:themeColor="text1"/>
          <w:szCs w:val="22"/>
        </w:rPr>
        <w:t>(2) Ne glede na določbo prvega odstavka tega člena, se za davčno leto 2014 uporablja Zakon o davku od dohodkov pravnih oseb (Uradni list RS, št. 117/06, 56/08, 76/08,</w:t>
      </w:r>
      <w:r w:rsidR="00F3778F">
        <w:rPr>
          <w:rFonts w:cs="Arial"/>
          <w:color w:val="000000" w:themeColor="text1"/>
          <w:szCs w:val="22"/>
        </w:rPr>
        <w:t xml:space="preserve"> </w:t>
      </w:r>
      <w:r w:rsidRPr="00825F92">
        <w:rPr>
          <w:rFonts w:cs="Arial"/>
          <w:color w:val="000000" w:themeColor="text1"/>
          <w:szCs w:val="22"/>
        </w:rPr>
        <w:t xml:space="preserve">5/09, 96/09, 110/09 </w:t>
      </w:r>
      <w:r>
        <w:rPr>
          <w:rFonts w:cs="Arial"/>
          <w:color w:val="000000" w:themeColor="text1"/>
          <w:szCs w:val="22"/>
        </w:rPr>
        <w:t>–</w:t>
      </w:r>
      <w:r w:rsidRPr="00825F92">
        <w:rPr>
          <w:rFonts w:cs="Arial"/>
          <w:color w:val="000000" w:themeColor="text1"/>
          <w:szCs w:val="22"/>
        </w:rPr>
        <w:t xml:space="preserve"> ZDavP-2B, 43/10, 59/11, 24/12, 30/12, 94/12</w:t>
      </w:r>
      <w:r w:rsidR="00F3778F">
        <w:rPr>
          <w:rFonts w:cs="Arial"/>
          <w:color w:val="000000" w:themeColor="text1"/>
          <w:szCs w:val="22"/>
        </w:rPr>
        <w:t xml:space="preserve"> in </w:t>
      </w:r>
      <w:r w:rsidRPr="00825F92">
        <w:rPr>
          <w:rFonts w:cs="Arial"/>
          <w:color w:val="000000" w:themeColor="text1"/>
          <w:szCs w:val="22"/>
        </w:rPr>
        <w:t>81/13).</w:t>
      </w:r>
    </w:p>
    <w:p w:rsidR="00825F92" w:rsidRDefault="00825F92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2703A" w:rsidRDefault="0092703A" w:rsidP="00825F9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2703A" w:rsidRDefault="0092703A" w:rsidP="0092703A">
      <w:pPr>
        <w:tabs>
          <w:tab w:val="left" w:pos="567"/>
          <w:tab w:val="left" w:pos="993"/>
        </w:tabs>
        <w:spacing w:line="240" w:lineRule="auto"/>
      </w:pPr>
      <w:r>
        <w:t xml:space="preserve">Številka: </w:t>
      </w:r>
      <w:r w:rsidRPr="00825F92">
        <w:t>435-02/14-2/</w:t>
      </w:r>
    </w:p>
    <w:p w:rsidR="0092703A" w:rsidRDefault="0092703A" w:rsidP="0092703A">
      <w:pPr>
        <w:tabs>
          <w:tab w:val="left" w:pos="567"/>
          <w:tab w:val="left" w:pos="993"/>
        </w:tabs>
        <w:spacing w:line="240" w:lineRule="auto"/>
      </w:pPr>
      <w:r>
        <w:t>Datum: 20. junij 2014</w:t>
      </w:r>
    </w:p>
    <w:p w:rsidR="0092703A" w:rsidRPr="00ED0A8E" w:rsidRDefault="0092703A" w:rsidP="0092703A">
      <w:pPr>
        <w:tabs>
          <w:tab w:val="left" w:pos="567"/>
          <w:tab w:val="left" w:pos="993"/>
          <w:tab w:val="left" w:pos="6521"/>
        </w:tabs>
        <w:spacing w:line="240" w:lineRule="auto"/>
        <w:rPr>
          <w:szCs w:val="22"/>
        </w:rPr>
      </w:pPr>
      <w:r w:rsidRPr="00825F92">
        <w:t>EPA 1925-VI</w:t>
      </w:r>
      <w:r>
        <w:tab/>
      </w:r>
      <w:r w:rsidRPr="00ED0A8E">
        <w:rPr>
          <w:szCs w:val="22"/>
        </w:rPr>
        <w:t>Državni zbor</w:t>
      </w:r>
    </w:p>
    <w:p w:rsidR="0092703A" w:rsidRDefault="0092703A" w:rsidP="0092703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92703A" w:rsidRPr="00825F92" w:rsidRDefault="0092703A" w:rsidP="0092703A">
      <w:pPr>
        <w:tabs>
          <w:tab w:val="left" w:pos="6521"/>
        </w:tabs>
        <w:rPr>
          <w:rFonts w:cs="Arial"/>
          <w:color w:val="000000" w:themeColor="text1"/>
          <w:szCs w:val="22"/>
        </w:rPr>
      </w:pPr>
      <w:r w:rsidRPr="00ED0A8E">
        <w:rPr>
          <w:szCs w:val="22"/>
        </w:rPr>
        <w:tab/>
        <w:t>predsednik</w:t>
      </w:r>
    </w:p>
    <w:sectPr w:rsidR="0092703A" w:rsidRPr="00825F92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92703A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D2A05"/>
    <w:multiLevelType w:val="hybridMultilevel"/>
    <w:tmpl w:val="3F58A822"/>
    <w:lvl w:ilvl="0" w:tplc="B914C3F6">
      <w:numFmt w:val="bullet"/>
      <w:lvlText w:val="-"/>
      <w:lvlJc w:val="left"/>
      <w:pPr>
        <w:ind w:left="570" w:hanging="57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5D2E48"/>
    <w:multiLevelType w:val="hybridMultilevel"/>
    <w:tmpl w:val="6FB6044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0D6A56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1D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49BB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25F92"/>
    <w:rsid w:val="00851522"/>
    <w:rsid w:val="00856008"/>
    <w:rsid w:val="00856C95"/>
    <w:rsid w:val="008B2D3C"/>
    <w:rsid w:val="008B5E78"/>
    <w:rsid w:val="008C4247"/>
    <w:rsid w:val="009121AD"/>
    <w:rsid w:val="009156F9"/>
    <w:rsid w:val="0092703A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3778F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12</TotalTime>
  <Pages>1</Pages>
  <Words>335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7</cp:revision>
  <cp:lastPrinted>2014-06-26T12:11:00Z</cp:lastPrinted>
  <dcterms:created xsi:type="dcterms:W3CDTF">2014-06-17T09:10:00Z</dcterms:created>
  <dcterms:modified xsi:type="dcterms:W3CDTF">2014-06-26T12:12:00Z</dcterms:modified>
</cp:coreProperties>
</file>