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8C6" w:rsidRDefault="000768C6" w:rsidP="007E69F2">
      <w:pPr>
        <w:tabs>
          <w:tab w:val="left" w:pos="567"/>
          <w:tab w:val="left" w:pos="993"/>
        </w:tabs>
        <w:spacing w:line="240" w:lineRule="auto"/>
      </w:pPr>
      <w:bookmarkStart w:id="0" w:name="_GoBack"/>
      <w:bookmarkEnd w:id="0"/>
      <w:r>
        <w:t xml:space="preserve">Številka: </w:t>
      </w:r>
      <w:r w:rsidRPr="000768C6">
        <w:t>435-04/14-21/</w:t>
      </w:r>
      <w:r>
        <w:tab/>
      </w:r>
      <w:r>
        <w:tab/>
      </w:r>
      <w:r w:rsidRPr="000768C6">
        <w:t>EPA 1857-VI</w:t>
      </w: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</w:pPr>
      <w:r>
        <w:t>Datum:</w:t>
      </w:r>
      <w:r w:rsidR="00945C67">
        <w:t xml:space="preserve"> 27. marec 2014</w:t>
      </w: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</w:pP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t>DRŽAVNI ZBOR JE NA SEJI DNE</w:t>
      </w:r>
      <w:r w:rsidR="00945C67">
        <w:t xml:space="preserve"> 27. 3. 2014 </w:t>
      </w:r>
      <w:r>
        <w:t xml:space="preserve">SPREJEL </w:t>
      </w:r>
      <w:r w:rsidRPr="000768C6">
        <w:rPr>
          <w:rFonts w:cs="Arial"/>
          <w:color w:val="000000" w:themeColor="text1"/>
          <w:szCs w:val="22"/>
        </w:rPr>
        <w:t>ZAKON</w:t>
      </w:r>
      <w:r>
        <w:rPr>
          <w:rFonts w:cs="Arial"/>
          <w:color w:val="000000" w:themeColor="text1"/>
          <w:szCs w:val="22"/>
        </w:rPr>
        <w:t xml:space="preserve"> </w:t>
      </w:r>
      <w:r w:rsidRPr="000768C6">
        <w:rPr>
          <w:rFonts w:cs="Arial"/>
          <w:color w:val="000000" w:themeColor="text1"/>
          <w:szCs w:val="22"/>
        </w:rPr>
        <w:t>O</w:t>
      </w:r>
      <w:r>
        <w:rPr>
          <w:rFonts w:cs="Arial"/>
          <w:color w:val="000000" w:themeColor="text1"/>
          <w:szCs w:val="22"/>
        </w:rPr>
        <w:t xml:space="preserve"> </w:t>
      </w:r>
      <w:r w:rsidRPr="000768C6">
        <w:rPr>
          <w:rFonts w:cs="Arial"/>
          <w:color w:val="000000" w:themeColor="text1"/>
          <w:szCs w:val="22"/>
        </w:rPr>
        <w:t>SPREMEMBAH ZAKONA O DAVKU NA NEPREMIČNINE (</w:t>
      </w:r>
      <w:proofErr w:type="spellStart"/>
      <w:r w:rsidRPr="000768C6">
        <w:rPr>
          <w:rFonts w:cs="Arial"/>
          <w:color w:val="000000" w:themeColor="text1"/>
          <w:szCs w:val="22"/>
        </w:rPr>
        <w:t>ZDavNepr</w:t>
      </w:r>
      <w:proofErr w:type="spellEnd"/>
      <w:r w:rsidRPr="000768C6">
        <w:rPr>
          <w:rFonts w:cs="Arial"/>
          <w:color w:val="000000" w:themeColor="text1"/>
          <w:szCs w:val="22"/>
        </w:rPr>
        <w:t>-</w:t>
      </w:r>
      <w:r>
        <w:rPr>
          <w:rFonts w:cs="Arial"/>
          <w:color w:val="000000" w:themeColor="text1"/>
          <w:szCs w:val="22"/>
        </w:rPr>
        <w:t>A</w:t>
      </w:r>
      <w:r w:rsidRPr="000768C6">
        <w:rPr>
          <w:rFonts w:cs="Arial"/>
          <w:color w:val="000000" w:themeColor="text1"/>
          <w:szCs w:val="22"/>
        </w:rPr>
        <w:t>)</w:t>
      </w:r>
      <w:r>
        <w:rPr>
          <w:rFonts w:cs="Arial"/>
          <w:color w:val="000000" w:themeColor="text1"/>
          <w:szCs w:val="22"/>
        </w:rPr>
        <w:t xml:space="preserve"> V NASLEDNJEM BESEDILU:</w:t>
      </w: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58"/>
          <w:szCs w:val="22"/>
        </w:rPr>
      </w:pPr>
      <w:r w:rsidRPr="000768C6">
        <w:rPr>
          <w:rFonts w:cs="Arial"/>
          <w:b/>
          <w:color w:val="000000" w:themeColor="text1"/>
          <w:spacing w:val="58"/>
          <w:szCs w:val="22"/>
        </w:rPr>
        <w:t>ZAKON</w:t>
      </w: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0768C6">
        <w:rPr>
          <w:rFonts w:cs="Arial"/>
          <w:b/>
          <w:color w:val="000000" w:themeColor="text1"/>
          <w:szCs w:val="22"/>
        </w:rPr>
        <w:t>O SPREMEMBAH ZAKONA O DAVKU NA NEPREMIČNINE (</w:t>
      </w:r>
      <w:proofErr w:type="spellStart"/>
      <w:r w:rsidRPr="000768C6">
        <w:rPr>
          <w:rFonts w:cs="Arial"/>
          <w:b/>
          <w:color w:val="000000" w:themeColor="text1"/>
          <w:szCs w:val="22"/>
        </w:rPr>
        <w:t>ZDavNepr</w:t>
      </w:r>
      <w:proofErr w:type="spellEnd"/>
      <w:r w:rsidRPr="000768C6">
        <w:rPr>
          <w:rFonts w:cs="Arial"/>
          <w:b/>
          <w:color w:val="000000" w:themeColor="text1"/>
          <w:szCs w:val="22"/>
        </w:rPr>
        <w:t>-</w:t>
      </w:r>
      <w:r>
        <w:rPr>
          <w:rFonts w:cs="Arial"/>
          <w:b/>
          <w:color w:val="000000" w:themeColor="text1"/>
          <w:szCs w:val="22"/>
        </w:rPr>
        <w:t>A</w:t>
      </w:r>
      <w:r w:rsidRPr="000768C6">
        <w:rPr>
          <w:rFonts w:cs="Arial"/>
          <w:b/>
          <w:color w:val="000000" w:themeColor="text1"/>
          <w:szCs w:val="22"/>
        </w:rPr>
        <w:t>)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768C6">
        <w:rPr>
          <w:rFonts w:cs="Arial"/>
          <w:color w:val="000000" w:themeColor="text1"/>
          <w:szCs w:val="22"/>
        </w:rPr>
        <w:t>1. člen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Zakonu o davku na nepremičnine (Uradni list RS, št. 101/13) se v drugem odstavku 6. člena v 1. točki v prvi alineji beseda »rezidenčne« in druga alineja</w:t>
      </w:r>
      <w:r w:rsidR="00945C67">
        <w:rPr>
          <w:rFonts w:cs="Arial"/>
          <w:color w:val="000000" w:themeColor="text1"/>
          <w:szCs w:val="22"/>
        </w:rPr>
        <w:t xml:space="preserve"> črtata</w:t>
      </w:r>
      <w:r w:rsidR="007E69F2">
        <w:rPr>
          <w:rFonts w:cs="Arial"/>
          <w:color w:val="000000" w:themeColor="text1"/>
          <w:szCs w:val="22"/>
        </w:rPr>
        <w:t>, tretja alineja pa se spremeni tako, da se glasi:</w:t>
      </w:r>
    </w:p>
    <w:p w:rsidR="007E69F2" w:rsidRPr="007E69F2" w:rsidRDefault="007E69F2" w:rsidP="007E69F2">
      <w:pPr>
        <w:tabs>
          <w:tab w:val="left" w:pos="567"/>
          <w:tab w:val="left" w:pos="993"/>
        </w:tabs>
        <w:spacing w:line="240" w:lineRule="auto"/>
      </w:pPr>
      <w:r w:rsidRPr="007E69F2">
        <w:t>»</w:t>
      </w:r>
      <w:r>
        <w:t>-</w:t>
      </w:r>
      <w:r>
        <w:tab/>
      </w:r>
      <w:r w:rsidRPr="007E69F2">
        <w:t xml:space="preserve">0,59 % za poslovne in industrijske nepremičnine, razen energetskih </w:t>
      </w:r>
      <w:r>
        <w:tab/>
      </w:r>
      <w:r w:rsidRPr="007E69F2">
        <w:t>nepremičnin;«</w:t>
      </w:r>
      <w:r>
        <w:t>.</w:t>
      </w:r>
      <w:r w:rsidRPr="007E69F2">
        <w:t xml:space="preserve"> </w:t>
      </w:r>
    </w:p>
    <w:p w:rsidR="007E69F2" w:rsidRDefault="007E69F2" w:rsidP="007E69F2">
      <w:pPr>
        <w:tabs>
          <w:tab w:val="left" w:pos="567"/>
          <w:tab w:val="left" w:pos="993"/>
        </w:tabs>
        <w:spacing w:line="240" w:lineRule="auto"/>
      </w:pPr>
    </w:p>
    <w:p w:rsidR="007E69F2" w:rsidRPr="007E69F2" w:rsidRDefault="007E69F2" w:rsidP="007E69F2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7E69F2">
        <w:t>V 2. točki</w:t>
      </w:r>
      <w:r>
        <w:t xml:space="preserve"> </w:t>
      </w:r>
      <w:r w:rsidRPr="007E69F2">
        <w:t>se tretja alineja spremeni tako, da se glasi:</w:t>
      </w:r>
    </w:p>
    <w:p w:rsidR="007E69F2" w:rsidRPr="007E69F2" w:rsidRDefault="007E69F2" w:rsidP="007E69F2">
      <w:pPr>
        <w:tabs>
          <w:tab w:val="left" w:pos="567"/>
          <w:tab w:val="left" w:pos="993"/>
        </w:tabs>
        <w:spacing w:line="240" w:lineRule="auto"/>
      </w:pPr>
      <w:r w:rsidRPr="007E69F2">
        <w:t>»</w:t>
      </w:r>
      <w:r>
        <w:t>-</w:t>
      </w:r>
      <w:r>
        <w:tab/>
      </w:r>
      <w:r w:rsidRPr="007E69F2">
        <w:t>0,59 % za zemljišča za po</w:t>
      </w:r>
      <w:r>
        <w:t>slovno in industrijsko rabo;«.</w:t>
      </w:r>
    </w:p>
    <w:p w:rsidR="00945C67" w:rsidRPr="000768C6" w:rsidRDefault="00945C67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45C67">
        <w:rPr>
          <w:rFonts w:cs="Arial"/>
          <w:color w:val="000000" w:themeColor="text1"/>
          <w:szCs w:val="22"/>
        </w:rPr>
        <w:t>T</w:t>
      </w:r>
      <w:r w:rsidRPr="000768C6">
        <w:rPr>
          <w:rFonts w:cs="Arial"/>
          <w:color w:val="000000" w:themeColor="text1"/>
          <w:szCs w:val="22"/>
        </w:rPr>
        <w:t>retji odstavek</w:t>
      </w:r>
      <w:r w:rsidR="00945C67">
        <w:rPr>
          <w:rFonts w:cs="Arial"/>
          <w:color w:val="000000" w:themeColor="text1"/>
          <w:szCs w:val="22"/>
        </w:rPr>
        <w:t xml:space="preserve"> se črta</w:t>
      </w:r>
      <w:r w:rsidRPr="000768C6">
        <w:rPr>
          <w:rFonts w:cs="Arial"/>
          <w:color w:val="000000" w:themeColor="text1"/>
          <w:szCs w:val="22"/>
        </w:rPr>
        <w:t>.</w:t>
      </w:r>
    </w:p>
    <w:p w:rsidR="00945C67" w:rsidRPr="000768C6" w:rsidRDefault="00945C67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četrtem odstavku, ki postane tretji odstavek, se besedilo »rezidenčne in nerezidenčne«</w:t>
      </w:r>
      <w:r w:rsidR="00945C67">
        <w:rPr>
          <w:rFonts w:cs="Arial"/>
          <w:color w:val="000000" w:themeColor="text1"/>
          <w:szCs w:val="22"/>
        </w:rPr>
        <w:t xml:space="preserve"> črta</w:t>
      </w:r>
      <w:r w:rsidRPr="000768C6">
        <w:rPr>
          <w:rFonts w:cs="Arial"/>
          <w:color w:val="000000" w:themeColor="text1"/>
          <w:szCs w:val="22"/>
        </w:rPr>
        <w:t>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petem odstavku, ki postane četrti odstavek, se beseda »četrtem« nadomesti z besedo »tretjem«.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Dosedanji šesti odstavek postane peti odstavek.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sedmem odstavku, ki postane šesti odstavek, se</w:t>
      </w:r>
      <w:r w:rsidR="00945C67">
        <w:rPr>
          <w:rFonts w:cs="Arial"/>
          <w:color w:val="000000" w:themeColor="text1"/>
          <w:szCs w:val="22"/>
        </w:rPr>
        <w:t xml:space="preserve"> </w:t>
      </w:r>
      <w:r w:rsidRPr="000768C6">
        <w:rPr>
          <w:rFonts w:cs="Arial"/>
          <w:color w:val="000000" w:themeColor="text1"/>
          <w:szCs w:val="22"/>
        </w:rPr>
        <w:t xml:space="preserve">beseda »peti« nadomesti z besedo »četrti«.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osmem odstavku, ki postane sedmi odstavek, se</w:t>
      </w:r>
      <w:r w:rsidR="00945C67">
        <w:rPr>
          <w:rFonts w:cs="Arial"/>
          <w:color w:val="000000" w:themeColor="text1"/>
          <w:szCs w:val="22"/>
        </w:rPr>
        <w:t xml:space="preserve"> </w:t>
      </w:r>
      <w:r w:rsidRPr="000768C6">
        <w:rPr>
          <w:rFonts w:cs="Arial"/>
          <w:color w:val="000000" w:themeColor="text1"/>
          <w:szCs w:val="22"/>
        </w:rPr>
        <w:t xml:space="preserve">beseda »petega« nadomesti z besedo »četrtega«.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Dosedanja deveti in deseti odstavek postaneta osmi in deveti odstavek.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 xml:space="preserve">V dosedanjem enajstem odstavku, ki postane deseti odstavek, se beseda »devetim« nadomesti z besedo »osmim« in besedilo »devetega in desetega« nadomesti z besedilom »osmega in devetega«.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768C6">
        <w:rPr>
          <w:rFonts w:cs="Arial"/>
          <w:color w:val="000000" w:themeColor="text1"/>
          <w:szCs w:val="22"/>
        </w:rPr>
        <w:t>2. člen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prvem odstavku 7. člena se beseda »rezidenčne«</w:t>
      </w:r>
      <w:r w:rsidR="00945C67">
        <w:rPr>
          <w:rFonts w:cs="Arial"/>
          <w:color w:val="000000" w:themeColor="text1"/>
          <w:szCs w:val="22"/>
        </w:rPr>
        <w:t xml:space="preserve"> črta, </w:t>
      </w:r>
      <w:r w:rsidRPr="000768C6">
        <w:rPr>
          <w:rFonts w:cs="Arial"/>
          <w:color w:val="000000" w:themeColor="text1"/>
          <w:szCs w:val="22"/>
        </w:rPr>
        <w:t xml:space="preserve">beseda »četrtega« </w:t>
      </w:r>
      <w:r w:rsidR="00945C67">
        <w:rPr>
          <w:rFonts w:cs="Arial"/>
          <w:color w:val="000000" w:themeColor="text1"/>
          <w:szCs w:val="22"/>
        </w:rPr>
        <w:t xml:space="preserve">pa </w:t>
      </w:r>
      <w:r w:rsidRPr="000768C6">
        <w:rPr>
          <w:rFonts w:cs="Arial"/>
          <w:color w:val="000000" w:themeColor="text1"/>
          <w:szCs w:val="22"/>
        </w:rPr>
        <w:t xml:space="preserve">nadomesti z besedo »tretjega«.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768C6">
        <w:rPr>
          <w:rFonts w:cs="Arial"/>
          <w:color w:val="000000" w:themeColor="text1"/>
          <w:szCs w:val="22"/>
        </w:rPr>
        <w:t>3. člen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prvi alineji 9. člena se beseda »četrtega« nadomesti z besedo »tretjega« in besedilo »petim, šestim in sedmim« nadomesti z besedilom »četrtim, petim in šestim«.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drugi alineji se beseda »četrtega« nadomesti z besedo »tretjega«.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768C6">
        <w:rPr>
          <w:rFonts w:cs="Arial"/>
          <w:color w:val="000000" w:themeColor="text1"/>
          <w:szCs w:val="22"/>
        </w:rPr>
        <w:t>4. člen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prvem odstavku 17. člena se 2. točka</w:t>
      </w:r>
      <w:r w:rsidR="00945C67">
        <w:rPr>
          <w:rFonts w:cs="Arial"/>
          <w:color w:val="000000" w:themeColor="text1"/>
          <w:szCs w:val="22"/>
        </w:rPr>
        <w:t xml:space="preserve"> črta</w:t>
      </w:r>
      <w:r w:rsidRPr="000768C6">
        <w:rPr>
          <w:rFonts w:cs="Arial"/>
          <w:color w:val="000000" w:themeColor="text1"/>
          <w:szCs w:val="22"/>
        </w:rPr>
        <w:t>, dosedanje 3. do 16. točka pa postanejo 2. do  15. točka.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945C67">
        <w:rPr>
          <w:rFonts w:cs="Arial"/>
          <w:color w:val="000000" w:themeColor="text1"/>
          <w:szCs w:val="22"/>
        </w:rPr>
        <w:t>T</w:t>
      </w:r>
      <w:r w:rsidRPr="000768C6">
        <w:rPr>
          <w:rFonts w:cs="Arial"/>
          <w:color w:val="000000" w:themeColor="text1"/>
          <w:szCs w:val="22"/>
        </w:rPr>
        <w:t>retji odstavek</w:t>
      </w:r>
      <w:r w:rsidR="00945C67">
        <w:rPr>
          <w:rFonts w:cs="Arial"/>
          <w:color w:val="000000" w:themeColor="text1"/>
          <w:szCs w:val="22"/>
        </w:rPr>
        <w:t xml:space="preserve"> se črta.</w:t>
      </w:r>
      <w:r w:rsidRPr="000768C6">
        <w:rPr>
          <w:rFonts w:cs="Arial"/>
          <w:color w:val="000000" w:themeColor="text1"/>
          <w:szCs w:val="22"/>
        </w:rPr>
        <w:t xml:space="preserve">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četrtem odstavku, ki postane tretji odstavek, se besedilo »1., 2. in 8. točke« nadomesti z besedilom »1. in 7. točke«.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petem odstavku, ki postane četrti odstavek, se besedilo »3. točke« nadomesti z besedilom »2. točke«.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šestem odstavku, ki postane peti odstavek, se besedilo »4. točke« nadomesti z besedilom »3. točke«.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sedmem odstavku, ki postane šesti odstavek, se besedilo »5., 6. in 7. točke« nadomesti z besedilom »4., 5. in 6. točke«.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osmem odstavku, ki postane sedmi odstavek, se besedilo »9. točke« nadomesti z besedilom »8. točke«.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devetem odstavku, ki postane osmi odstavek, se besedilo »10. točke« nadomesti z besedilom »9. točke«.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desetem odstavku, ki postane deveti odstavek, se besedilo »11. točke« nadomesti z besedilom  »10. točke«.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enajstem odstavku, ki postane deseti odstavek, se besedilo »12. točke« nadomesti z besedilom »11. točke«.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dvanajstem odstavku, ki postane enajsti odstavek, se besedilo »13. točke« nadomesti z besedilom »12. točke«.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trinajstem odstavku, ki postane dvanajsti odstavek, se besedilo »14. točke« nadomesti z besedilom »13. točke«.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štirinajstem odstavku, ki postane trinajsti odstavek, se besedilo »15. in 16. točke« nadomesti z besedilom »14. in 15. točke«.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lastRenderedPageBreak/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 xml:space="preserve">Dosedanji petnajsti do osemnajsti odstavek postanejo štirinajsti do sedemnajsti odstavek.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dosedanjem devetnajstem odstavku, ki postane osemnajsti odstavek, se besedilo »2., 5., 6., 7., 11. in 13. točke ter podatka o davčni številki agrarne skupnosti iz 12. točke« nadomesti z besedilom »4., 5., 6., 10. in 12. točke ter podatka o davčni številki agrarne skupnosti iz 11. točke«.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768C6">
        <w:rPr>
          <w:rFonts w:cs="Arial"/>
          <w:color w:val="000000" w:themeColor="text1"/>
          <w:szCs w:val="22"/>
        </w:rPr>
        <w:t>5. člen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 xml:space="preserve">V prvem odstavku 24. člena se beseda »četrtega« nadomesti z besedo »tretjega«.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V drugem odstavku se beseda »četrtega« nadomesti z besedo »tretjega« in beseda »petim« z besedo »četrtim«.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768C6">
        <w:rPr>
          <w:rFonts w:cs="Arial"/>
          <w:color w:val="000000" w:themeColor="text1"/>
          <w:szCs w:val="22"/>
        </w:rPr>
        <w:t>6. člen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 xml:space="preserve">V tretjem odstavku 27. člena se besedilo »1. aprila 2014« nadomesti z besedilom »1. maja 2014«.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768C6">
        <w:rPr>
          <w:rFonts w:cs="Arial"/>
          <w:color w:val="000000" w:themeColor="text1"/>
          <w:szCs w:val="22"/>
        </w:rPr>
        <w:t>7. člen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28. člen</w:t>
      </w:r>
      <w:r>
        <w:rPr>
          <w:rFonts w:cs="Arial"/>
          <w:color w:val="000000" w:themeColor="text1"/>
          <w:szCs w:val="22"/>
        </w:rPr>
        <w:t xml:space="preserve"> se spremeni tako, da se glasi: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768C6">
        <w:rPr>
          <w:rFonts w:cs="Arial"/>
          <w:color w:val="000000" w:themeColor="text1"/>
          <w:szCs w:val="22"/>
        </w:rPr>
        <w:t>»28. člen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768C6">
        <w:rPr>
          <w:rFonts w:cs="Arial"/>
          <w:color w:val="000000" w:themeColor="text1"/>
          <w:szCs w:val="22"/>
        </w:rPr>
        <w:t>(odmera, vročitev in plačilo davka v letu 2014)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(1)</w:t>
      </w:r>
      <w:r>
        <w:rPr>
          <w:rFonts w:cs="Arial"/>
          <w:color w:val="000000" w:themeColor="text1"/>
          <w:szCs w:val="22"/>
        </w:rPr>
        <w:t xml:space="preserve"> </w:t>
      </w:r>
      <w:r w:rsidRPr="000768C6">
        <w:rPr>
          <w:rFonts w:cs="Arial"/>
          <w:color w:val="000000" w:themeColor="text1"/>
          <w:szCs w:val="22"/>
        </w:rPr>
        <w:t xml:space="preserve">Ne glede na 3. in 5. člen ter prvi odstavek 10. člena tega zakona se davek za leto 2014 odmeri za nepremičnine, ki so določene ali bi morale biti določene v registru nepremičnin na dan 1. maja 2014, ob upoštevanju podatkov o nepremičninah na dan 1. maja 2014 in od davčne osnove, ki je posplošena tržna vrednost nepremičnine, ugotovljena s predpisi o množičnem vrednotenju nepremičnin in pripisana nepremičnini v registru nepremičnin 1. maja 2014. Ne glede na 4. člen tega zakona se davek za leto 2014 odmeri osebam, ki so na dan 1. maja 2014 evidentirane v registru nepremičnin in evidenci trga nepremičnin kot zavezanci.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(2)</w:t>
      </w:r>
      <w:r>
        <w:rPr>
          <w:rFonts w:cs="Arial"/>
          <w:color w:val="000000" w:themeColor="text1"/>
          <w:szCs w:val="22"/>
        </w:rPr>
        <w:t xml:space="preserve"> </w:t>
      </w:r>
      <w:r w:rsidRPr="000768C6">
        <w:rPr>
          <w:rFonts w:cs="Arial"/>
          <w:color w:val="000000" w:themeColor="text1"/>
          <w:szCs w:val="22"/>
        </w:rPr>
        <w:t xml:space="preserve">Ne glede na prejšnji odstavek se kot davčna osnova za stanovanjske nepremičnine za leto 2014 upošteva 80 % posplošene tržne vrednosti nepremičnin.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(3)</w:t>
      </w:r>
      <w:r>
        <w:rPr>
          <w:rFonts w:cs="Arial"/>
          <w:color w:val="000000" w:themeColor="text1"/>
          <w:szCs w:val="22"/>
        </w:rPr>
        <w:t xml:space="preserve"> </w:t>
      </w:r>
      <w:r w:rsidRPr="000768C6">
        <w:rPr>
          <w:rFonts w:cs="Arial"/>
          <w:color w:val="000000" w:themeColor="text1"/>
          <w:szCs w:val="22"/>
        </w:rPr>
        <w:t xml:space="preserve">Ne glede na drugi odstavek 10. člena tega zakona se davek za leto 2014 odmeri z odločbo, ki jo izda davčni organ po uradni dolžnosti najkasneje do 15. julija 2014.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(4)</w:t>
      </w:r>
      <w:r>
        <w:rPr>
          <w:rFonts w:cs="Arial"/>
          <w:color w:val="000000" w:themeColor="text1"/>
          <w:szCs w:val="22"/>
        </w:rPr>
        <w:t xml:space="preserve"> </w:t>
      </w:r>
      <w:r w:rsidRPr="000768C6">
        <w:rPr>
          <w:rFonts w:cs="Arial"/>
          <w:color w:val="000000" w:themeColor="text1"/>
          <w:szCs w:val="22"/>
        </w:rPr>
        <w:t xml:space="preserve">Ne glede na četrti odstavek 12. člena tega zakona mora davčni zavezanec v primeru, če do 31. julija 2014 ni prejel odločbe, ki se vroča z navadno vročitvijo, o tem najkasneje do 15. avgusta 2014 obvestiti davčni organ, s čimer izpodbija domnevo vročitve po zakonu, ki ureja davčni postopek. Davčni organ takemu zavezancu vroči odločbo o odmeri davka z osebno vročitvijo najkasneje do 31. avgusta 2014.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(5)</w:t>
      </w:r>
      <w:r>
        <w:rPr>
          <w:rFonts w:cs="Arial"/>
          <w:color w:val="000000" w:themeColor="text1"/>
          <w:szCs w:val="22"/>
        </w:rPr>
        <w:t xml:space="preserve"> </w:t>
      </w:r>
      <w:r w:rsidRPr="000768C6">
        <w:rPr>
          <w:rFonts w:cs="Arial"/>
          <w:color w:val="000000" w:themeColor="text1"/>
          <w:szCs w:val="22"/>
        </w:rPr>
        <w:t xml:space="preserve">Ne glede na prvi stavek prvega odstavek 13. člena tega zakona plačujejo v letu 2014 fizične osebe davek v največ štirih obrokih, od katerih prvi zapade v plačilo </w:t>
      </w:r>
      <w:r w:rsidRPr="000768C6">
        <w:rPr>
          <w:rFonts w:cs="Arial"/>
          <w:color w:val="000000" w:themeColor="text1"/>
          <w:szCs w:val="22"/>
        </w:rPr>
        <w:lastRenderedPageBreak/>
        <w:t xml:space="preserve">30. septembra 2014, drugi 31. oktobra 2014, tretji  30. novembra 2014 in četrti 20. decembra 2014.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(6)</w:t>
      </w:r>
      <w:r>
        <w:rPr>
          <w:rFonts w:cs="Arial"/>
          <w:color w:val="000000" w:themeColor="text1"/>
          <w:szCs w:val="22"/>
        </w:rPr>
        <w:t xml:space="preserve"> </w:t>
      </w:r>
      <w:r w:rsidRPr="000768C6">
        <w:rPr>
          <w:rFonts w:cs="Arial"/>
          <w:color w:val="000000" w:themeColor="text1"/>
          <w:szCs w:val="22"/>
        </w:rPr>
        <w:t xml:space="preserve">Ne glede na drugi odstavek 13. člena tega zakona plačujejo v letu 2014 pravne osebe davek v največ štirih obrokih, od katerih prvi zapade v plačilo 30. septembra 2014, drugi 31. oktobra 2014, tretji  30. novembra 2014 in četrti 20. decembra 2014. Davek se plačuje v dveh enakih obrokih, če znesek davka za plačilo ne presega 4.000 </w:t>
      </w:r>
      <w:proofErr w:type="spellStart"/>
      <w:r w:rsidRPr="000768C6">
        <w:rPr>
          <w:rFonts w:cs="Arial"/>
          <w:color w:val="000000" w:themeColor="text1"/>
          <w:szCs w:val="22"/>
        </w:rPr>
        <w:t>eurov</w:t>
      </w:r>
      <w:proofErr w:type="spellEnd"/>
      <w:r w:rsidRPr="000768C6">
        <w:rPr>
          <w:rFonts w:cs="Arial"/>
          <w:color w:val="000000" w:themeColor="text1"/>
          <w:szCs w:val="22"/>
        </w:rPr>
        <w:t xml:space="preserve">, v treh enakih obrokih, če je znesek davka za plačilo od 4.000 do 6.000 </w:t>
      </w:r>
      <w:proofErr w:type="spellStart"/>
      <w:r w:rsidRPr="000768C6">
        <w:rPr>
          <w:rFonts w:cs="Arial"/>
          <w:color w:val="000000" w:themeColor="text1"/>
          <w:szCs w:val="22"/>
        </w:rPr>
        <w:t>eurov</w:t>
      </w:r>
      <w:proofErr w:type="spellEnd"/>
      <w:r w:rsidRPr="000768C6">
        <w:rPr>
          <w:rFonts w:cs="Arial"/>
          <w:color w:val="000000" w:themeColor="text1"/>
          <w:szCs w:val="22"/>
        </w:rPr>
        <w:t xml:space="preserve"> in v štirih enakih obrokih, če znesek davka presega 6.000 </w:t>
      </w:r>
      <w:proofErr w:type="spellStart"/>
      <w:r w:rsidRPr="000768C6">
        <w:rPr>
          <w:rFonts w:cs="Arial"/>
          <w:color w:val="000000" w:themeColor="text1"/>
          <w:szCs w:val="22"/>
        </w:rPr>
        <w:t>eurov</w:t>
      </w:r>
      <w:proofErr w:type="spellEnd"/>
      <w:r w:rsidRPr="000768C6">
        <w:rPr>
          <w:rFonts w:cs="Arial"/>
          <w:color w:val="000000" w:themeColor="text1"/>
          <w:szCs w:val="22"/>
        </w:rPr>
        <w:t xml:space="preserve">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(7)</w:t>
      </w:r>
      <w:r>
        <w:rPr>
          <w:rFonts w:cs="Arial"/>
          <w:color w:val="000000" w:themeColor="text1"/>
          <w:szCs w:val="22"/>
        </w:rPr>
        <w:t xml:space="preserve"> </w:t>
      </w:r>
      <w:r w:rsidRPr="000768C6">
        <w:rPr>
          <w:rFonts w:cs="Arial"/>
          <w:color w:val="000000" w:themeColor="text1"/>
          <w:szCs w:val="22"/>
        </w:rPr>
        <w:t xml:space="preserve">Ne glede na tretji odstavek 13. člena tega zakona se v primeru, da davek ne presega 50 </w:t>
      </w:r>
      <w:proofErr w:type="spellStart"/>
      <w:r w:rsidRPr="000768C6">
        <w:rPr>
          <w:rFonts w:cs="Arial"/>
          <w:color w:val="000000" w:themeColor="text1"/>
          <w:szCs w:val="22"/>
        </w:rPr>
        <w:t>eurov</w:t>
      </w:r>
      <w:proofErr w:type="spellEnd"/>
      <w:r w:rsidRPr="000768C6">
        <w:rPr>
          <w:rFonts w:cs="Arial"/>
          <w:color w:val="000000" w:themeColor="text1"/>
          <w:szCs w:val="22"/>
        </w:rPr>
        <w:t xml:space="preserve"> za fizične osebe oziroma 500 </w:t>
      </w:r>
      <w:proofErr w:type="spellStart"/>
      <w:r w:rsidRPr="000768C6">
        <w:rPr>
          <w:rFonts w:cs="Arial"/>
          <w:color w:val="000000" w:themeColor="text1"/>
          <w:szCs w:val="22"/>
        </w:rPr>
        <w:t>eurov</w:t>
      </w:r>
      <w:proofErr w:type="spellEnd"/>
      <w:r w:rsidRPr="000768C6">
        <w:rPr>
          <w:rFonts w:cs="Arial"/>
          <w:color w:val="000000" w:themeColor="text1"/>
          <w:szCs w:val="22"/>
        </w:rPr>
        <w:t xml:space="preserve"> za pravne osebe, davek v letu 2014 plača v enem obroku, ki zapade v plačilo najkasneje 30. septembra 2014. 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(8)</w:t>
      </w:r>
      <w:r>
        <w:rPr>
          <w:rFonts w:cs="Arial"/>
          <w:color w:val="000000" w:themeColor="text1"/>
          <w:szCs w:val="22"/>
        </w:rPr>
        <w:t xml:space="preserve"> </w:t>
      </w:r>
      <w:r w:rsidRPr="000768C6">
        <w:rPr>
          <w:rFonts w:cs="Arial"/>
          <w:color w:val="000000" w:themeColor="text1"/>
          <w:szCs w:val="22"/>
        </w:rPr>
        <w:t>Ne glede na 18. člen tega zakona geodetska uprava v letu 2014 pošlje podatke o nepremičninah, ki so predmet obdavčitve, o njihovi posplošeni tržni vrednosti ter zavezancih po stanju v registru nepremičnin na dan 1. maja leta 2014, davčnemu organu najkasneje do 26. maja 2014.«.</w:t>
      </w: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0768C6">
        <w:rPr>
          <w:rFonts w:cs="Arial"/>
          <w:color w:val="000000" w:themeColor="text1"/>
          <w:szCs w:val="22"/>
        </w:rPr>
        <w:t>8. člen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0768C6">
        <w:rPr>
          <w:rFonts w:cs="Arial"/>
          <w:color w:val="000000" w:themeColor="text1"/>
          <w:szCs w:val="22"/>
        </w:rPr>
        <w:t>Ta zakon začne veljati naslednji dan po objavi v Uradnem listu Republike Slovenije.</w:t>
      </w:r>
    </w:p>
    <w:p w:rsidR="000768C6" w:rsidRPr="000768C6" w:rsidRDefault="000768C6" w:rsidP="007E69F2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sectPr w:rsidR="000768C6" w:rsidRPr="000768C6" w:rsidSect="00AB47E4">
      <w:headerReference w:type="default" r:id="rId8"/>
      <w:headerReference w:type="first" r:id="rId9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7E69F2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Default="00EA0A89">
    <w:pPr>
      <w:pStyle w:val="Glava"/>
    </w:pPr>
    <w:r>
      <w:rPr>
        <w:noProof/>
        <w:lang w:eastAsia="sl-SI"/>
      </w:rPr>
      <w:drawing>
        <wp:anchor distT="0" distB="0" distL="114300" distR="114300" simplePos="0" relativeHeight="251657728" behindDoc="1" locked="1" layoutInCell="1" allowOverlap="1" wp14:anchorId="1013A5D3" wp14:editId="5CCD520A">
          <wp:simplePos x="0" y="0"/>
          <wp:positionH relativeFrom="page">
            <wp:align>center</wp:align>
          </wp:positionH>
          <wp:positionV relativeFrom="page">
            <wp:posOffset>0</wp:posOffset>
          </wp:positionV>
          <wp:extent cx="7562850" cy="2162175"/>
          <wp:effectExtent l="0" t="0" r="0" b="9525"/>
          <wp:wrapTight wrapText="bothSides">
            <wp:wrapPolygon edited="0">
              <wp:start x="0" y="0"/>
              <wp:lineTo x="0" y="21505"/>
              <wp:lineTo x="21546" y="21505"/>
              <wp:lineTo x="21546" y="0"/>
              <wp:lineTo x="0" y="0"/>
            </wp:wrapPolygon>
          </wp:wrapTight>
          <wp:docPr id="82" name="Slika 82" descr="ZPS-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2" descr="ZPS-s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2162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8C6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E3EBC"/>
    <w:rsid w:val="007E69F2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45C67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7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19</TotalTime>
  <Pages>4</Pages>
  <Words>1087</Words>
  <Characters>5838</Characters>
  <Application>Microsoft Office Word</Application>
  <DocSecurity>0</DocSecurity>
  <Lines>48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6912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2014-03-25T11:41:00Z</cp:lastPrinted>
  <dcterms:created xsi:type="dcterms:W3CDTF">2014-03-25T11:35:00Z</dcterms:created>
  <dcterms:modified xsi:type="dcterms:W3CDTF">2014-03-28T07:35:00Z</dcterms:modified>
</cp:coreProperties>
</file>