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59DC" w:rsidRPr="00B459DC" w:rsidRDefault="00B459DC" w:rsidP="00B459DC">
      <w:pPr>
        <w:tabs>
          <w:tab w:val="left" w:pos="567"/>
          <w:tab w:val="left" w:pos="993"/>
        </w:tabs>
        <w:spacing w:line="240" w:lineRule="auto"/>
        <w:jc w:val="center"/>
        <w:rPr>
          <w:rFonts w:cs="Arial"/>
          <w:b/>
          <w:spacing w:val="62"/>
          <w:szCs w:val="22"/>
        </w:rPr>
      </w:pPr>
      <w:bookmarkStart w:id="0" w:name="_GoBack"/>
      <w:bookmarkEnd w:id="0"/>
      <w:r w:rsidRPr="00B459DC">
        <w:rPr>
          <w:rFonts w:cs="Arial"/>
          <w:b/>
          <w:spacing w:val="62"/>
          <w:szCs w:val="22"/>
        </w:rPr>
        <w:t>ZAKON</w:t>
      </w:r>
    </w:p>
    <w:p w:rsidR="00B459DC" w:rsidRDefault="00B459DC" w:rsidP="00B459DC">
      <w:pPr>
        <w:tabs>
          <w:tab w:val="left" w:pos="567"/>
          <w:tab w:val="left" w:pos="993"/>
        </w:tabs>
        <w:spacing w:line="240" w:lineRule="auto"/>
        <w:jc w:val="center"/>
        <w:rPr>
          <w:rFonts w:cs="Arial"/>
          <w:b/>
          <w:szCs w:val="22"/>
        </w:rPr>
      </w:pPr>
    </w:p>
    <w:p w:rsidR="00B459DC" w:rsidRDefault="00B459DC" w:rsidP="00B459DC">
      <w:pPr>
        <w:tabs>
          <w:tab w:val="left" w:pos="567"/>
          <w:tab w:val="left" w:pos="993"/>
        </w:tabs>
        <w:spacing w:line="240" w:lineRule="auto"/>
        <w:jc w:val="center"/>
        <w:rPr>
          <w:rFonts w:cs="Arial"/>
          <w:b/>
          <w:szCs w:val="22"/>
        </w:rPr>
      </w:pPr>
      <w:r w:rsidRPr="00B459DC">
        <w:rPr>
          <w:rFonts w:cs="Arial"/>
          <w:b/>
          <w:szCs w:val="22"/>
        </w:rPr>
        <w:t>O SPREMEMBAH IN DOPOLNITVAH</w:t>
      </w:r>
    </w:p>
    <w:p w:rsidR="00B459DC" w:rsidRPr="00B459DC" w:rsidRDefault="00B459DC" w:rsidP="00B459DC">
      <w:pPr>
        <w:tabs>
          <w:tab w:val="left" w:pos="567"/>
          <w:tab w:val="left" w:pos="993"/>
        </w:tabs>
        <w:spacing w:line="240" w:lineRule="auto"/>
        <w:jc w:val="center"/>
        <w:rPr>
          <w:rFonts w:cs="Arial"/>
          <w:b/>
          <w:szCs w:val="22"/>
        </w:rPr>
      </w:pPr>
      <w:r w:rsidRPr="00B459DC">
        <w:rPr>
          <w:rFonts w:cs="Arial"/>
          <w:b/>
          <w:szCs w:val="22"/>
        </w:rPr>
        <w:t>ZAKONA O KAZENSKEM POSTOPKU (ZKP-M)</w:t>
      </w:r>
    </w:p>
    <w:p w:rsidR="002B1CB2" w:rsidRDefault="002B1CB2" w:rsidP="00B459DC">
      <w:pPr>
        <w:tabs>
          <w:tab w:val="left" w:pos="567"/>
          <w:tab w:val="left" w:pos="993"/>
        </w:tabs>
        <w:spacing w:line="240" w:lineRule="auto"/>
        <w:rPr>
          <w:rFonts w:cs="Arial"/>
          <w:szCs w:val="22"/>
        </w:rPr>
      </w:pPr>
    </w:p>
    <w:p w:rsidR="002B1CB2" w:rsidRDefault="002B1CB2" w:rsidP="00B459DC">
      <w:pPr>
        <w:tabs>
          <w:tab w:val="left" w:pos="567"/>
          <w:tab w:val="left" w:pos="993"/>
        </w:tabs>
        <w:spacing w:line="240" w:lineRule="auto"/>
        <w:rPr>
          <w:rFonts w:cs="Arial"/>
          <w:szCs w:val="22"/>
        </w:rPr>
      </w:pPr>
    </w:p>
    <w:p w:rsid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jc w:val="center"/>
        <w:rPr>
          <w:rFonts w:cs="Arial"/>
          <w:szCs w:val="22"/>
        </w:rPr>
      </w:pPr>
      <w:r w:rsidRPr="00B459DC">
        <w:rPr>
          <w:rFonts w:cs="Arial"/>
          <w:szCs w:val="22"/>
        </w:rPr>
        <w:t>1. člen</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 xml:space="preserve">V Zakonu o kazenskem postopku (Uradni list RS, št. 32/12 – uradno prečiščeno besedilo in 47/13) se v prvem odstavku 4. člena na koncu doda nov tretji stavek, ki se glasi: »Osumljenec, ki mu je vzeta prostost, mora biti obveščen tudi o pravicah iz 8. člena tega zakona ter o pravici iz četrtega odstavka tega člena.«.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Za četrtim odstavkom se doda nov peti odstavek, ki se glasi:</w:t>
      </w: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 xml:space="preserve">»(5) Osumljenec, ki mu je vzeta prostost, mora biti o svojih pravicah iz tega člena in 157. člena tega zakona poučen pisno, v vsebini iz Priloge 1, ki je sestavni del tega zakona. Pisno obvestilo mora biti sestavljeno v materinem jeziku osumljenca ali v jeziku, ki ga osumljenec razume. Če pisno obvestilo v ustreznem jeziku ni na voljo, se osumljenca, ki mu je vzeta prostost, o pravicah najprej pouči ustno v jeziku, ki ga razume, nato pa se brez nepotrebnega odlašanja zagotovi tudi pisno obvestilo.«.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jc w:val="center"/>
        <w:rPr>
          <w:rFonts w:cs="Arial"/>
          <w:szCs w:val="22"/>
        </w:rPr>
      </w:pPr>
      <w:r w:rsidRPr="00B459DC">
        <w:rPr>
          <w:rFonts w:cs="Arial"/>
          <w:szCs w:val="22"/>
        </w:rPr>
        <w:t>2. člen</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8. člen se spremeni tako, da se glasi:</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jc w:val="center"/>
        <w:rPr>
          <w:rFonts w:cs="Arial"/>
          <w:szCs w:val="22"/>
        </w:rPr>
      </w:pPr>
      <w:r w:rsidRPr="00B459DC">
        <w:rPr>
          <w:rFonts w:cs="Arial"/>
          <w:szCs w:val="22"/>
        </w:rPr>
        <w:t>»8. člen</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(1) Stranke, priče, osumljenci in drugi udeleženci v postopku imajo pravico uporabljati pri preiskovalnih in drugih sodnih dejanjih ali na glavni obravnavi svoj jezik. Če sodno dejanje oziroma glavna obravnava ne teče v jeziku teh oseb, je treba zagotoviti ustno tolmačenje tistega, kar oni oziroma drugi govorijo, ter pisno prevajanje listin in drugega pisnega dokaznega gradiva, kar za obdolžence in osumljence vključuje bistvene dokumente, kot so: obtožni akti, vabila, vse odločbe o odvzem</w:t>
      </w:r>
      <w:r w:rsidR="00BE36A7">
        <w:rPr>
          <w:rFonts w:cs="Arial"/>
          <w:szCs w:val="22"/>
        </w:rPr>
        <w:t>u</w:t>
      </w:r>
      <w:r w:rsidRPr="00B459DC">
        <w:rPr>
          <w:rFonts w:cs="Arial"/>
          <w:szCs w:val="22"/>
        </w:rPr>
        <w:t xml:space="preserve"> prostosti, sodbe, odločbe sodišč o izločitvi dokazov, o zavrnitvi dokaznih predlogov in o izločitvi sodnikov. Sodišče lahko na predlog osumljencev ali obdolžencev odloči, da je glede na konkretne okoliščine primera treba zagotoviti tolmačenje ali prevajanje tudi v drugih primerih, tako da se zagotovi uresničevanje jamstev ali pravic v predkazenskem ali kazenskem postopku. Sodišče lahko tudi izjemoma odloči, da se glede določenih delov bistvenih dokumentov, ki za osebe iz prvega stavka tega odstavka niso pomembni za razumevanje njihove kazenske zadeve ali za njihovo morebitno uporabo pravnih sredstev po tem zakonu</w:t>
      </w:r>
      <w:r w:rsidR="00BE36A7">
        <w:rPr>
          <w:rFonts w:cs="Arial"/>
          <w:szCs w:val="22"/>
        </w:rPr>
        <w:t>,</w:t>
      </w:r>
      <w:r w:rsidRPr="00B459DC">
        <w:rPr>
          <w:rFonts w:cs="Arial"/>
          <w:szCs w:val="22"/>
        </w:rPr>
        <w:t xml:space="preserve"> zagotovi le ustno tolmačenje.</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(2) Osebe iz prejšnjega odstavka lahko pri opravljanju preiskovalnih in drugih sodnih dejanj ali na glavni obravnavi v skladu s smiselno uporabo sedmega odstavka 82. člena tega zakona vložijo ugovor, če menijo, da tolmačenje ali prevajanje ni ustrezno, ker ne omogoča uresničevanja jamstev ali pravic v predkazenskem ali kazenskem postopku ali če zaradi potrebe njihovega spoštovanja menijo, da je glede na konkretne okoliščine primera treba zagotoviti tolmačenje ali prevajanje tudi v drugih primerih.</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 xml:space="preserve">(3) O pravici do prevajanja in tolmačenja je treba osebe iz prvega odstavka tega člena poučiti; te se lahko le prostovoljno in izrecno odpovedo prevajanju ali tolmačenju določenega preiskovalnega in drugega sodnega dejanja ali dela glavne </w:t>
      </w:r>
      <w:r w:rsidRPr="00B459DC">
        <w:rPr>
          <w:rFonts w:cs="Arial"/>
          <w:szCs w:val="22"/>
        </w:rPr>
        <w:lastRenderedPageBreak/>
        <w:t>obravnave ali določenih sodnih ali drugih pisanj, če znajo jezik, v katerem teče postopek. V zapisnik je treba zapisati, da so bile poučene in kaj so izjavile.</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(4) Prevaja in tolmači sodna tolmačka ali sodni tolmač (v nadaljnjem besedilu: sodni tolmač). Če za določen jezik ni na razpolago sodnega tolmača, lahko sodišče v skladu s smiselno uporabo 233. člena v zvezi s četrtim odstavkom 249. člena tega zakona postavi za opravljanje prevajanja ali tolmačenja drugo ustrezno osebo, ki obvlada tuj jezik, za katerega ni sodnih tolmačev ali jih primanjkuje.</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(5) Določbe prejšnjih odstavkov smiselno veljajo tudi za gluhe osebe.</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(6) Stroški za tolmačenje ali prevajanje se ne zaračunajo osebam iz prvega in petega odstavka tega člena.«.</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jc w:val="center"/>
        <w:rPr>
          <w:rFonts w:cs="Arial"/>
          <w:szCs w:val="22"/>
        </w:rPr>
      </w:pPr>
      <w:r w:rsidRPr="00B459DC">
        <w:rPr>
          <w:rFonts w:cs="Arial"/>
          <w:szCs w:val="22"/>
        </w:rPr>
        <w:t>3. člen</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 xml:space="preserve">V 74. členu se za besedilom člena, ki postane prvi odstavek, dodajo novi drugi, tretji in četrti odstavek, ki se glasijo: </w:t>
      </w: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 xml:space="preserve">»(2) Na zahtevo priprtega obdolženca iz prvega odstavka 8. člena tega zakona ali njegovega zagovornika je sodišče dolžno zagotoviti tolmačenje za zaupni pogovor obdolženca z odvetnikom.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(3) Na zahtevo obdolženca iz prvega odstavka 8. člena tega zakona ali njegovega zagovornika sodišče lahko zagotovi tolmačenje za zaupni pogovor obdolženca z odvetnikom, če oceni, da spoštovanje jamstev ali pravic v predkazenskem ali kazenskem postopku glede na konkretne okoliščine primera zahteva tolmačenje tudi v drugih primerih, zlasti kadar se opravljajo zaslišanja, prepoznava, odloča o varščini ali vlagajo pravna sredstva.</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(4) Za obdolženca iz drugega in tretjega odstavka tega člena smiselno veljajo določbe od četrtega do šestega odstavka 8. člena tega zakona.«.</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jc w:val="center"/>
        <w:rPr>
          <w:rFonts w:cs="Arial"/>
          <w:szCs w:val="22"/>
        </w:rPr>
      </w:pPr>
      <w:r w:rsidRPr="00B459DC">
        <w:rPr>
          <w:rFonts w:cs="Arial"/>
          <w:szCs w:val="22"/>
        </w:rPr>
        <w:t>4. člen</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 xml:space="preserve">V četrtem odstavku 148. člena se za piko na koncu stavka doda nov drugi stavek, ki se glasi: »Osumljenca mora policija obvestiti tudi, da ima pravico uporabljati svoj jezik ter o pravicah iz 8. člena tega zakona; osumljenca, ki mu je vzeta prostost, pa tudi o pravici iz četrtega oziroma petega odstavka 4. člena tega zakona.«.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jc w:val="center"/>
        <w:rPr>
          <w:rFonts w:cs="Arial"/>
          <w:szCs w:val="22"/>
        </w:rPr>
      </w:pPr>
      <w:r w:rsidRPr="00B459DC">
        <w:rPr>
          <w:rFonts w:cs="Arial"/>
          <w:szCs w:val="22"/>
        </w:rPr>
        <w:t>5. člen</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 xml:space="preserve">V šestem odstavku 157. člena se na koncu stavka pika nadomesti z vejico in doda besedilo »ter jo poučiti, da ima za namene priprave pritožbe pravico pregledati gradivo zadeve, ki je povezano s pridržanjem. Pregled določenega gradiva se sme z odločbo o pridržanju odreči, če bi bilo lahko resno ogroženo življenje ali pravice druge osebe, ali če bi pregled vplival na potek predkazenskega postopka oziroma preiskave, ali če to narekujejo posebni razlogi obrambe ali varnosti države.«.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Za sedmim odstavkom se doda nov osmi odstavek, ki se glasi:</w:t>
      </w: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 xml:space="preserve">»(8) Če pridržanje po drugem odstavku tega člena traja manj kot šest ur, mora policist osebi, ki ji je bila odvzeta prostost, najkasneje ob prenehanju pridržanja izročiti uradni zaznamek, iz katerega so razvidni podatki o njej, razlog pridržanja, pravice pridržane osebe, točen čas začetka in, če je to mogoče, tudi točen čas </w:t>
      </w:r>
      <w:r w:rsidRPr="00B459DC">
        <w:rPr>
          <w:rFonts w:cs="Arial"/>
          <w:szCs w:val="22"/>
        </w:rPr>
        <w:lastRenderedPageBreak/>
        <w:t>prenehanja pridržanja. Čas izročitve uradnega zaznamka oseba potrdi s podpisom. Če podpis odkloni, policist to navede na uradnem zaznamku.«.</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Dosedanji osmi odstavek postane deveti odstavek.</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jc w:val="center"/>
        <w:rPr>
          <w:rFonts w:cs="Arial"/>
          <w:szCs w:val="22"/>
        </w:rPr>
      </w:pPr>
      <w:r w:rsidRPr="00B459DC">
        <w:rPr>
          <w:rFonts w:cs="Arial"/>
          <w:szCs w:val="22"/>
        </w:rPr>
        <w:t>6. člen</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V prvem odstavku 371. člena se 3. točka spremeni tako, da se glasi:</w:t>
      </w:r>
    </w:p>
    <w:p w:rsidR="00B459DC" w:rsidRPr="00B459DC" w:rsidRDefault="00B459DC" w:rsidP="00B459DC">
      <w:pPr>
        <w:tabs>
          <w:tab w:val="left" w:pos="567"/>
          <w:tab w:val="left" w:pos="993"/>
        </w:tabs>
        <w:spacing w:line="240" w:lineRule="auto"/>
        <w:rPr>
          <w:rFonts w:cs="Arial"/>
          <w:szCs w:val="22"/>
        </w:rPr>
      </w:pPr>
      <w:r w:rsidRPr="00B459DC">
        <w:rPr>
          <w:rFonts w:cs="Arial"/>
          <w:szCs w:val="22"/>
        </w:rPr>
        <w:t>»3)</w:t>
      </w:r>
      <w:r>
        <w:rPr>
          <w:rFonts w:cs="Arial"/>
          <w:szCs w:val="22"/>
        </w:rPr>
        <w:tab/>
      </w:r>
      <w:r w:rsidRPr="00B459DC">
        <w:rPr>
          <w:rFonts w:cs="Arial"/>
          <w:szCs w:val="22"/>
        </w:rPr>
        <w:t xml:space="preserve">če je bila glavna obravnava opravljena brez oseb, katerih navzočnost na glavni </w:t>
      </w:r>
      <w:r>
        <w:rPr>
          <w:rFonts w:cs="Arial"/>
          <w:szCs w:val="22"/>
        </w:rPr>
        <w:tab/>
      </w:r>
      <w:r w:rsidRPr="00B459DC">
        <w:rPr>
          <w:rFonts w:cs="Arial"/>
          <w:szCs w:val="22"/>
        </w:rPr>
        <w:t xml:space="preserve">obravnavi je po zakonu obvezna, ali če je bil obdolženec, zagovornik, </w:t>
      </w:r>
      <w:r>
        <w:rPr>
          <w:rFonts w:cs="Arial"/>
          <w:szCs w:val="22"/>
        </w:rPr>
        <w:tab/>
      </w:r>
      <w:r w:rsidRPr="00B459DC">
        <w:rPr>
          <w:rFonts w:cs="Arial"/>
          <w:szCs w:val="22"/>
        </w:rPr>
        <w:t xml:space="preserve">oškodovanec kot tožilec ali zasebni tožilec kljub svoji zahtevi prikrajšan za </w:t>
      </w:r>
      <w:r>
        <w:rPr>
          <w:rFonts w:cs="Arial"/>
          <w:szCs w:val="22"/>
        </w:rPr>
        <w:tab/>
      </w:r>
      <w:r w:rsidRPr="00B459DC">
        <w:rPr>
          <w:rFonts w:cs="Arial"/>
          <w:szCs w:val="22"/>
        </w:rPr>
        <w:t xml:space="preserve">pravico uporabljati pri preiskovalnih in drugih sodnih dejanjih ali na glavni </w:t>
      </w:r>
      <w:r>
        <w:rPr>
          <w:rFonts w:cs="Arial"/>
          <w:szCs w:val="22"/>
        </w:rPr>
        <w:tab/>
      </w:r>
      <w:r w:rsidRPr="00B459DC">
        <w:rPr>
          <w:rFonts w:cs="Arial"/>
          <w:szCs w:val="22"/>
        </w:rPr>
        <w:t xml:space="preserve">obravnavi svoj jezik in v svojem jeziku spremljati njen potek (8. člen), ali če so </w:t>
      </w:r>
      <w:r>
        <w:rPr>
          <w:rFonts w:cs="Arial"/>
          <w:szCs w:val="22"/>
        </w:rPr>
        <w:tab/>
      </w:r>
      <w:r w:rsidRPr="00B459DC">
        <w:rPr>
          <w:rFonts w:cs="Arial"/>
          <w:szCs w:val="22"/>
        </w:rPr>
        <w:t xml:space="preserve">bile prekršene določbe o nenadzorovanem in učinkovitem posvetovanju </w:t>
      </w:r>
      <w:r>
        <w:rPr>
          <w:rFonts w:cs="Arial"/>
          <w:szCs w:val="22"/>
        </w:rPr>
        <w:tab/>
      </w:r>
      <w:r w:rsidRPr="00B459DC">
        <w:rPr>
          <w:rFonts w:cs="Arial"/>
          <w:szCs w:val="22"/>
        </w:rPr>
        <w:t>obdolženca z zagovornikom (74. člen);«.</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jc w:val="center"/>
        <w:rPr>
          <w:rFonts w:cs="Arial"/>
          <w:szCs w:val="22"/>
        </w:rPr>
      </w:pPr>
      <w:r w:rsidRPr="00B459DC">
        <w:rPr>
          <w:rFonts w:cs="Arial"/>
          <w:szCs w:val="22"/>
        </w:rPr>
        <w:t>7. člen</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Doda se nova Priloga 1, ki je kot priloga sestavni del tega zakona.</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jc w:val="center"/>
        <w:rPr>
          <w:rFonts w:cs="Arial"/>
          <w:szCs w:val="22"/>
        </w:rPr>
      </w:pPr>
      <w:r w:rsidRPr="00B459DC">
        <w:rPr>
          <w:rFonts w:cs="Arial"/>
          <w:szCs w:val="22"/>
        </w:rPr>
        <w:t>KONČNA DOLOČBA</w:t>
      </w:r>
    </w:p>
    <w:p w:rsidR="00B459DC" w:rsidRPr="00B459DC" w:rsidRDefault="00B459DC" w:rsidP="00B459DC">
      <w:pPr>
        <w:tabs>
          <w:tab w:val="left" w:pos="567"/>
          <w:tab w:val="left" w:pos="993"/>
        </w:tabs>
        <w:spacing w:line="240" w:lineRule="auto"/>
        <w:jc w:val="center"/>
        <w:rPr>
          <w:rFonts w:cs="Arial"/>
          <w:szCs w:val="22"/>
        </w:rPr>
      </w:pPr>
    </w:p>
    <w:p w:rsidR="00B459DC" w:rsidRPr="00B459DC" w:rsidRDefault="00B459DC" w:rsidP="00B459DC">
      <w:pPr>
        <w:tabs>
          <w:tab w:val="left" w:pos="567"/>
          <w:tab w:val="left" w:pos="993"/>
        </w:tabs>
        <w:spacing w:line="240" w:lineRule="auto"/>
        <w:jc w:val="center"/>
        <w:rPr>
          <w:rFonts w:cs="Arial"/>
          <w:szCs w:val="22"/>
        </w:rPr>
      </w:pPr>
      <w:r w:rsidRPr="00B459DC">
        <w:rPr>
          <w:rFonts w:cs="Arial"/>
          <w:szCs w:val="22"/>
        </w:rPr>
        <w:t>8. člen</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Pr>
          <w:rFonts w:cs="Arial"/>
          <w:szCs w:val="22"/>
        </w:rPr>
        <w:tab/>
      </w:r>
      <w:r>
        <w:rPr>
          <w:rFonts w:cs="Arial"/>
          <w:szCs w:val="22"/>
        </w:rPr>
        <w:tab/>
      </w:r>
      <w:r w:rsidRPr="00B459DC">
        <w:rPr>
          <w:rFonts w:cs="Arial"/>
          <w:szCs w:val="22"/>
        </w:rPr>
        <w:t>Ta zakon začne veljati petnajsti dan po objavi v Uradnem listu Republike Slovenije, uporabljati pa se začne tri mesece po uveljavitvi tega zakona.</w:t>
      </w:r>
    </w:p>
    <w:p w:rsidR="002B1CB2" w:rsidRDefault="002B1CB2">
      <w:pPr>
        <w:spacing w:line="240" w:lineRule="auto"/>
        <w:jc w:val="left"/>
        <w:rPr>
          <w:rFonts w:cs="Arial"/>
          <w:szCs w:val="22"/>
        </w:rPr>
      </w:pPr>
    </w:p>
    <w:p w:rsidR="002B1CB2" w:rsidRDefault="002B1CB2">
      <w:pPr>
        <w:spacing w:line="240" w:lineRule="auto"/>
        <w:jc w:val="left"/>
        <w:rPr>
          <w:rFonts w:cs="Arial"/>
          <w:szCs w:val="22"/>
        </w:rPr>
      </w:pPr>
    </w:p>
    <w:p w:rsidR="002B1CB2" w:rsidRDefault="002B1CB2" w:rsidP="002B1CB2">
      <w:pPr>
        <w:tabs>
          <w:tab w:val="left" w:pos="567"/>
          <w:tab w:val="left" w:pos="993"/>
        </w:tabs>
        <w:spacing w:line="240" w:lineRule="auto"/>
        <w:rPr>
          <w:rFonts w:cs="Arial"/>
          <w:szCs w:val="22"/>
        </w:rPr>
      </w:pPr>
    </w:p>
    <w:p w:rsidR="002B1CB2" w:rsidRDefault="002B1CB2" w:rsidP="002B1CB2">
      <w:pPr>
        <w:tabs>
          <w:tab w:val="left" w:pos="567"/>
          <w:tab w:val="left" w:pos="993"/>
        </w:tabs>
        <w:spacing w:line="240" w:lineRule="auto"/>
        <w:rPr>
          <w:rFonts w:cs="Arial"/>
          <w:szCs w:val="22"/>
        </w:rPr>
      </w:pPr>
      <w:r>
        <w:rPr>
          <w:rFonts w:cs="Arial"/>
          <w:szCs w:val="22"/>
        </w:rPr>
        <w:t xml:space="preserve">Številka: </w:t>
      </w:r>
      <w:r w:rsidRPr="00B459DC">
        <w:rPr>
          <w:rFonts w:cs="Arial"/>
          <w:szCs w:val="22"/>
        </w:rPr>
        <w:t>713-01/14-</w:t>
      </w:r>
      <w:r>
        <w:rPr>
          <w:rFonts w:cs="Arial"/>
          <w:szCs w:val="22"/>
        </w:rPr>
        <w:t>1</w:t>
      </w:r>
      <w:r w:rsidRPr="00B459DC">
        <w:rPr>
          <w:rFonts w:cs="Arial"/>
          <w:szCs w:val="22"/>
        </w:rPr>
        <w:t>5/</w:t>
      </w:r>
    </w:p>
    <w:p w:rsidR="002B1CB2" w:rsidRDefault="002B1CB2" w:rsidP="002B1CB2">
      <w:pPr>
        <w:tabs>
          <w:tab w:val="left" w:pos="567"/>
          <w:tab w:val="left" w:pos="993"/>
        </w:tabs>
        <w:spacing w:line="240" w:lineRule="auto"/>
        <w:rPr>
          <w:rFonts w:cs="Arial"/>
          <w:szCs w:val="22"/>
        </w:rPr>
      </w:pPr>
      <w:r>
        <w:rPr>
          <w:rFonts w:cs="Arial"/>
          <w:szCs w:val="22"/>
        </w:rPr>
        <w:t>Datum: 21. november 2014</w:t>
      </w:r>
    </w:p>
    <w:p w:rsidR="002B1CB2" w:rsidRDefault="002B1CB2" w:rsidP="002B1CB2">
      <w:pPr>
        <w:tabs>
          <w:tab w:val="left" w:pos="567"/>
          <w:tab w:val="left" w:pos="993"/>
        </w:tabs>
        <w:spacing w:line="240" w:lineRule="auto"/>
        <w:rPr>
          <w:rFonts w:cs="Arial"/>
          <w:szCs w:val="22"/>
        </w:rPr>
      </w:pPr>
      <w:r w:rsidRPr="00B459DC">
        <w:rPr>
          <w:rFonts w:cs="Arial"/>
          <w:szCs w:val="22"/>
        </w:rPr>
        <w:t>EPA 112-</w:t>
      </w:r>
      <w:proofErr w:type="spellStart"/>
      <w:r w:rsidRPr="00B459DC">
        <w:rPr>
          <w:rFonts w:cs="Arial"/>
          <w:szCs w:val="22"/>
        </w:rPr>
        <w:t>VII</w:t>
      </w:r>
      <w:proofErr w:type="spellEnd"/>
    </w:p>
    <w:p w:rsidR="002B1CB2" w:rsidRDefault="002B1CB2">
      <w:pPr>
        <w:spacing w:line="240" w:lineRule="auto"/>
        <w:jc w:val="left"/>
        <w:rPr>
          <w:rFonts w:cs="Arial"/>
          <w:szCs w:val="22"/>
        </w:rPr>
      </w:pPr>
    </w:p>
    <w:p w:rsidR="002B1CB2" w:rsidRPr="00ED0A8E" w:rsidRDefault="002B1CB2" w:rsidP="002B1CB2">
      <w:pPr>
        <w:tabs>
          <w:tab w:val="left" w:pos="6521"/>
        </w:tabs>
        <w:rPr>
          <w:szCs w:val="22"/>
        </w:rPr>
      </w:pPr>
      <w:r w:rsidRPr="00ED0A8E">
        <w:rPr>
          <w:szCs w:val="22"/>
        </w:rPr>
        <w:tab/>
        <w:t>Državni zbor</w:t>
      </w:r>
    </w:p>
    <w:p w:rsidR="002B1CB2" w:rsidRDefault="002B1CB2" w:rsidP="002B1CB2">
      <w:pPr>
        <w:tabs>
          <w:tab w:val="left" w:pos="6521"/>
        </w:tabs>
        <w:rPr>
          <w:szCs w:val="22"/>
        </w:rPr>
      </w:pPr>
      <w:r w:rsidRPr="00ED0A8E">
        <w:rPr>
          <w:szCs w:val="22"/>
        </w:rPr>
        <w:tab/>
      </w:r>
      <w:r>
        <w:rPr>
          <w:szCs w:val="22"/>
        </w:rPr>
        <w:t>dr. Milan Brglez</w:t>
      </w:r>
    </w:p>
    <w:p w:rsidR="002B1CB2" w:rsidRPr="00ED0A8E" w:rsidRDefault="002B1CB2" w:rsidP="002B1CB2">
      <w:pPr>
        <w:tabs>
          <w:tab w:val="left" w:pos="6521"/>
        </w:tabs>
        <w:rPr>
          <w:szCs w:val="22"/>
        </w:rPr>
      </w:pPr>
      <w:r w:rsidRPr="00ED0A8E">
        <w:rPr>
          <w:szCs w:val="22"/>
        </w:rPr>
        <w:tab/>
        <w:t>predsednik</w:t>
      </w:r>
    </w:p>
    <w:p w:rsidR="00B459DC" w:rsidRDefault="00B459DC">
      <w:pPr>
        <w:spacing w:line="240" w:lineRule="auto"/>
        <w:jc w:val="left"/>
        <w:rPr>
          <w:rFonts w:cs="Arial"/>
          <w:szCs w:val="22"/>
        </w:rPr>
      </w:pPr>
      <w:r>
        <w:rPr>
          <w:rFonts w:cs="Arial"/>
          <w:szCs w:val="22"/>
        </w:rPr>
        <w:br w:type="page"/>
      </w:r>
    </w:p>
    <w:p w:rsidR="00B459DC" w:rsidRPr="00B459DC" w:rsidRDefault="00B459DC" w:rsidP="00B459DC">
      <w:pPr>
        <w:tabs>
          <w:tab w:val="left" w:pos="567"/>
          <w:tab w:val="left" w:pos="993"/>
        </w:tabs>
        <w:spacing w:line="240" w:lineRule="auto"/>
        <w:rPr>
          <w:rFonts w:cs="Arial"/>
          <w:szCs w:val="22"/>
        </w:rPr>
      </w:pPr>
      <w:r w:rsidRPr="00B459DC">
        <w:rPr>
          <w:rFonts w:cs="Arial"/>
          <w:szCs w:val="22"/>
        </w:rPr>
        <w:lastRenderedPageBreak/>
        <w:t>Priloga</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»Priloga 1</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Obvestilo o pravicah osebe, ki ji je odvzeta prostost</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Ob odvzemu prostosti imate naslednje pravice: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A. POMOČ ODVETNIKA/PRAVICA DO PRAVNE POMOČI </w:t>
      </w: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Pravico imate do zaupnega pogovora z odvetnikom. Odvetnik je neodvisen od policije. Če potrebujete pomoč pri izbiri odvetnika, zaprosite policijo za pomoč in pomagali vam bodo. V nekaterih primerih je pomoč lahko brezplačna. Za dodatne informacije se obrnite na policijo.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B. INFORMACIJE O OBDOLŽITVAH </w:t>
      </w: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Pravico imate vedeti, zakaj vam je bila odvzeta prostost in česa ste osumljeni ali obdolženi.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C. TOLMAČENJE IN PREVAJANJE </w:t>
      </w: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Če ne govorite ali razumete jezika policije ali drugih pristojnih organov, imate pravico do brezplačne pomoči tolmača. Tolmač vam lahko pomaga pri pogovoru z vašim odvetnikom in mora ohraniti vsebino tega pogovora kot zaupno. Pravico imate do prevoda vsaj bistvenih delov ključnih listin, vključno z vsako odredbo sodnika o odvzemu prostosti, obtožnim predlogom, obtožnico ali sodbo. V nekaterih primerih se vam lahko priskrbi ustni prevod ali povzetek.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D. PRAVICA DO MOLKA </w:t>
      </w: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Med zaslišanjem na policiji ali pred drugim pristojnim organom vam ni treba odgovarjati na vprašanja o domnevnem kaznivem dejanju. Pri odločitvi o tem vam lahko pomaga vaš odvetnik.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E. DOSTOP DO LISTIN </w:t>
      </w: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Če odvzem prostosti traja več kot šest ur, imate vi (ali vaš odvetnik) pravico dostopa do bistvenih listin, ki jih potrebujete za pritožbo zoper odvzem prostosti. Če se zadeva obravnava pred sodiščem, imate vi ali vaš odvetnik pravico dostopa do dokaznega gradiva, ki vam je v prid ali v breme.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F. OBVEŠČANJE TRETJE OSEBE O VAŠEM PRIJETJU ALI PRIDRŽANJU/ OBVEŠČANJE VAŠEGA KONZULATA ALI VELEPOSLANIŠTVA </w:t>
      </w:r>
    </w:p>
    <w:p w:rsidR="00B459DC" w:rsidRPr="00B459DC" w:rsidRDefault="00B459DC" w:rsidP="00B459DC">
      <w:pPr>
        <w:tabs>
          <w:tab w:val="left" w:pos="567"/>
          <w:tab w:val="left" w:pos="993"/>
        </w:tabs>
        <w:spacing w:line="240" w:lineRule="auto"/>
        <w:rPr>
          <w:rFonts w:cs="Arial"/>
          <w:szCs w:val="22"/>
        </w:rPr>
      </w:pPr>
      <w:r w:rsidRPr="00B459DC">
        <w:rPr>
          <w:rFonts w:cs="Arial"/>
          <w:szCs w:val="22"/>
        </w:rPr>
        <w:t>Ob odvzemu prostosti imate pravico policijo zaprositi, da o tem obvestijo na primer vašega družinskega člana ali delodajalca.</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Če ste tujec, sporočite policiji</w:t>
      </w:r>
      <w:r w:rsidR="00BE36A7">
        <w:rPr>
          <w:rFonts w:cs="Arial"/>
          <w:szCs w:val="22"/>
        </w:rPr>
        <w:t>,</w:t>
      </w:r>
      <w:r w:rsidRPr="00B459DC">
        <w:rPr>
          <w:rFonts w:cs="Arial"/>
          <w:szCs w:val="22"/>
        </w:rPr>
        <w:t xml:space="preserve"> ali želite, da se o odvzemu prostosti obvesti konzularni organ ali veleposlaništvo. Prav tako lahko sporočite policiji, da želite stopiti v stik z uradnikom vašega konzularnega organa ali veleposlaništva. </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G. NUJNA ZDRAVNIŠKA POMOČ </w:t>
      </w:r>
    </w:p>
    <w:p w:rsidR="00B459DC" w:rsidRPr="00B459DC" w:rsidRDefault="00B459DC" w:rsidP="00B459DC">
      <w:pPr>
        <w:tabs>
          <w:tab w:val="left" w:pos="567"/>
          <w:tab w:val="left" w:pos="993"/>
        </w:tabs>
        <w:spacing w:line="240" w:lineRule="auto"/>
        <w:rPr>
          <w:rFonts w:cs="Arial"/>
          <w:szCs w:val="22"/>
        </w:rPr>
      </w:pPr>
      <w:r w:rsidRPr="00B459DC">
        <w:rPr>
          <w:rFonts w:cs="Arial"/>
          <w:szCs w:val="22"/>
        </w:rPr>
        <w:t>Ko vam je odvzeta prostost, imate pravico do nujne zdravniške pomoči. Prosimo, sporočite policiji, če potrebujete takšno pomoč.</w:t>
      </w:r>
    </w:p>
    <w:p w:rsidR="00B459DC" w:rsidRPr="00B459DC" w:rsidRDefault="00B459DC" w:rsidP="00B459DC">
      <w:pPr>
        <w:tabs>
          <w:tab w:val="left" w:pos="567"/>
          <w:tab w:val="left" w:pos="993"/>
        </w:tabs>
        <w:spacing w:line="240" w:lineRule="auto"/>
        <w:rPr>
          <w:rFonts w:cs="Arial"/>
          <w:szCs w:val="22"/>
        </w:rPr>
      </w:pPr>
    </w:p>
    <w:p w:rsidR="00B459DC" w:rsidRPr="00B459DC" w:rsidRDefault="00B459DC" w:rsidP="00B459DC">
      <w:pPr>
        <w:tabs>
          <w:tab w:val="left" w:pos="567"/>
          <w:tab w:val="left" w:pos="993"/>
        </w:tabs>
        <w:spacing w:line="240" w:lineRule="auto"/>
        <w:rPr>
          <w:rFonts w:cs="Arial"/>
          <w:szCs w:val="22"/>
        </w:rPr>
      </w:pPr>
      <w:r w:rsidRPr="00B459DC">
        <w:rPr>
          <w:rFonts w:cs="Arial"/>
          <w:szCs w:val="22"/>
        </w:rPr>
        <w:t xml:space="preserve">H. ČAS ODVZEMA PROSTOSTI </w:t>
      </w:r>
    </w:p>
    <w:p w:rsidR="00B459DC" w:rsidRPr="00B459DC" w:rsidRDefault="00B459DC" w:rsidP="00B459DC">
      <w:pPr>
        <w:tabs>
          <w:tab w:val="left" w:pos="567"/>
          <w:tab w:val="left" w:pos="993"/>
        </w:tabs>
        <w:spacing w:line="240" w:lineRule="auto"/>
        <w:rPr>
          <w:rFonts w:cs="Arial"/>
          <w:szCs w:val="22"/>
        </w:rPr>
      </w:pPr>
      <w:r w:rsidRPr="00B459DC">
        <w:rPr>
          <w:rFonts w:cs="Arial"/>
          <w:szCs w:val="22"/>
        </w:rPr>
        <w:t>Prostost vam je lahko odvzeta za največ oseminštirideset ur. Potem morate biti ali izpuščeni ali vas mora zaslišati sodnik, ki bo odločil o vašem nadaljnjem odvzemu prostosti. Če odvzem prostosti traja več kot šest ur, vas mora policist s pisno odločbo obvestiti o razlogih za odvzem prostosti. Zoper to odločbo se v času trajanja odvzema prostosti lahko pritožite na senat (šesti odstavek 25. člena).«.</w:t>
      </w:r>
    </w:p>
    <w:sectPr w:rsidR="00B459DC" w:rsidRPr="00B459DC"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B1CB2">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B1CB2"/>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459DC"/>
    <w:rsid w:val="00B64A88"/>
    <w:rsid w:val="00B87962"/>
    <w:rsid w:val="00B926CE"/>
    <w:rsid w:val="00BB2393"/>
    <w:rsid w:val="00BE36A7"/>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267D9"/>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TotalTime>
  <Pages>4</Pages>
  <Words>1462</Words>
  <Characters>8144</Characters>
  <Application>Microsoft Office Word</Application>
  <DocSecurity>0</DocSecurity>
  <Lines>67</Lines>
  <Paragraphs>19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2014-11-14T09:51:00Z</cp:lastPrinted>
  <dcterms:created xsi:type="dcterms:W3CDTF">2014-11-14T09:44:00Z</dcterms:created>
  <dcterms:modified xsi:type="dcterms:W3CDTF">2014-11-28T11:33:00Z</dcterms:modified>
</cp:coreProperties>
</file>