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A4BB6" w:rsidRDefault="002A4BB6" w:rsidP="00960DFA">
      <w:pPr>
        <w:jc w:val="center"/>
      </w:pPr>
      <w:bookmarkStart w:id="0" w:name="_GoBack"/>
      <w:bookmarkEnd w:id="0"/>
    </w:p>
    <w:p w:rsidR="00960DFA" w:rsidRPr="00770E77" w:rsidRDefault="00960DFA" w:rsidP="00960DFA">
      <w:pPr>
        <w:jc w:val="center"/>
      </w:pPr>
    </w:p>
    <w:p w:rsidR="00960DFA" w:rsidRPr="00770E77" w:rsidRDefault="00960DFA" w:rsidP="00960DFA">
      <w:pPr>
        <w:jc w:val="center"/>
      </w:pPr>
      <w:r>
        <w:rPr>
          <w:lang w:val="sl"/>
        </w:rPr>
        <w:t>TRETJI ODDELEK</w:t>
      </w:r>
    </w:p>
    <w:p w:rsidR="002A4BB6" w:rsidRDefault="002A4BB6" w:rsidP="00960DFA">
      <w:pPr>
        <w:jc w:val="center"/>
      </w:pPr>
    </w:p>
    <w:p w:rsidR="00960DFA" w:rsidRPr="00770E77" w:rsidRDefault="00960DFA" w:rsidP="00960DFA">
      <w:pPr>
        <w:jc w:val="center"/>
      </w:pPr>
    </w:p>
    <w:p w:rsidR="00960DFA" w:rsidRPr="00770E77" w:rsidRDefault="00960DFA" w:rsidP="00960DFA">
      <w:pPr>
        <w:jc w:val="center"/>
        <w:rPr>
          <w:b/>
        </w:rPr>
      </w:pPr>
      <w:bookmarkStart w:id="1" w:name="To"/>
      <w:r>
        <w:rPr>
          <w:b/>
          <w:bCs/>
          <w:lang w:val="sl"/>
        </w:rPr>
        <w:t xml:space="preserve">ZADEVA </w:t>
      </w:r>
      <w:bookmarkEnd w:id="1"/>
      <w:r>
        <w:rPr>
          <w:b/>
          <w:bCs/>
          <w:lang w:val="sl"/>
        </w:rPr>
        <w:t>KLINAR proti SLOVENIJI</w:t>
      </w:r>
    </w:p>
    <w:p w:rsidR="00960DFA" w:rsidRDefault="00960DFA" w:rsidP="00960DFA">
      <w:pPr>
        <w:jc w:val="center"/>
      </w:pPr>
    </w:p>
    <w:p w:rsidR="00C57BBC" w:rsidRPr="00770E77" w:rsidRDefault="00C57BBC" w:rsidP="00960DFA">
      <w:pPr>
        <w:jc w:val="center"/>
      </w:pPr>
    </w:p>
    <w:p w:rsidR="00960DFA" w:rsidRPr="00770E77" w:rsidRDefault="00960DFA" w:rsidP="00960DFA">
      <w:pPr>
        <w:jc w:val="center"/>
        <w:rPr>
          <w:i/>
        </w:rPr>
      </w:pPr>
      <w:r>
        <w:rPr>
          <w:i/>
          <w:iCs/>
          <w:lang w:val="sl"/>
        </w:rPr>
        <w:t>(pritožba št. 34544/02)</w:t>
      </w:r>
    </w:p>
    <w:p w:rsidR="002A4BB6" w:rsidRDefault="002A4BB6" w:rsidP="002A4BB6">
      <w:pPr>
        <w:jc w:val="center"/>
        <w:rPr>
          <w:sz w:val="22"/>
          <w:szCs w:val="22"/>
        </w:rPr>
      </w:pPr>
    </w:p>
    <w:p w:rsidR="002A4BB6" w:rsidRPr="002A4BB6" w:rsidRDefault="002A4BB6" w:rsidP="002A4BB6">
      <w:pPr>
        <w:jc w:val="center"/>
        <w:rPr>
          <w:szCs w:val="24"/>
        </w:rPr>
      </w:pPr>
    </w:p>
    <w:p w:rsidR="002A4BB6" w:rsidRPr="002A4BB6" w:rsidRDefault="002A4BB6" w:rsidP="002A4BB6">
      <w:pPr>
        <w:jc w:val="center"/>
        <w:rPr>
          <w:szCs w:val="24"/>
        </w:rPr>
      </w:pPr>
      <w:r>
        <w:rPr>
          <w:szCs w:val="24"/>
          <w:lang w:val="sl"/>
        </w:rPr>
        <w:t>SODBA</w:t>
      </w:r>
    </w:p>
    <w:p w:rsidR="002A4BB6" w:rsidRPr="002A4BB6" w:rsidRDefault="002A4BB6" w:rsidP="002A4BB6">
      <w:pPr>
        <w:jc w:val="center"/>
        <w:rPr>
          <w:szCs w:val="24"/>
        </w:rPr>
      </w:pPr>
    </w:p>
    <w:p w:rsidR="002A4BB6" w:rsidRPr="002A4BB6" w:rsidRDefault="002A4BB6" w:rsidP="002A4BB6">
      <w:pPr>
        <w:jc w:val="center"/>
        <w:rPr>
          <w:szCs w:val="24"/>
        </w:rPr>
      </w:pPr>
    </w:p>
    <w:p w:rsidR="002A4BB6" w:rsidRPr="002A4BB6" w:rsidRDefault="002A4BB6" w:rsidP="00FE7DD1">
      <w:pPr>
        <w:jc w:val="center"/>
        <w:rPr>
          <w:szCs w:val="24"/>
        </w:rPr>
      </w:pPr>
      <w:r>
        <w:rPr>
          <w:szCs w:val="24"/>
          <w:lang w:val="sl"/>
        </w:rPr>
        <w:t>STRASBOURG</w:t>
      </w:r>
    </w:p>
    <w:p w:rsidR="002A4BB6" w:rsidRDefault="002A4BB6" w:rsidP="00FE7DD1">
      <w:pPr>
        <w:jc w:val="center"/>
        <w:rPr>
          <w:szCs w:val="24"/>
        </w:rPr>
      </w:pPr>
    </w:p>
    <w:p w:rsidR="00C57BBC" w:rsidRPr="002A4BB6" w:rsidRDefault="00C57BBC" w:rsidP="00FE7DD1">
      <w:pPr>
        <w:jc w:val="center"/>
        <w:rPr>
          <w:szCs w:val="24"/>
        </w:rPr>
      </w:pPr>
    </w:p>
    <w:p w:rsidR="002A4BB6" w:rsidRPr="002A4BB6" w:rsidRDefault="002A4BB6" w:rsidP="00FE7DD1">
      <w:pPr>
        <w:jc w:val="center"/>
        <w:rPr>
          <w:szCs w:val="24"/>
        </w:rPr>
      </w:pPr>
      <w:r>
        <w:rPr>
          <w:szCs w:val="24"/>
          <w:lang w:val="sl"/>
        </w:rPr>
        <w:t>8. april 2008</w:t>
      </w:r>
    </w:p>
    <w:p w:rsidR="002A4BB6" w:rsidRPr="002A4BB6" w:rsidRDefault="002A4BB6" w:rsidP="00FE7DD1">
      <w:pPr>
        <w:jc w:val="center"/>
        <w:rPr>
          <w:szCs w:val="24"/>
        </w:rPr>
      </w:pPr>
    </w:p>
    <w:p w:rsidR="00C57BBC" w:rsidRDefault="00C57BBC" w:rsidP="00FE7DD1">
      <w:pPr>
        <w:jc w:val="center"/>
        <w:rPr>
          <w:color w:val="FF0000"/>
        </w:rPr>
      </w:pPr>
    </w:p>
    <w:p w:rsidR="00C57BBC" w:rsidRDefault="00C57BBC" w:rsidP="00FE7DD1">
      <w:pPr>
        <w:jc w:val="center"/>
        <w:rPr>
          <w:color w:val="FF0000"/>
        </w:rPr>
      </w:pPr>
    </w:p>
    <w:p w:rsidR="00C57BBC" w:rsidRDefault="00ED099D" w:rsidP="00FE7DD1">
      <w:pPr>
        <w:jc w:val="center"/>
        <w:rPr>
          <w:b/>
          <w:color w:val="FF0000"/>
          <w:sz w:val="36"/>
          <w:u w:val="single"/>
        </w:rPr>
      </w:pPr>
      <w:r>
        <w:rPr>
          <w:b/>
          <w:bCs/>
          <w:color w:val="FF0000"/>
          <w:sz w:val="36"/>
          <w:u w:val="single"/>
        </w:rPr>
        <w:t>DOKONČNA</w:t>
      </w:r>
    </w:p>
    <w:p w:rsidR="00C57BBC" w:rsidRDefault="00C57BBC" w:rsidP="00FE7DD1">
      <w:pPr>
        <w:jc w:val="center"/>
        <w:rPr>
          <w:color w:val="FF0000"/>
        </w:rPr>
      </w:pPr>
    </w:p>
    <w:p w:rsidR="00C57BBC" w:rsidRDefault="00C57BBC" w:rsidP="00FE7DD1">
      <w:pPr>
        <w:jc w:val="center"/>
        <w:rPr>
          <w:color w:val="FF0000"/>
        </w:rPr>
      </w:pPr>
    </w:p>
    <w:p w:rsidR="00C57BBC" w:rsidRDefault="00C57BBC" w:rsidP="00FE7DD1">
      <w:pPr>
        <w:jc w:val="center"/>
        <w:rPr>
          <w:i/>
          <w:color w:val="FF0000"/>
          <w:sz w:val="36"/>
        </w:rPr>
      </w:pPr>
      <w:r>
        <w:rPr>
          <w:i/>
          <w:iCs/>
          <w:color w:val="FF0000"/>
          <w:sz w:val="36"/>
          <w:lang w:val="sl"/>
        </w:rPr>
        <w:t>08/07/2008</w:t>
      </w:r>
    </w:p>
    <w:p w:rsidR="00C57BBC" w:rsidRDefault="00C57BBC" w:rsidP="00FE7DD1">
      <w:pPr>
        <w:jc w:val="center"/>
        <w:rPr>
          <w:color w:val="FF0000"/>
        </w:rPr>
      </w:pPr>
    </w:p>
    <w:p w:rsidR="00230AE2" w:rsidRPr="002A4BB6" w:rsidRDefault="00230AE2" w:rsidP="00FE7DD1">
      <w:pPr>
        <w:jc w:val="center"/>
        <w:rPr>
          <w:szCs w:val="24"/>
        </w:rPr>
      </w:pPr>
    </w:p>
    <w:p w:rsidR="00FA7B5E" w:rsidRPr="002A4BB6" w:rsidRDefault="002A4BB6" w:rsidP="00FE7DD1">
      <w:pPr>
        <w:jc w:val="center"/>
        <w:rPr>
          <w:szCs w:val="24"/>
        </w:rPr>
      </w:pPr>
      <w:r>
        <w:rPr>
          <w:i/>
          <w:iCs/>
          <w:szCs w:val="24"/>
          <w:lang w:val="sl"/>
        </w:rPr>
        <w:t>Mogoči so uredniški popravki.</w:t>
      </w:r>
    </w:p>
    <w:p w:rsidR="002A4BB6" w:rsidRPr="002A4BB6" w:rsidRDefault="002A4BB6" w:rsidP="00960DFA">
      <w:pPr>
        <w:pStyle w:val="JuCase"/>
        <w:rPr>
          <w:szCs w:val="24"/>
        </w:rPr>
        <w:sectPr w:rsidR="002A4BB6" w:rsidRPr="002A4BB6" w:rsidSect="002A4BB6">
          <w:headerReference w:type="even" r:id="rId9"/>
          <w:headerReference w:type="default" r:id="rId10"/>
          <w:footerReference w:type="even" r:id="rId11"/>
          <w:footerReference w:type="default" r:id="rId12"/>
          <w:headerReference w:type="first" r:id="rId13"/>
          <w:footerReference w:type="first" r:id="rId14"/>
          <w:footnotePr>
            <w:numRestart w:val="eachPage"/>
          </w:footnotePr>
          <w:pgSz w:w="11906" w:h="16838" w:code="9"/>
          <w:pgMar w:top="2274" w:right="2274" w:bottom="2274" w:left="2274" w:header="1701" w:footer="720" w:gutter="0"/>
          <w:pgNumType w:start="1"/>
          <w:cols w:space="720"/>
          <w:docGrid w:linePitch="326"/>
        </w:sectPr>
      </w:pPr>
    </w:p>
    <w:p w:rsidR="00960DFA" w:rsidRPr="00770E77" w:rsidRDefault="00960DFA" w:rsidP="00960DFA">
      <w:pPr>
        <w:pStyle w:val="JuCase"/>
      </w:pPr>
      <w:r>
        <w:rPr>
          <w:bCs/>
          <w:lang w:val="sl"/>
        </w:rPr>
        <w:lastRenderedPageBreak/>
        <w:t>V zadevi Klinar proti Sloveniji</w:t>
      </w:r>
    </w:p>
    <w:p w:rsidR="00960DFA" w:rsidRDefault="00960DFA" w:rsidP="00960DFA">
      <w:pPr>
        <w:pStyle w:val="JuPara"/>
      </w:pPr>
      <w:r>
        <w:rPr>
          <w:lang w:val="sl"/>
        </w:rPr>
        <w:t>Evropsko sodišče za človekove pravice (tretji oddelek) kot senat v sestavi:</w:t>
      </w:r>
    </w:p>
    <w:p w:rsidR="00960DFA" w:rsidRPr="00DC2481" w:rsidRDefault="002A4BB6" w:rsidP="00960DFA">
      <w:pPr>
        <w:pStyle w:val="JuJudges"/>
        <w:rPr>
          <w:lang w:val="sl"/>
        </w:rPr>
      </w:pPr>
      <w:r>
        <w:rPr>
          <w:rStyle w:val="JuJudgesChar"/>
          <w:lang w:val="sl"/>
        </w:rPr>
        <w:tab/>
        <w:t>Josep Casadevall,</w:t>
      </w:r>
      <w:r>
        <w:rPr>
          <w:rStyle w:val="JuJudgesChar"/>
          <w:i/>
          <w:iCs/>
          <w:lang w:val="sl"/>
        </w:rPr>
        <w:t xml:space="preserve"> predsednik,</w:t>
      </w:r>
      <w:r>
        <w:rPr>
          <w:rStyle w:val="JuJudgesChar"/>
          <w:lang w:val="sl"/>
        </w:rPr>
        <w:br/>
      </w:r>
      <w:r>
        <w:rPr>
          <w:rStyle w:val="JuJudgesChar"/>
          <w:lang w:val="sl"/>
        </w:rPr>
        <w:tab/>
        <w:t>Elisabet Fura-Sandström,</w:t>
      </w:r>
      <w:r>
        <w:rPr>
          <w:rStyle w:val="JuJudgesChar"/>
          <w:lang w:val="sl"/>
        </w:rPr>
        <w:br/>
      </w:r>
      <w:r>
        <w:rPr>
          <w:rStyle w:val="JuJudgesChar"/>
          <w:lang w:val="sl"/>
        </w:rPr>
        <w:tab/>
        <w:t>Corneliu Bîrsan,</w:t>
      </w:r>
      <w:r>
        <w:rPr>
          <w:rStyle w:val="JuJudgesChar"/>
          <w:lang w:val="sl"/>
        </w:rPr>
        <w:br/>
      </w:r>
      <w:r>
        <w:rPr>
          <w:rStyle w:val="JuJudgesChar"/>
          <w:lang w:val="sl"/>
        </w:rPr>
        <w:tab/>
        <w:t>Alvina Gyulumyan,</w:t>
      </w:r>
      <w:r>
        <w:rPr>
          <w:rStyle w:val="JuJudgesChar"/>
          <w:lang w:val="sl"/>
        </w:rPr>
        <w:br/>
      </w:r>
      <w:r>
        <w:rPr>
          <w:rStyle w:val="JuJudgesChar"/>
          <w:lang w:val="sl"/>
        </w:rPr>
        <w:tab/>
        <w:t>Egbert Myjer,</w:t>
      </w:r>
      <w:r>
        <w:rPr>
          <w:rStyle w:val="JuJudgesChar"/>
          <w:lang w:val="sl"/>
        </w:rPr>
        <w:br/>
      </w:r>
      <w:r>
        <w:rPr>
          <w:rStyle w:val="JuJudgesChar"/>
          <w:lang w:val="sl"/>
        </w:rPr>
        <w:tab/>
        <w:t>Ineta Ziemele, sodniki,</w:t>
      </w:r>
      <w:r>
        <w:rPr>
          <w:rStyle w:val="JuJudgesChar"/>
          <w:lang w:val="sl"/>
        </w:rPr>
        <w:br/>
      </w:r>
      <w:r>
        <w:rPr>
          <w:rStyle w:val="JuJudgesChar"/>
          <w:lang w:val="sl"/>
        </w:rPr>
        <w:tab/>
        <w:t>Rajko Pirnat,</w:t>
      </w:r>
      <w:r>
        <w:rPr>
          <w:rStyle w:val="JuJudgesChar"/>
          <w:i/>
          <w:iCs/>
          <w:lang w:val="sl"/>
        </w:rPr>
        <w:t xml:space="preserve"> ad hoc sodnik,</w:t>
      </w:r>
      <w:r>
        <w:rPr>
          <w:rStyle w:val="JuJudgesChar"/>
          <w:lang w:val="sl"/>
        </w:rPr>
        <w:br/>
      </w:r>
      <w:r>
        <w:rPr>
          <w:lang w:val="sl"/>
        </w:rPr>
        <w:t xml:space="preserve">in Santiago Quesada, </w:t>
      </w:r>
      <w:r>
        <w:rPr>
          <w:i/>
          <w:iCs/>
          <w:lang w:val="sl"/>
        </w:rPr>
        <w:t>sodni tajnik oddelka</w:t>
      </w:r>
      <w:r>
        <w:rPr>
          <w:lang w:val="sl"/>
        </w:rPr>
        <w:t>,</w:t>
      </w:r>
    </w:p>
    <w:p w:rsidR="00960DFA" w:rsidRPr="00DC2481" w:rsidRDefault="00FF2FAA" w:rsidP="00960DFA">
      <w:pPr>
        <w:pStyle w:val="JuPara"/>
        <w:rPr>
          <w:lang w:val="sl"/>
        </w:rPr>
      </w:pPr>
      <w:r>
        <w:rPr>
          <w:lang w:val="sl"/>
        </w:rPr>
        <w:t>p</w:t>
      </w:r>
      <w:r w:rsidR="00960DFA">
        <w:rPr>
          <w:lang w:val="sl"/>
        </w:rPr>
        <w:t>o razpravi, zaprti za javnost, ki je bila 18. marca 2008,</w:t>
      </w:r>
    </w:p>
    <w:p w:rsidR="00960DFA" w:rsidRPr="00DC2481" w:rsidRDefault="00960DFA" w:rsidP="00960DFA">
      <w:pPr>
        <w:pStyle w:val="JuPara"/>
        <w:rPr>
          <w:lang w:val="sl"/>
        </w:rPr>
      </w:pPr>
      <w:r>
        <w:rPr>
          <w:lang w:val="sl"/>
        </w:rPr>
        <w:t>izreka to sodbo, sprejeto navedenega dne:</w:t>
      </w:r>
    </w:p>
    <w:p w:rsidR="00960DFA" w:rsidRPr="00DC2481" w:rsidRDefault="00960DFA" w:rsidP="00960DFA">
      <w:pPr>
        <w:pStyle w:val="JuHHead"/>
        <w:rPr>
          <w:lang w:val="sl"/>
        </w:rPr>
      </w:pPr>
      <w:r>
        <w:rPr>
          <w:lang w:val="sl"/>
        </w:rPr>
        <w:t>POSTOPEK</w:t>
      </w:r>
    </w:p>
    <w:p w:rsidR="00960DFA" w:rsidRPr="00DC2481" w:rsidRDefault="00960DFA" w:rsidP="00960DFA">
      <w:pPr>
        <w:pStyle w:val="JuPara"/>
        <w:rPr>
          <w:lang w:val="sl"/>
        </w:rPr>
      </w:pPr>
      <w:r>
        <w:rPr>
          <w:lang w:val="sl"/>
        </w:rPr>
        <w:fldChar w:fldCharType="begin"/>
      </w:r>
      <w:r>
        <w:rPr>
          <w:lang w:val="sl"/>
        </w:rPr>
        <w:instrText xml:space="preserve"> SEQ level0 \*arabic </w:instrText>
      </w:r>
      <w:r>
        <w:rPr>
          <w:lang w:val="sl"/>
        </w:rPr>
        <w:fldChar w:fldCharType="separate"/>
      </w:r>
      <w:r w:rsidR="0020236F">
        <w:rPr>
          <w:noProof/>
          <w:lang w:val="sl"/>
        </w:rPr>
        <w:t>1</w:t>
      </w:r>
      <w:r>
        <w:rPr>
          <w:lang w:val="sl"/>
        </w:rPr>
        <w:fldChar w:fldCharType="end"/>
      </w:r>
      <w:r>
        <w:rPr>
          <w:lang w:val="sl"/>
        </w:rPr>
        <w:t xml:space="preserve">.  Zadeva se je začela s </w:t>
      </w:r>
      <w:r>
        <w:rPr>
          <w:rStyle w:val="JuParaChar"/>
          <w:lang w:val="sl"/>
        </w:rPr>
        <w:t>pritožbo (št. 34544/02)</w:t>
      </w:r>
      <w:r>
        <w:rPr>
          <w:lang w:val="sl"/>
        </w:rPr>
        <w:t xml:space="preserve"> proti Republiki Sloveniji, ki jo je pri Sodišču na podlagi 34. člena Konvencije o varstvu človekovih pravic in temeljnih svoboščin (v nadaljnjem besedilu: konvencija) 6. decembra 2000 vložila slovenska državljanka Andreja Klinar (v nadaljnjem besedilu: pritožnica).</w:t>
      </w:r>
    </w:p>
    <w:p w:rsidR="00960DFA" w:rsidRPr="00DC2481" w:rsidRDefault="00960DFA" w:rsidP="00960DFA">
      <w:pPr>
        <w:pStyle w:val="JuPara"/>
        <w:rPr>
          <w:lang w:val="sl"/>
        </w:rPr>
      </w:pPr>
      <w:r>
        <w:rPr>
          <w:lang w:val="sl"/>
        </w:rPr>
        <w:fldChar w:fldCharType="begin"/>
      </w:r>
      <w:r>
        <w:rPr>
          <w:lang w:val="sl"/>
        </w:rPr>
        <w:instrText xml:space="preserve"> SEQ level0 \*arabic </w:instrText>
      </w:r>
      <w:r>
        <w:rPr>
          <w:lang w:val="sl"/>
        </w:rPr>
        <w:fldChar w:fldCharType="separate"/>
      </w:r>
      <w:r w:rsidR="0020236F">
        <w:rPr>
          <w:noProof/>
          <w:lang w:val="sl"/>
        </w:rPr>
        <w:t>2</w:t>
      </w:r>
      <w:r>
        <w:rPr>
          <w:lang w:val="sl"/>
        </w:rPr>
        <w:fldChar w:fldCharType="end"/>
      </w:r>
      <w:r>
        <w:rPr>
          <w:lang w:val="sl"/>
        </w:rPr>
        <w:t>.  Slovensko vlado (v nadaljevanju: vlada) je zastopal L. Bembič, generalni državni pravobranilec.</w:t>
      </w:r>
    </w:p>
    <w:p w:rsidR="00960DFA" w:rsidRPr="00DC2481" w:rsidRDefault="00960DFA" w:rsidP="00960DFA">
      <w:pPr>
        <w:pStyle w:val="JuPara"/>
        <w:rPr>
          <w:lang w:val="sl"/>
        </w:rPr>
      </w:pPr>
      <w:r>
        <w:rPr>
          <w:lang w:val="sl"/>
        </w:rPr>
        <w:fldChar w:fldCharType="begin"/>
      </w:r>
      <w:r>
        <w:rPr>
          <w:lang w:val="sl"/>
        </w:rPr>
        <w:instrText xml:space="preserve"> SEQ level0 \*arabic </w:instrText>
      </w:r>
      <w:r>
        <w:rPr>
          <w:lang w:val="sl"/>
        </w:rPr>
        <w:fldChar w:fldCharType="separate"/>
      </w:r>
      <w:r w:rsidR="0020236F">
        <w:rPr>
          <w:noProof/>
          <w:lang w:val="sl"/>
        </w:rPr>
        <w:t>3</w:t>
      </w:r>
      <w:r>
        <w:rPr>
          <w:lang w:val="sl"/>
        </w:rPr>
        <w:fldChar w:fldCharType="end"/>
      </w:r>
      <w:r>
        <w:rPr>
          <w:lang w:val="sl"/>
        </w:rPr>
        <w:t>.  Pritožnica je na podlagi prvega odstavka 6. člena konvencije trdila, da so postopki pred domačimi sodišči, v katerih je bila stranka v postopku, trajali predolgo. Smiselno se je pritožila tudi, da ni bilo učinkovitega notranjepravnega sredstva v zvezi s predolgim trajanjem postopkov (13. člen konvencije).</w:t>
      </w:r>
    </w:p>
    <w:p w:rsidR="00960DFA" w:rsidRPr="00DC2481" w:rsidRDefault="00960DFA" w:rsidP="00960DFA">
      <w:pPr>
        <w:pStyle w:val="JuPara"/>
        <w:rPr>
          <w:lang w:val="sl"/>
        </w:rPr>
      </w:pPr>
      <w:r>
        <w:rPr>
          <w:lang w:val="sl"/>
        </w:rPr>
        <w:fldChar w:fldCharType="begin"/>
      </w:r>
      <w:r>
        <w:rPr>
          <w:lang w:val="sl"/>
        </w:rPr>
        <w:instrText xml:space="preserve"> SEQ level0 \*arabic </w:instrText>
      </w:r>
      <w:r>
        <w:rPr>
          <w:lang w:val="sl"/>
        </w:rPr>
        <w:fldChar w:fldCharType="separate"/>
      </w:r>
      <w:r w:rsidR="0020236F">
        <w:rPr>
          <w:noProof/>
          <w:lang w:val="sl"/>
        </w:rPr>
        <w:t>4</w:t>
      </w:r>
      <w:r>
        <w:rPr>
          <w:lang w:val="sl"/>
        </w:rPr>
        <w:fldChar w:fldCharType="end"/>
      </w:r>
      <w:r>
        <w:rPr>
          <w:lang w:val="sl"/>
        </w:rPr>
        <w:t>.  28.</w:t>
      </w:r>
      <w:r>
        <w:rPr>
          <w:rStyle w:val="JuParaChar"/>
          <w:lang w:val="sl"/>
        </w:rPr>
        <w:t> septembra 2006</w:t>
      </w:r>
      <w:r>
        <w:rPr>
          <w:lang w:val="sl"/>
        </w:rPr>
        <w:t xml:space="preserve"> se je Sodišče odločilo, da bo vlado obvestilo o pritožbah glede trajanja postopkov in pomanjkanja pravnih sredstev v zvezi z njimi. V skladu s tretjim odstavkom 29. člena konvencije je sklenilo, da bo hkrati odločalo o sprejemljivosti in utemeljenosti pritožbe.</w:t>
      </w:r>
    </w:p>
    <w:p w:rsidR="00960DFA" w:rsidRPr="00DC2481" w:rsidRDefault="00960DFA" w:rsidP="00960DFA">
      <w:pPr>
        <w:pStyle w:val="JuHHead"/>
        <w:rPr>
          <w:lang w:val="sl"/>
        </w:rPr>
      </w:pPr>
      <w:r>
        <w:rPr>
          <w:lang w:val="sl"/>
        </w:rPr>
        <w:t>DEJSTVA</w:t>
      </w:r>
    </w:p>
    <w:p w:rsidR="00960DFA" w:rsidRPr="00DC2481" w:rsidRDefault="00960DFA" w:rsidP="00960DFA">
      <w:pPr>
        <w:pStyle w:val="JuHIRoman"/>
        <w:rPr>
          <w:lang w:val="sl"/>
        </w:rPr>
      </w:pPr>
      <w:r>
        <w:rPr>
          <w:lang w:val="sl"/>
        </w:rPr>
        <w:t>I. OKOLIŠČINE ZADEVE</w:t>
      </w:r>
    </w:p>
    <w:p w:rsidR="00960DFA" w:rsidRPr="00DC2481" w:rsidRDefault="00960DFA" w:rsidP="00960DFA">
      <w:pPr>
        <w:pStyle w:val="JuPara"/>
        <w:rPr>
          <w:lang w:val="sl"/>
        </w:rPr>
      </w:pPr>
      <w:r>
        <w:rPr>
          <w:lang w:val="sl"/>
        </w:rPr>
        <w:fldChar w:fldCharType="begin"/>
      </w:r>
      <w:r>
        <w:rPr>
          <w:lang w:val="sl"/>
        </w:rPr>
        <w:instrText xml:space="preserve"> SEQ level0 \*arabic </w:instrText>
      </w:r>
      <w:r>
        <w:rPr>
          <w:lang w:val="sl"/>
        </w:rPr>
        <w:fldChar w:fldCharType="separate"/>
      </w:r>
      <w:r w:rsidR="0020236F">
        <w:rPr>
          <w:noProof/>
          <w:lang w:val="sl"/>
        </w:rPr>
        <w:t>5</w:t>
      </w:r>
      <w:r>
        <w:rPr>
          <w:lang w:val="sl"/>
        </w:rPr>
        <w:fldChar w:fldCharType="end"/>
      </w:r>
      <w:r>
        <w:rPr>
          <w:lang w:val="sl"/>
        </w:rPr>
        <w:t xml:space="preserve">.  Pritožnica je bila rojena leta 1943 in živi na Jesenicah. </w:t>
      </w:r>
    </w:p>
    <w:p w:rsidR="00960DFA" w:rsidRPr="00DC2481" w:rsidRDefault="00960DFA" w:rsidP="00960DFA">
      <w:pPr>
        <w:pStyle w:val="JuPara"/>
        <w:rPr>
          <w:lang w:val="es-ES_tradnl"/>
        </w:rPr>
      </w:pPr>
      <w:r>
        <w:rPr>
          <w:lang w:val="sl"/>
        </w:rPr>
        <w:fldChar w:fldCharType="begin"/>
      </w:r>
      <w:r>
        <w:rPr>
          <w:lang w:val="sl"/>
        </w:rPr>
        <w:instrText xml:space="preserve"> SEQ level0 \*arabic </w:instrText>
      </w:r>
      <w:r>
        <w:rPr>
          <w:lang w:val="sl"/>
        </w:rPr>
        <w:fldChar w:fldCharType="separate"/>
      </w:r>
      <w:r w:rsidR="0020236F">
        <w:rPr>
          <w:noProof/>
          <w:lang w:val="sl"/>
        </w:rPr>
        <w:t>6</w:t>
      </w:r>
      <w:r>
        <w:rPr>
          <w:lang w:val="sl"/>
        </w:rPr>
        <w:fldChar w:fldCharType="end"/>
      </w:r>
      <w:r>
        <w:rPr>
          <w:lang w:val="sl"/>
        </w:rPr>
        <w:t>.  20. avgusta 1994 je umrla pritožničina mati A.K.</w:t>
      </w:r>
    </w:p>
    <w:p w:rsidR="00960DFA" w:rsidRPr="00DC2481" w:rsidRDefault="00960DFA" w:rsidP="00960DFA">
      <w:pPr>
        <w:pStyle w:val="JuPara"/>
        <w:rPr>
          <w:lang w:val="es-ES_tradnl"/>
        </w:rPr>
      </w:pPr>
      <w:r>
        <w:rPr>
          <w:lang w:val="sl"/>
        </w:rPr>
        <w:fldChar w:fldCharType="begin"/>
      </w:r>
      <w:r>
        <w:rPr>
          <w:lang w:val="sl"/>
        </w:rPr>
        <w:instrText xml:space="preserve"> SEQ level0 \*arabic </w:instrText>
      </w:r>
      <w:r>
        <w:rPr>
          <w:lang w:val="sl"/>
        </w:rPr>
        <w:fldChar w:fldCharType="separate"/>
      </w:r>
      <w:r w:rsidR="0020236F">
        <w:rPr>
          <w:noProof/>
          <w:lang w:val="sl"/>
        </w:rPr>
        <w:t>7</w:t>
      </w:r>
      <w:r>
        <w:rPr>
          <w:lang w:val="sl"/>
        </w:rPr>
        <w:fldChar w:fldCharType="end"/>
      </w:r>
      <w:r>
        <w:rPr>
          <w:lang w:val="sl"/>
        </w:rPr>
        <w:t>.  7. oktobra 1994 je Okrajno sodišče na Jesenicah</w:t>
      </w:r>
      <w:r>
        <w:rPr>
          <w:szCs w:val="24"/>
          <w:lang w:val="sl"/>
        </w:rPr>
        <w:t xml:space="preserve"> prejelo smrtovnico</w:t>
      </w:r>
      <w:r w:rsidR="00ED099D">
        <w:rPr>
          <w:szCs w:val="24"/>
          <w:lang w:val="sl"/>
        </w:rPr>
        <w:t>.</w:t>
      </w:r>
      <w:r>
        <w:rPr>
          <w:szCs w:val="24"/>
          <w:lang w:val="sl"/>
        </w:rPr>
        <w:t>.</w:t>
      </w:r>
      <w:r>
        <w:rPr>
          <w:lang w:val="sl"/>
        </w:rPr>
        <w:t xml:space="preserve"> </w:t>
      </w:r>
    </w:p>
    <w:p w:rsidR="00E26157" w:rsidRPr="00DC2481" w:rsidRDefault="00960DFA" w:rsidP="00960DFA">
      <w:pPr>
        <w:pStyle w:val="JuPara"/>
        <w:rPr>
          <w:lang w:val="es-ES_tradnl"/>
        </w:rPr>
      </w:pPr>
      <w:r>
        <w:rPr>
          <w:lang w:val="sl"/>
        </w:rPr>
        <w:lastRenderedPageBreak/>
        <w:fldChar w:fldCharType="begin"/>
      </w:r>
      <w:r>
        <w:rPr>
          <w:lang w:val="sl"/>
        </w:rPr>
        <w:instrText xml:space="preserve"> SEQ level0 \*arabic </w:instrText>
      </w:r>
      <w:r>
        <w:rPr>
          <w:lang w:val="sl"/>
        </w:rPr>
        <w:fldChar w:fldCharType="separate"/>
      </w:r>
      <w:r w:rsidR="0020236F">
        <w:rPr>
          <w:noProof/>
          <w:lang w:val="sl"/>
        </w:rPr>
        <w:t>8</w:t>
      </w:r>
      <w:r>
        <w:rPr>
          <w:lang w:val="sl"/>
        </w:rPr>
        <w:fldChar w:fldCharType="end"/>
      </w:r>
      <w:r>
        <w:rPr>
          <w:lang w:val="sl"/>
        </w:rPr>
        <w:t xml:space="preserve">.  22. marca 1995 je bila pritožnica obveščena o nameri sodišča, da </w:t>
      </w:r>
      <w:r w:rsidR="007F0A75">
        <w:rPr>
          <w:lang w:val="sl"/>
        </w:rPr>
        <w:t xml:space="preserve">v zapuščinskem postopku </w:t>
      </w:r>
      <w:r>
        <w:rPr>
          <w:lang w:val="sl"/>
        </w:rPr>
        <w:t xml:space="preserve">razpiše narok za </w:t>
      </w:r>
      <w:r w:rsidR="007F0A75">
        <w:rPr>
          <w:lang w:val="sl"/>
        </w:rPr>
        <w:t>glavno</w:t>
      </w:r>
      <w:r>
        <w:rPr>
          <w:lang w:val="sl"/>
        </w:rPr>
        <w:t xml:space="preserve"> obravnavo in je prejela vabilo za udeležbo. </w:t>
      </w:r>
    </w:p>
    <w:p w:rsidR="00960DFA" w:rsidRPr="00DC2481" w:rsidRDefault="00960DFA" w:rsidP="00960DFA">
      <w:pPr>
        <w:pStyle w:val="JuPara"/>
        <w:rPr>
          <w:lang w:val="es-ES_tradnl"/>
        </w:rPr>
      </w:pPr>
      <w:r>
        <w:rPr>
          <w:lang w:val="sl"/>
        </w:rPr>
        <w:fldChar w:fldCharType="begin"/>
      </w:r>
      <w:r>
        <w:rPr>
          <w:lang w:val="sl"/>
        </w:rPr>
        <w:instrText xml:space="preserve"> SEQ level0 \*arabic </w:instrText>
      </w:r>
      <w:r>
        <w:rPr>
          <w:lang w:val="sl"/>
        </w:rPr>
        <w:fldChar w:fldCharType="separate"/>
      </w:r>
      <w:r w:rsidR="0020236F">
        <w:rPr>
          <w:noProof/>
          <w:lang w:val="sl"/>
        </w:rPr>
        <w:t>9</w:t>
      </w:r>
      <w:r>
        <w:rPr>
          <w:lang w:val="sl"/>
        </w:rPr>
        <w:fldChar w:fldCharType="end"/>
      </w:r>
      <w:r>
        <w:rPr>
          <w:lang w:val="sl"/>
        </w:rPr>
        <w:t>.  Sodišče je 5. aprila in 25. oktobra 1995 opravilo narok</w:t>
      </w:r>
      <w:r w:rsidR="001368F5">
        <w:rPr>
          <w:lang w:val="sl"/>
        </w:rPr>
        <w:t>a</w:t>
      </w:r>
      <w:r>
        <w:rPr>
          <w:lang w:val="sl"/>
        </w:rPr>
        <w:t xml:space="preserve"> za </w:t>
      </w:r>
      <w:r w:rsidR="007F0A75">
        <w:rPr>
          <w:lang w:val="sl"/>
        </w:rPr>
        <w:t>glavno</w:t>
      </w:r>
      <w:r>
        <w:rPr>
          <w:lang w:val="sl"/>
        </w:rPr>
        <w:t xml:space="preserve"> obravnavo.</w:t>
      </w:r>
    </w:p>
    <w:p w:rsidR="00960DFA" w:rsidRPr="00DC2481" w:rsidRDefault="00960DFA" w:rsidP="00960DFA">
      <w:pPr>
        <w:pStyle w:val="JuPara"/>
        <w:rPr>
          <w:lang w:val="es-ES_tradnl"/>
        </w:rPr>
      </w:pPr>
      <w:r>
        <w:rPr>
          <w:lang w:val="sl"/>
        </w:rPr>
        <w:fldChar w:fldCharType="begin"/>
      </w:r>
      <w:r>
        <w:rPr>
          <w:lang w:val="sl"/>
        </w:rPr>
        <w:instrText xml:space="preserve"> SEQ level0 \*arabic </w:instrText>
      </w:r>
      <w:r>
        <w:rPr>
          <w:lang w:val="sl"/>
        </w:rPr>
        <w:fldChar w:fldCharType="separate"/>
      </w:r>
      <w:r w:rsidR="0020236F">
        <w:rPr>
          <w:noProof/>
          <w:lang w:val="sl"/>
        </w:rPr>
        <w:t>10</w:t>
      </w:r>
      <w:r>
        <w:rPr>
          <w:lang w:val="sl"/>
        </w:rPr>
        <w:fldChar w:fldCharType="end"/>
      </w:r>
      <w:r>
        <w:rPr>
          <w:lang w:val="sl"/>
        </w:rPr>
        <w:t>.  Medtem je pritožnica 5. julija 1995 vložila pisn</w:t>
      </w:r>
      <w:r w:rsidR="00ED099D">
        <w:rPr>
          <w:lang w:val="sl"/>
        </w:rPr>
        <w:t>o</w:t>
      </w:r>
      <w:r>
        <w:rPr>
          <w:lang w:val="sl"/>
        </w:rPr>
        <w:t xml:space="preserve"> vlog</w:t>
      </w:r>
      <w:r w:rsidR="00ED099D">
        <w:rPr>
          <w:lang w:val="sl"/>
        </w:rPr>
        <w:t>o</w:t>
      </w:r>
      <w:r>
        <w:rPr>
          <w:lang w:val="sl"/>
        </w:rPr>
        <w:t xml:space="preserve">. </w:t>
      </w:r>
    </w:p>
    <w:p w:rsidR="00960DFA" w:rsidRPr="00DC2481" w:rsidRDefault="00960DFA" w:rsidP="00960DFA">
      <w:pPr>
        <w:pStyle w:val="JuPara"/>
        <w:rPr>
          <w:lang w:val="es-ES_tradnl"/>
        </w:rPr>
      </w:pPr>
      <w:r>
        <w:rPr>
          <w:lang w:val="sl"/>
        </w:rPr>
        <w:fldChar w:fldCharType="begin"/>
      </w:r>
      <w:r>
        <w:rPr>
          <w:lang w:val="sl"/>
        </w:rPr>
        <w:instrText xml:space="preserve"> SEQ level0 \*arabic </w:instrText>
      </w:r>
      <w:r>
        <w:rPr>
          <w:lang w:val="sl"/>
        </w:rPr>
        <w:fldChar w:fldCharType="separate"/>
      </w:r>
      <w:r w:rsidR="0020236F">
        <w:rPr>
          <w:noProof/>
          <w:lang w:val="sl"/>
        </w:rPr>
        <w:t>11</w:t>
      </w:r>
      <w:r>
        <w:rPr>
          <w:lang w:val="sl"/>
        </w:rPr>
        <w:fldChar w:fldCharType="end"/>
      </w:r>
      <w:r>
        <w:rPr>
          <w:lang w:val="sl"/>
        </w:rPr>
        <w:t>.  16. junija 1997 je sodišče izdalo delni sklep o dedovanju lastninskega certifikata A. K.</w:t>
      </w:r>
      <w:r>
        <w:rPr>
          <w:lang w:val="sl"/>
        </w:rPr>
        <w:tab/>
      </w:r>
    </w:p>
    <w:p w:rsidR="00E26157" w:rsidRPr="00DC2481" w:rsidRDefault="00960DFA" w:rsidP="00960DFA">
      <w:pPr>
        <w:pStyle w:val="JuPara"/>
        <w:rPr>
          <w:lang w:val="sl"/>
        </w:rPr>
      </w:pPr>
      <w:r>
        <w:rPr>
          <w:lang w:val="sl"/>
        </w:rPr>
        <w:fldChar w:fldCharType="begin"/>
      </w:r>
      <w:r>
        <w:rPr>
          <w:lang w:val="sl"/>
        </w:rPr>
        <w:instrText xml:space="preserve"> SEQ level0 \*arabic </w:instrText>
      </w:r>
      <w:r>
        <w:rPr>
          <w:lang w:val="sl"/>
        </w:rPr>
        <w:fldChar w:fldCharType="separate"/>
      </w:r>
      <w:r w:rsidR="0020236F">
        <w:rPr>
          <w:noProof/>
          <w:lang w:val="sl"/>
        </w:rPr>
        <w:t>12</w:t>
      </w:r>
      <w:r>
        <w:rPr>
          <w:lang w:val="sl"/>
        </w:rPr>
        <w:fldChar w:fldCharType="end"/>
      </w:r>
      <w:r>
        <w:rPr>
          <w:lang w:val="sl"/>
        </w:rPr>
        <w:t>.  27. junija</w:t>
      </w:r>
      <w:r w:rsidR="00171831">
        <w:rPr>
          <w:lang w:val="sl"/>
        </w:rPr>
        <w:t xml:space="preserve"> </w:t>
      </w:r>
      <w:r>
        <w:rPr>
          <w:lang w:val="sl"/>
        </w:rPr>
        <w:t>in 5. septembra 2000 je sodišče opravilo narok</w:t>
      </w:r>
      <w:r w:rsidR="001368F5">
        <w:rPr>
          <w:lang w:val="sl"/>
        </w:rPr>
        <w:t>a</w:t>
      </w:r>
      <w:r>
        <w:rPr>
          <w:lang w:val="sl"/>
        </w:rPr>
        <w:t xml:space="preserve"> za </w:t>
      </w:r>
      <w:r w:rsidR="007F0A75">
        <w:rPr>
          <w:lang w:val="sl"/>
        </w:rPr>
        <w:t>glavno</w:t>
      </w:r>
      <w:r>
        <w:rPr>
          <w:lang w:val="sl"/>
        </w:rPr>
        <w:t xml:space="preserve"> obravnavo. </w:t>
      </w:r>
      <w:r w:rsidR="001368F5">
        <w:rPr>
          <w:lang w:val="sl"/>
        </w:rPr>
        <w:t xml:space="preserve">Sodišče je </w:t>
      </w:r>
      <w:r w:rsidR="002424BA">
        <w:rPr>
          <w:lang w:val="sl"/>
        </w:rPr>
        <w:t xml:space="preserve">oba </w:t>
      </w:r>
      <w:r w:rsidR="001368F5">
        <w:rPr>
          <w:lang w:val="sl"/>
        </w:rPr>
        <w:t>narok</w:t>
      </w:r>
      <w:r w:rsidR="002424BA">
        <w:rPr>
          <w:lang w:val="sl"/>
        </w:rPr>
        <w:t>a</w:t>
      </w:r>
      <w:r w:rsidR="001368F5">
        <w:rPr>
          <w:lang w:val="sl"/>
        </w:rPr>
        <w:t xml:space="preserve"> preložilo z namenom, </w:t>
      </w:r>
      <w:r>
        <w:rPr>
          <w:lang w:val="sl"/>
        </w:rPr>
        <w:t>da bi dedinje v tem času poizkusile doseči dedni dogovor.</w:t>
      </w:r>
      <w:r w:rsidR="00171831">
        <w:rPr>
          <w:lang w:val="sl"/>
        </w:rPr>
        <w:t xml:space="preserve"> </w:t>
      </w:r>
      <w:r>
        <w:rPr>
          <w:lang w:val="sl"/>
        </w:rPr>
        <w:t xml:space="preserve">Očitno pa je bilo nadaljnje dogovarjanje neuspešno. </w:t>
      </w:r>
    </w:p>
    <w:p w:rsidR="00960DFA" w:rsidRPr="00DC2481" w:rsidRDefault="00960DFA" w:rsidP="00960DFA">
      <w:pPr>
        <w:pStyle w:val="JuPara"/>
        <w:rPr>
          <w:lang w:val="sl"/>
        </w:rPr>
      </w:pPr>
      <w:r>
        <w:rPr>
          <w:lang w:val="sl"/>
        </w:rPr>
        <w:fldChar w:fldCharType="begin"/>
      </w:r>
      <w:r>
        <w:rPr>
          <w:lang w:val="sl"/>
        </w:rPr>
        <w:instrText xml:space="preserve"> SEQ level0 \*arabic </w:instrText>
      </w:r>
      <w:r>
        <w:rPr>
          <w:lang w:val="sl"/>
        </w:rPr>
        <w:fldChar w:fldCharType="separate"/>
      </w:r>
      <w:r w:rsidR="0020236F">
        <w:rPr>
          <w:noProof/>
          <w:lang w:val="sl"/>
        </w:rPr>
        <w:t>13</w:t>
      </w:r>
      <w:r>
        <w:rPr>
          <w:lang w:val="sl"/>
        </w:rPr>
        <w:fldChar w:fldCharType="end"/>
      </w:r>
      <w:r>
        <w:rPr>
          <w:lang w:val="sl"/>
        </w:rPr>
        <w:t>.  8. novembra 2000 je pritožnica vložila pisn</w:t>
      </w:r>
      <w:r w:rsidR="001368F5">
        <w:rPr>
          <w:lang w:val="sl"/>
        </w:rPr>
        <w:t>o</w:t>
      </w:r>
      <w:r>
        <w:rPr>
          <w:lang w:val="sl"/>
        </w:rPr>
        <w:t xml:space="preserve"> vlog</w:t>
      </w:r>
      <w:r w:rsidR="001368F5">
        <w:rPr>
          <w:lang w:val="sl"/>
        </w:rPr>
        <w:t>o</w:t>
      </w:r>
      <w:r>
        <w:rPr>
          <w:lang w:val="sl"/>
        </w:rPr>
        <w:t xml:space="preserve">. </w:t>
      </w:r>
    </w:p>
    <w:p w:rsidR="00E26157" w:rsidRPr="00DC2481" w:rsidRDefault="00960DFA" w:rsidP="00960DFA">
      <w:pPr>
        <w:pStyle w:val="JuPara"/>
        <w:rPr>
          <w:lang w:val="sl"/>
        </w:rPr>
      </w:pPr>
      <w:r>
        <w:rPr>
          <w:lang w:val="sl"/>
        </w:rPr>
        <w:fldChar w:fldCharType="begin"/>
      </w:r>
      <w:r>
        <w:rPr>
          <w:lang w:val="sl"/>
        </w:rPr>
        <w:instrText xml:space="preserve"> SEQ level0 \*arabic </w:instrText>
      </w:r>
      <w:r>
        <w:rPr>
          <w:lang w:val="sl"/>
        </w:rPr>
        <w:fldChar w:fldCharType="separate"/>
      </w:r>
      <w:r w:rsidR="0020236F">
        <w:rPr>
          <w:noProof/>
          <w:lang w:val="sl"/>
        </w:rPr>
        <w:t>14</w:t>
      </w:r>
      <w:r>
        <w:rPr>
          <w:lang w:val="sl"/>
        </w:rPr>
        <w:fldChar w:fldCharType="end"/>
      </w:r>
      <w:r>
        <w:rPr>
          <w:lang w:val="sl"/>
        </w:rPr>
        <w:t>.  Sodišče je na novem naroku za</w:t>
      </w:r>
      <w:r w:rsidR="001368F5">
        <w:rPr>
          <w:lang w:val="sl"/>
        </w:rPr>
        <w:t xml:space="preserve"> glavno</w:t>
      </w:r>
      <w:r>
        <w:rPr>
          <w:lang w:val="sl"/>
        </w:rPr>
        <w:t xml:space="preserve"> obravnavo, ki ga je opravilo 14. novembra 2000, sklenilo, da prekine postopek in je stranke napotilo na ločeni pravdni postopek za </w:t>
      </w:r>
      <w:r w:rsidR="00B0688A">
        <w:rPr>
          <w:lang w:val="sl"/>
        </w:rPr>
        <w:t>ugotovitev</w:t>
      </w:r>
      <w:r>
        <w:rPr>
          <w:lang w:val="sl"/>
        </w:rPr>
        <w:t xml:space="preserve"> obseg</w:t>
      </w:r>
      <w:r w:rsidR="00B0688A">
        <w:rPr>
          <w:lang w:val="sl"/>
        </w:rPr>
        <w:t>a</w:t>
      </w:r>
      <w:r>
        <w:rPr>
          <w:lang w:val="sl"/>
        </w:rPr>
        <w:t xml:space="preserve"> zapuščine A.K., glede katerega se dedinje niso strinjale. </w:t>
      </w:r>
    </w:p>
    <w:p w:rsidR="00960DFA" w:rsidRPr="00DC2481" w:rsidRDefault="00960DFA" w:rsidP="00960DFA">
      <w:pPr>
        <w:pStyle w:val="JuPara"/>
        <w:rPr>
          <w:lang w:val="sl"/>
        </w:rPr>
      </w:pPr>
      <w:r>
        <w:rPr>
          <w:lang w:val="sl"/>
        </w:rPr>
        <w:fldChar w:fldCharType="begin"/>
      </w:r>
      <w:r>
        <w:rPr>
          <w:lang w:val="sl"/>
        </w:rPr>
        <w:instrText xml:space="preserve"> SEQ level0 \*arabic </w:instrText>
      </w:r>
      <w:r>
        <w:rPr>
          <w:lang w:val="sl"/>
        </w:rPr>
        <w:fldChar w:fldCharType="separate"/>
      </w:r>
      <w:r w:rsidR="0020236F">
        <w:rPr>
          <w:noProof/>
          <w:lang w:val="sl"/>
        </w:rPr>
        <w:t>15</w:t>
      </w:r>
      <w:r>
        <w:rPr>
          <w:lang w:val="sl"/>
        </w:rPr>
        <w:fldChar w:fldCharType="end"/>
      </w:r>
      <w:r>
        <w:rPr>
          <w:lang w:val="sl"/>
        </w:rPr>
        <w:t>.  Ena od dedinj je 5. februarja 2001 vložila tožb</w:t>
      </w:r>
      <w:r w:rsidR="00B0688A">
        <w:rPr>
          <w:lang w:val="sl"/>
        </w:rPr>
        <w:t>o</w:t>
      </w:r>
      <w:r>
        <w:rPr>
          <w:lang w:val="sl"/>
        </w:rPr>
        <w:t xml:space="preserve"> na Okrožno sodišče v Kranju v skladu z napotilom Okrajnega sodišča na Jesenicah (14. odstavek zgoraj). Pravdni postopek se je zaključil 27. oktobra 2003 s sklenitvijo dednega dogovora med dedinjami in sodišče je nato nadaljevalo zapuščinski postopek.</w:t>
      </w:r>
      <w:r w:rsidR="00171831">
        <w:rPr>
          <w:lang w:val="sl"/>
        </w:rPr>
        <w:t xml:space="preserve"> </w:t>
      </w:r>
    </w:p>
    <w:p w:rsidR="00960DFA" w:rsidRPr="00DC2481" w:rsidRDefault="00960DFA" w:rsidP="00960DFA">
      <w:pPr>
        <w:pStyle w:val="JuPara"/>
        <w:rPr>
          <w:lang w:val="sl"/>
        </w:rPr>
      </w:pPr>
      <w:r>
        <w:rPr>
          <w:lang w:val="sl"/>
        </w:rPr>
        <w:fldChar w:fldCharType="begin"/>
      </w:r>
      <w:r>
        <w:rPr>
          <w:lang w:val="sl"/>
        </w:rPr>
        <w:instrText xml:space="preserve"> SEQ level0 \*arabic </w:instrText>
      </w:r>
      <w:r>
        <w:rPr>
          <w:lang w:val="sl"/>
        </w:rPr>
        <w:fldChar w:fldCharType="separate"/>
      </w:r>
      <w:r w:rsidR="0020236F">
        <w:rPr>
          <w:noProof/>
          <w:lang w:val="sl"/>
        </w:rPr>
        <w:t>16</w:t>
      </w:r>
      <w:r>
        <w:rPr>
          <w:lang w:val="sl"/>
        </w:rPr>
        <w:fldChar w:fldCharType="end"/>
      </w:r>
      <w:r>
        <w:rPr>
          <w:lang w:val="sl"/>
        </w:rPr>
        <w:t>.  Medtem je 19. decembra 2000 Okrajno sodišče na Jesenicah zavrnilo pritožničin predlog za izdajo začasne odredbe.</w:t>
      </w:r>
      <w:r w:rsidR="00171831">
        <w:rPr>
          <w:lang w:val="sl"/>
        </w:rPr>
        <w:t xml:space="preserve"> </w:t>
      </w:r>
      <w:r>
        <w:rPr>
          <w:lang w:val="sl"/>
        </w:rPr>
        <w:t>Poleg tega je Upravna enota Jesenice 15. marca 2001 izdala odločbo, s katero je ugotovila, da kmetija, ki je bila del zapuščine A.K., ni pod posebno zaščito, ki bi preprečila njeno delitev. Okrajno sodišče na Jesenicah je to odločbo prejelo 18. maja 2001.</w:t>
      </w:r>
    </w:p>
    <w:p w:rsidR="00960DFA" w:rsidRPr="00DC2481" w:rsidRDefault="00960DFA" w:rsidP="00960DFA">
      <w:pPr>
        <w:pStyle w:val="JuPara"/>
        <w:rPr>
          <w:lang w:val="sl"/>
        </w:rPr>
      </w:pPr>
      <w:r>
        <w:rPr>
          <w:lang w:val="sl"/>
        </w:rPr>
        <w:fldChar w:fldCharType="begin"/>
      </w:r>
      <w:r>
        <w:rPr>
          <w:lang w:val="sl"/>
        </w:rPr>
        <w:instrText xml:space="preserve"> SEQ level0 \*arabic </w:instrText>
      </w:r>
      <w:r>
        <w:rPr>
          <w:lang w:val="sl"/>
        </w:rPr>
        <w:fldChar w:fldCharType="separate"/>
      </w:r>
      <w:r w:rsidR="0020236F">
        <w:rPr>
          <w:noProof/>
          <w:lang w:val="sl"/>
        </w:rPr>
        <w:t>17</w:t>
      </w:r>
      <w:r>
        <w:rPr>
          <w:lang w:val="sl"/>
        </w:rPr>
        <w:fldChar w:fldCharType="end"/>
      </w:r>
      <w:r>
        <w:rPr>
          <w:lang w:val="sl"/>
        </w:rPr>
        <w:t>.  Okrajno sodišče na Jesenicah je 28. novembra 2003 izdalo sklep o dedovanju, s katerim je preostali del zapuščine A.K. (glej 11. odstavek zgoraj) razdelilo med njene štiri hčere.</w:t>
      </w:r>
      <w:r w:rsidR="00171831">
        <w:rPr>
          <w:lang w:val="sl"/>
        </w:rPr>
        <w:t xml:space="preserve"> </w:t>
      </w:r>
      <w:r>
        <w:rPr>
          <w:lang w:val="sl"/>
        </w:rPr>
        <w:t>Sklep je bil pritožnici vročen neimenovanega dne decembra 2003.</w:t>
      </w:r>
    </w:p>
    <w:p w:rsidR="00960DFA" w:rsidRPr="00DC2481" w:rsidRDefault="00960DFA" w:rsidP="00960DFA">
      <w:pPr>
        <w:pStyle w:val="JuHIRoman"/>
        <w:rPr>
          <w:lang w:val="sl"/>
        </w:rPr>
      </w:pPr>
      <w:r>
        <w:rPr>
          <w:lang w:val="sl"/>
        </w:rPr>
        <w:t>II.  UPOŠTEVANA DOMAČA ZAKONODAJA</w:t>
      </w:r>
    </w:p>
    <w:p w:rsidR="00960DFA" w:rsidRPr="00DC2481" w:rsidRDefault="00960DFA" w:rsidP="00960DFA">
      <w:pPr>
        <w:pStyle w:val="JuH1"/>
        <w:rPr>
          <w:lang w:val="sl"/>
        </w:rPr>
      </w:pPr>
      <w:r>
        <w:rPr>
          <w:iCs/>
          <w:lang w:val="sl"/>
        </w:rPr>
        <w:t>1. Zakon o dedovanju</w:t>
      </w:r>
    </w:p>
    <w:p w:rsidR="0018756C" w:rsidRPr="00DC2481" w:rsidRDefault="0018756C" w:rsidP="0018756C">
      <w:pPr>
        <w:pStyle w:val="JuPara"/>
        <w:rPr>
          <w:lang w:val="sl"/>
        </w:rPr>
      </w:pPr>
      <w:r>
        <w:rPr>
          <w:lang w:val="sl"/>
        </w:rPr>
        <w:fldChar w:fldCharType="begin"/>
      </w:r>
      <w:r>
        <w:rPr>
          <w:lang w:val="sl"/>
        </w:rPr>
        <w:instrText xml:space="preserve"> SEQ level0 \*arabic </w:instrText>
      </w:r>
      <w:r>
        <w:rPr>
          <w:lang w:val="sl"/>
        </w:rPr>
        <w:fldChar w:fldCharType="separate"/>
      </w:r>
      <w:r w:rsidR="0020236F">
        <w:rPr>
          <w:noProof/>
          <w:lang w:val="sl"/>
        </w:rPr>
        <w:t>18</w:t>
      </w:r>
      <w:r>
        <w:rPr>
          <w:lang w:val="sl"/>
        </w:rPr>
        <w:fldChar w:fldCharType="end"/>
      </w:r>
      <w:r>
        <w:rPr>
          <w:lang w:val="sl"/>
        </w:rPr>
        <w:t>.  164. člen Zakona o dedovanju (Uradni list SRS, št. 15-645/1976,</w:t>
      </w:r>
      <w:r>
        <w:rPr>
          <w:color w:val="000000"/>
          <w:lang w:val="sl"/>
        </w:rPr>
        <w:t xml:space="preserve"> s spremembami – Zakon o dedovanju) določa, da se zapuščinski postopek uvede po uradni dolžnosti, brž ko sodišče izve, da je kdo umrl, ali da je razglašen za mrtvega.</w:t>
      </w:r>
      <w:r w:rsidR="00171831">
        <w:rPr>
          <w:color w:val="000000"/>
          <w:lang w:val="sl"/>
        </w:rPr>
        <w:t xml:space="preserve"> </w:t>
      </w:r>
      <w:r>
        <w:rPr>
          <w:color w:val="000000"/>
          <w:lang w:val="sl"/>
        </w:rPr>
        <w:t>V zapuščinskem postopku ugotovi sodišče, kdo so pokojnikovi dediči, katero premoženje sestavlja njegovo zapuščino in katere pravice iz zapuščine gredo dedičem, volilojemnikom in drugim osebam 162. člen).</w:t>
      </w:r>
    </w:p>
    <w:p w:rsidR="0018756C" w:rsidRPr="00DC2481" w:rsidRDefault="0018756C" w:rsidP="0018756C">
      <w:pPr>
        <w:pStyle w:val="JuPara"/>
        <w:rPr>
          <w:lang w:val="sl"/>
        </w:rPr>
      </w:pPr>
      <w:r>
        <w:rPr>
          <w:lang w:val="sl"/>
        </w:rPr>
        <w:lastRenderedPageBreak/>
        <w:fldChar w:fldCharType="begin"/>
      </w:r>
      <w:r>
        <w:rPr>
          <w:lang w:val="sl"/>
        </w:rPr>
        <w:instrText xml:space="preserve"> SEQ level0 \*arabic </w:instrText>
      </w:r>
      <w:r>
        <w:rPr>
          <w:lang w:val="sl"/>
        </w:rPr>
        <w:fldChar w:fldCharType="separate"/>
      </w:r>
      <w:r w:rsidR="0020236F">
        <w:rPr>
          <w:noProof/>
          <w:lang w:val="sl"/>
        </w:rPr>
        <w:t>19</w:t>
      </w:r>
      <w:r>
        <w:rPr>
          <w:lang w:val="sl"/>
        </w:rPr>
        <w:fldChar w:fldCharType="end"/>
      </w:r>
      <w:r>
        <w:rPr>
          <w:lang w:val="sl"/>
        </w:rPr>
        <w:t xml:space="preserve">.  V skladu s 199. členom sodišče, ko prejme smrtovnico (dokument v zvezi z osebnimi podatki pokojnika in njegovo zapuščino ter podatki, pomembnimi za dedovanje, ki ga običajno pripravi matičar), preizkusi, ali je pristojno za zapuščinsko obravnavo; če ugotovi, da ni pristojno, pošlje zadevo pristojnemu sodišču. V skladu z 203. in 205. členom mora sodišče opraviti zapuščinsko obravnavo, če je pokojnik imel v lasti nepremičnine. Sodišče je dolžno povabiti prizadete osebe na narok za zapuščinsko obravnavo (205. člen). </w:t>
      </w:r>
    </w:p>
    <w:p w:rsidR="00E26157" w:rsidRPr="00DC2481" w:rsidRDefault="00960DFA" w:rsidP="00960DFA">
      <w:pPr>
        <w:pStyle w:val="JuH1"/>
        <w:tabs>
          <w:tab w:val="clear" w:pos="731"/>
        </w:tabs>
        <w:ind w:left="360" w:firstLine="0"/>
        <w:rPr>
          <w:lang w:val="es-ES_tradnl"/>
        </w:rPr>
      </w:pPr>
      <w:r>
        <w:rPr>
          <w:iCs/>
          <w:lang w:val="sl"/>
        </w:rPr>
        <w:t>2.  Zakon o varstvu pravice do sojenja brez nepotrebnega odlašanja</w:t>
      </w:r>
    </w:p>
    <w:p w:rsidR="00960DFA" w:rsidRPr="00DC2481" w:rsidRDefault="00960DFA" w:rsidP="0018316A">
      <w:pPr>
        <w:pStyle w:val="JuPara"/>
        <w:rPr>
          <w:highlight w:val="yellow"/>
          <w:lang w:val="sl"/>
        </w:rPr>
      </w:pPr>
      <w:r>
        <w:rPr>
          <w:lang w:val="sl"/>
        </w:rPr>
        <w:fldChar w:fldCharType="begin"/>
      </w:r>
      <w:r>
        <w:rPr>
          <w:lang w:val="sl"/>
        </w:rPr>
        <w:instrText xml:space="preserve"> SEQ level0 \*arabic </w:instrText>
      </w:r>
      <w:r>
        <w:rPr>
          <w:lang w:val="sl"/>
        </w:rPr>
        <w:fldChar w:fldCharType="separate"/>
      </w:r>
      <w:r w:rsidR="0020236F">
        <w:rPr>
          <w:noProof/>
          <w:lang w:val="sl"/>
        </w:rPr>
        <w:t>20</w:t>
      </w:r>
      <w:r>
        <w:rPr>
          <w:lang w:val="sl"/>
        </w:rPr>
        <w:fldChar w:fldCharType="end"/>
      </w:r>
      <w:r>
        <w:rPr>
          <w:lang w:val="sl"/>
        </w:rPr>
        <w:t>.  Zakon o varstvu pravice do sojenja brez nepotrebnega odlašanja (Uradni list RS, št. 49/2006) se je začel uporabljati 1. januarja 2007.</w:t>
      </w:r>
      <w:r w:rsidR="00171831">
        <w:rPr>
          <w:lang w:val="sl"/>
        </w:rPr>
        <w:t xml:space="preserve"> </w:t>
      </w:r>
      <w:r>
        <w:rPr>
          <w:lang w:val="sl"/>
        </w:rPr>
        <w:t>V skladu s 1. in 2. členom tega zakona se pravica do sojenja brez nepotrebnega odlašanja zagotavlja strankam v sodnem postopku, udeležencem po zakonu, ki ureja nepravdni postopek, in oškodovancem v kazenskem postopku.</w:t>
      </w:r>
    </w:p>
    <w:p w:rsidR="00960DFA" w:rsidRPr="00DC2481" w:rsidRDefault="00960DFA" w:rsidP="0018316A">
      <w:pPr>
        <w:pStyle w:val="JuPara"/>
        <w:rPr>
          <w:lang w:val="sl"/>
        </w:rPr>
      </w:pPr>
      <w:r>
        <w:rPr>
          <w:lang w:val="sl"/>
        </w:rPr>
        <w:fldChar w:fldCharType="begin"/>
      </w:r>
      <w:r>
        <w:rPr>
          <w:lang w:val="sl"/>
        </w:rPr>
        <w:instrText xml:space="preserve"> SEQ level0 \*arabic </w:instrText>
      </w:r>
      <w:r>
        <w:rPr>
          <w:lang w:val="sl"/>
        </w:rPr>
        <w:fldChar w:fldCharType="separate"/>
      </w:r>
      <w:r w:rsidR="0020236F">
        <w:rPr>
          <w:noProof/>
          <w:lang w:val="sl"/>
        </w:rPr>
        <w:t>21</w:t>
      </w:r>
      <w:r>
        <w:rPr>
          <w:lang w:val="sl"/>
        </w:rPr>
        <w:fldChar w:fldCharType="end"/>
      </w:r>
      <w:r>
        <w:rPr>
          <w:lang w:val="sl"/>
        </w:rPr>
        <w:t>.  25. člen vsebuje naslednje prehodne določbe v zvezi s pritožbami, ki jih že obravnava Sodišče:</w:t>
      </w:r>
    </w:p>
    <w:p w:rsidR="00960DFA" w:rsidRPr="00DC2481" w:rsidRDefault="00960DFA" w:rsidP="00960DFA">
      <w:pPr>
        <w:pStyle w:val="JuHArticle"/>
        <w:spacing w:before="100" w:beforeAutospacing="1" w:after="100" w:afterAutospacing="1"/>
        <w:rPr>
          <w:lang w:val="sl"/>
        </w:rPr>
      </w:pPr>
      <w:r>
        <w:rPr>
          <w:bCs/>
          <w:lang w:val="sl"/>
        </w:rPr>
        <w:t>25. člen – Pravično zadoščenje za škodo, nastalo pred začetkom uporabe tega zakona</w:t>
      </w:r>
    </w:p>
    <w:p w:rsidR="00960DFA" w:rsidRPr="00DC2481" w:rsidRDefault="00960DFA" w:rsidP="00960DFA">
      <w:pPr>
        <w:pStyle w:val="JuQuot"/>
        <w:rPr>
          <w:lang w:val="sl"/>
        </w:rPr>
      </w:pPr>
      <w:r>
        <w:rPr>
          <w:lang w:val="sl"/>
        </w:rPr>
        <w:t>"(1) Glede zadeve, v kateri je kršitev pravice do sojenja brez nepotrebnega odlašanja že prenehala, pa je stranka pred začetkom uporabe tega zakona že vložila zahtevo za pravično zadoščenje na mednarodno sodišče, Državno pravobranilstvo v štirih mesecih po prejemu zadeve v postopek poravnave od mednarodnega sodišča predlaga stranki poravnavo glede višine pravičnega zadoščenja. Stranka je dolžna Državnemu pravobranilstvu posredovati predlog za poravnavo v dveh mesecih po prejemu predloga Državnega pravobranilstva. Državno pravobranilstvo je dolžno odločiti o predlogu čim prej, najpozneje pa v štirih mesecih. ...</w:t>
      </w:r>
    </w:p>
    <w:p w:rsidR="00960DFA" w:rsidRPr="00DC2481" w:rsidRDefault="00960DFA" w:rsidP="00960DFA">
      <w:pPr>
        <w:pStyle w:val="JuQuot"/>
        <w:rPr>
          <w:lang w:val="sl"/>
        </w:rPr>
      </w:pPr>
      <w:r>
        <w:rPr>
          <w:lang w:val="sl"/>
        </w:rPr>
        <w:t>(2) Če predlogu za poravnavo iz prvega odstavka tega člena ni ugodeno ali če Državno pravobranilstvo in stranka ne dosežeta sporazuma v štirih mesecih od vložitve predloga stranke, lahko stranka vloži tožbo na pristojno sodišče po tem zakonu. Stranka lahko vloži tožbo v šestih mesecih po prejemu odgovora Državnega pravobranilstva, da njenemu predlogu iz prejšnjega odstavka ni ugodeno, oziroma po poteku roka, ki je v prejšnjem odstavku določen za odločitev Državnega pravobranilstva za sklenitev poravnave. Za postopek pred sodiščem se ne glede na vrsto ali višino zahtevka uporabljajo določbe zakona o pravdnem postopku o sporu majhne vrednosti."</w:t>
      </w:r>
    </w:p>
    <w:p w:rsidR="00960DFA" w:rsidRPr="00DC2481" w:rsidRDefault="00960DFA" w:rsidP="00960DFA">
      <w:pPr>
        <w:pStyle w:val="JuHHead"/>
        <w:rPr>
          <w:lang w:val="sl"/>
        </w:rPr>
      </w:pPr>
      <w:r>
        <w:rPr>
          <w:lang w:val="sl"/>
        </w:rPr>
        <w:lastRenderedPageBreak/>
        <w:t>PRAVO</w:t>
      </w:r>
    </w:p>
    <w:p w:rsidR="00960DFA" w:rsidRPr="00DC2481" w:rsidRDefault="00960DFA" w:rsidP="00960DFA">
      <w:pPr>
        <w:pStyle w:val="JuHIRoman"/>
        <w:rPr>
          <w:lang w:val="es-ES_tradnl"/>
        </w:rPr>
      </w:pPr>
      <w:r>
        <w:rPr>
          <w:lang w:val="sl"/>
        </w:rPr>
        <w:t>I.  ZATRJEVANA KRŠITEV PRVEGA ODSTAVKA 6. ČLENA IN 13. ČLENA KONVENCIJE</w:t>
      </w:r>
    </w:p>
    <w:p w:rsidR="00960DFA" w:rsidRPr="00DC2481" w:rsidRDefault="00960DFA" w:rsidP="00960DFA">
      <w:pPr>
        <w:pStyle w:val="JuPara"/>
        <w:rPr>
          <w:lang w:val="es-ES_tradnl"/>
        </w:rPr>
      </w:pPr>
      <w:r>
        <w:rPr>
          <w:lang w:val="sl"/>
        </w:rPr>
        <w:fldChar w:fldCharType="begin"/>
      </w:r>
      <w:r>
        <w:rPr>
          <w:lang w:val="sl"/>
        </w:rPr>
        <w:instrText xml:space="preserve"> SEQ level0 \*arabic </w:instrText>
      </w:r>
      <w:r>
        <w:rPr>
          <w:lang w:val="sl"/>
        </w:rPr>
        <w:fldChar w:fldCharType="separate"/>
      </w:r>
      <w:r w:rsidR="0020236F">
        <w:rPr>
          <w:noProof/>
          <w:lang w:val="sl"/>
        </w:rPr>
        <w:t>22</w:t>
      </w:r>
      <w:r>
        <w:rPr>
          <w:lang w:val="sl"/>
        </w:rPr>
        <w:fldChar w:fldCharType="end"/>
      </w:r>
      <w:r>
        <w:rPr>
          <w:lang w:val="sl"/>
        </w:rPr>
        <w:t>.  Pritožnica se je pritožila zaradi predolgega trajanja postopkov. Sklicevala se je na prvi odstavek 6. člena konvencije, ki se glasi:</w:t>
      </w:r>
    </w:p>
    <w:p w:rsidR="00960DFA" w:rsidRPr="00DC2481" w:rsidRDefault="00960DFA" w:rsidP="00960DFA">
      <w:pPr>
        <w:pStyle w:val="JuQuot"/>
        <w:rPr>
          <w:lang w:val="es-ES_tradnl"/>
        </w:rPr>
      </w:pPr>
      <w:r>
        <w:rPr>
          <w:lang w:val="sl"/>
        </w:rPr>
        <w:t>"Vsakdo ima pravico, da o njegovih civilnih pravicah in obveznostih... v razumnem roku odloča... sodišče."</w:t>
      </w:r>
    </w:p>
    <w:p w:rsidR="00960DFA" w:rsidRPr="00DC2481" w:rsidRDefault="00960DFA" w:rsidP="00960DFA">
      <w:pPr>
        <w:pStyle w:val="JuPara"/>
        <w:rPr>
          <w:lang w:val="es-ES_tradnl"/>
        </w:rPr>
      </w:pPr>
      <w:r>
        <w:rPr>
          <w:lang w:val="sl"/>
        </w:rPr>
        <w:fldChar w:fldCharType="begin"/>
      </w:r>
      <w:r>
        <w:rPr>
          <w:lang w:val="sl"/>
        </w:rPr>
        <w:instrText xml:space="preserve"> SEQ level0 \*arabic </w:instrText>
      </w:r>
      <w:r>
        <w:rPr>
          <w:lang w:val="sl"/>
        </w:rPr>
        <w:fldChar w:fldCharType="separate"/>
      </w:r>
      <w:r w:rsidR="0020236F">
        <w:rPr>
          <w:noProof/>
          <w:lang w:val="sl"/>
        </w:rPr>
        <w:t>23</w:t>
      </w:r>
      <w:r>
        <w:rPr>
          <w:lang w:val="sl"/>
        </w:rPr>
        <w:fldChar w:fldCharType="end"/>
      </w:r>
      <w:r>
        <w:rPr>
          <w:lang w:val="sl"/>
        </w:rPr>
        <w:t>.  Smiselno se je pritožnica tudi pritožila, da so bila razpoložljiva pravna sredstva pri predolgotrajnih postopkih v Sloveniji neučinkovita.</w:t>
      </w:r>
    </w:p>
    <w:p w:rsidR="00960DFA" w:rsidRPr="00DC2481" w:rsidRDefault="00960DFA" w:rsidP="00960DFA">
      <w:pPr>
        <w:pStyle w:val="JuPara"/>
        <w:rPr>
          <w:lang w:val="es-ES_tradnl"/>
        </w:rPr>
      </w:pPr>
      <w:r>
        <w:rPr>
          <w:lang w:val="sl"/>
        </w:rPr>
        <w:t>13. člen konvencije se glasi:</w:t>
      </w:r>
    </w:p>
    <w:p w:rsidR="00960DFA" w:rsidRPr="00DC2481" w:rsidRDefault="00960DFA" w:rsidP="00960DFA">
      <w:pPr>
        <w:pStyle w:val="JuQuot"/>
        <w:rPr>
          <w:lang w:val="es-ES_tradnl"/>
        </w:rPr>
      </w:pPr>
      <w:r>
        <w:rPr>
          <w:lang w:val="sl"/>
        </w:rPr>
        <w:t>"Vsakdo, čigar pravice in svoboščine, zajamčene s to konvencijo, so kršene, ima pravico do učinkovitih pravnih sredstev pred domačimi oblastmi, in to tudi če je kršitev storila uradna oseba pri opravljanju uradne dolžnosti."</w:t>
      </w:r>
    </w:p>
    <w:p w:rsidR="00960DFA" w:rsidRPr="00DC2481" w:rsidRDefault="00960DFA" w:rsidP="00960DFA">
      <w:pPr>
        <w:pStyle w:val="JuHA"/>
        <w:rPr>
          <w:lang w:val="es-ES_tradnl"/>
        </w:rPr>
      </w:pPr>
      <w:r>
        <w:rPr>
          <w:bCs/>
          <w:lang w:val="sl"/>
        </w:rPr>
        <w:t>A.  Sprejemljivost</w:t>
      </w:r>
    </w:p>
    <w:p w:rsidR="00960DFA" w:rsidRPr="00DC2481" w:rsidRDefault="00960DFA" w:rsidP="00960DFA">
      <w:pPr>
        <w:pStyle w:val="JuPara"/>
        <w:rPr>
          <w:lang w:val="es-ES_tradnl"/>
        </w:rPr>
      </w:pPr>
      <w:r>
        <w:rPr>
          <w:lang w:val="sl"/>
        </w:rPr>
        <w:fldChar w:fldCharType="begin"/>
      </w:r>
      <w:r>
        <w:rPr>
          <w:lang w:val="sl"/>
        </w:rPr>
        <w:instrText xml:space="preserve"> SEQ level0 \*arabic </w:instrText>
      </w:r>
      <w:r>
        <w:rPr>
          <w:lang w:val="sl"/>
        </w:rPr>
        <w:fldChar w:fldCharType="separate"/>
      </w:r>
      <w:r w:rsidR="0020236F">
        <w:rPr>
          <w:noProof/>
          <w:lang w:val="sl"/>
        </w:rPr>
        <w:t>24</w:t>
      </w:r>
      <w:r>
        <w:rPr>
          <w:lang w:val="sl"/>
        </w:rPr>
        <w:fldChar w:fldCharType="end"/>
      </w:r>
      <w:r>
        <w:rPr>
          <w:lang w:val="sl"/>
        </w:rPr>
        <w:t xml:space="preserve">.  Vlada je ugovarjala, da notranjepravna sredstva niso bila izčrpana, zlasti po začetku uporabe Zakona o varstvu pravice do sojenja brez nepotrebnega odlašanja ("zakon iz leta 2006") od 1. januarja 2007 naprej. </w:t>
      </w:r>
    </w:p>
    <w:p w:rsidR="00960DFA" w:rsidRPr="00DC2481" w:rsidRDefault="00960DFA" w:rsidP="00960DFA">
      <w:pPr>
        <w:pStyle w:val="JuPara"/>
        <w:rPr>
          <w:lang w:val="es-ES_tradnl"/>
        </w:rPr>
      </w:pPr>
      <w:r>
        <w:rPr>
          <w:lang w:val="sl"/>
        </w:rPr>
        <w:fldChar w:fldCharType="begin"/>
      </w:r>
      <w:r>
        <w:rPr>
          <w:lang w:val="sl"/>
        </w:rPr>
        <w:instrText xml:space="preserve"> SEQ level0 \*arabic </w:instrText>
      </w:r>
      <w:r>
        <w:rPr>
          <w:lang w:val="sl"/>
        </w:rPr>
        <w:fldChar w:fldCharType="separate"/>
      </w:r>
      <w:r w:rsidR="0020236F">
        <w:rPr>
          <w:noProof/>
          <w:lang w:val="sl"/>
        </w:rPr>
        <w:t>25</w:t>
      </w:r>
      <w:r>
        <w:rPr>
          <w:lang w:val="sl"/>
        </w:rPr>
        <w:fldChar w:fldCharType="end"/>
      </w:r>
      <w:r>
        <w:rPr>
          <w:lang w:val="sl"/>
        </w:rPr>
        <w:t>.  Pritožnica je to trditev izpodbijala in zatrjevala, da razpoložljiva pravna sredstva niso bila učinkovita.</w:t>
      </w:r>
    </w:p>
    <w:p w:rsidR="00960DFA" w:rsidRPr="00DC2481" w:rsidRDefault="00960DFA" w:rsidP="00960DFA">
      <w:pPr>
        <w:pStyle w:val="JuPara"/>
        <w:rPr>
          <w:lang w:val="sl"/>
        </w:rPr>
      </w:pPr>
      <w:r>
        <w:rPr>
          <w:lang w:val="sl"/>
        </w:rPr>
        <w:fldChar w:fldCharType="begin"/>
      </w:r>
      <w:r>
        <w:rPr>
          <w:lang w:val="sl"/>
        </w:rPr>
        <w:instrText xml:space="preserve"> SEQ level0 \*arabic </w:instrText>
      </w:r>
      <w:r>
        <w:rPr>
          <w:lang w:val="sl"/>
        </w:rPr>
        <w:fldChar w:fldCharType="separate"/>
      </w:r>
      <w:r w:rsidR="0020236F">
        <w:rPr>
          <w:noProof/>
          <w:lang w:val="sl"/>
        </w:rPr>
        <w:t>26</w:t>
      </w:r>
      <w:r>
        <w:rPr>
          <w:lang w:val="sl"/>
        </w:rPr>
        <w:fldChar w:fldCharType="end"/>
      </w:r>
      <w:r>
        <w:rPr>
          <w:lang w:val="sl"/>
        </w:rPr>
        <w:t xml:space="preserve">.  Sodišče ugotavlja, da se 25. člen zakona iz leta 2006 izrecno nanaša na postopke pred mednarodnimi sodišči in zagotavlja določena pravna sredstva v primerih domačih postopkov, ki so se zaključili pred 1. januarjem 2007. Vendar pa je Sodišče v sodbi </w:t>
      </w:r>
      <w:r>
        <w:rPr>
          <w:i/>
          <w:iCs/>
          <w:lang w:val="sl"/>
        </w:rPr>
        <w:t>Grzinčič</w:t>
      </w:r>
      <w:r>
        <w:rPr>
          <w:lang w:val="sl"/>
        </w:rPr>
        <w:t xml:space="preserve"> ugotovilo, da pogoji, določeni v tem členu, niso bili izpolnjeni v zvezi s pritožbami glede končanih postopkov, o katerih je bila slovenska vlada obveščena pred 1. januarjem 2007, kot je tudi ta postopek (glej </w:t>
      </w:r>
      <w:r>
        <w:rPr>
          <w:i/>
          <w:iCs/>
          <w:lang w:val="sl"/>
        </w:rPr>
        <w:t>Grzinčič proti Republiki Sloveniji</w:t>
      </w:r>
      <w:r>
        <w:rPr>
          <w:lang w:val="sl"/>
        </w:rPr>
        <w:t>, št. 26867/02, 67. odstavek, 3. maj 2007).</w:t>
      </w:r>
    </w:p>
    <w:p w:rsidR="00960DFA" w:rsidRPr="00DC2481" w:rsidRDefault="00960DFA" w:rsidP="00960DFA">
      <w:pPr>
        <w:pStyle w:val="JuPara"/>
        <w:rPr>
          <w:lang w:val="sl"/>
        </w:rPr>
      </w:pPr>
      <w:r>
        <w:rPr>
          <w:lang w:val="sl"/>
        </w:rPr>
        <w:fldChar w:fldCharType="begin"/>
      </w:r>
      <w:r>
        <w:rPr>
          <w:lang w:val="sl"/>
        </w:rPr>
        <w:instrText xml:space="preserve"> SEQ level0 \*arabic </w:instrText>
      </w:r>
      <w:r>
        <w:rPr>
          <w:lang w:val="sl"/>
        </w:rPr>
        <w:fldChar w:fldCharType="separate"/>
      </w:r>
      <w:r w:rsidR="0020236F">
        <w:rPr>
          <w:noProof/>
          <w:lang w:val="sl"/>
        </w:rPr>
        <w:t>27</w:t>
      </w:r>
      <w:r>
        <w:rPr>
          <w:lang w:val="sl"/>
        </w:rPr>
        <w:fldChar w:fldCharType="end"/>
      </w:r>
      <w:r>
        <w:rPr>
          <w:lang w:val="sl"/>
        </w:rPr>
        <w:t xml:space="preserve">.  Sodišče tako ugotavlja, da je ta pritožba podobna tisti, ki je obravnavana v ustreznem delu sodbe </w:t>
      </w:r>
      <w:r>
        <w:rPr>
          <w:i/>
          <w:iCs/>
          <w:lang w:val="sl"/>
        </w:rPr>
        <w:t>Grzinčič</w:t>
      </w:r>
      <w:r>
        <w:rPr>
          <w:lang w:val="sl"/>
        </w:rPr>
        <w:t xml:space="preserve"> (navedeno zgoraj, 68. odstavek), v kateri je Sodišče zavrnilo ugovor vlade o neizčrpanju notranjepravnih sredstev, ker je ugotovilo, da so bila pravna sredstva, ki so bila na voljo pritožniku, neučinkovita.</w:t>
      </w:r>
      <w:r w:rsidR="00171831">
        <w:rPr>
          <w:lang w:val="sl"/>
        </w:rPr>
        <w:t xml:space="preserve"> </w:t>
      </w:r>
    </w:p>
    <w:p w:rsidR="00960DFA" w:rsidRPr="00DC2481" w:rsidRDefault="00960DFA" w:rsidP="00960DFA">
      <w:pPr>
        <w:pStyle w:val="JuPara"/>
        <w:rPr>
          <w:lang w:val="sl"/>
        </w:rPr>
      </w:pPr>
      <w:r>
        <w:rPr>
          <w:lang w:val="sl"/>
        </w:rPr>
        <w:fldChar w:fldCharType="begin"/>
      </w:r>
      <w:r>
        <w:rPr>
          <w:lang w:val="sl"/>
        </w:rPr>
        <w:instrText xml:space="preserve"> SEQ level0 \*arabic </w:instrText>
      </w:r>
      <w:r>
        <w:rPr>
          <w:lang w:val="sl"/>
        </w:rPr>
        <w:fldChar w:fldCharType="separate"/>
      </w:r>
      <w:r w:rsidR="0020236F">
        <w:rPr>
          <w:noProof/>
          <w:lang w:val="sl"/>
        </w:rPr>
        <w:t>28</w:t>
      </w:r>
      <w:r>
        <w:rPr>
          <w:lang w:val="sl"/>
        </w:rPr>
        <w:fldChar w:fldCharType="end"/>
      </w:r>
      <w:r>
        <w:rPr>
          <w:lang w:val="sl"/>
        </w:rPr>
        <w:t>.  Sodišče ugotavlja, da vlada ni predložila nobenih prepričljivih utemeljitev, zaradi katerih bi moralo Sodišče to zadevo obravnavati drugače, kot izhaja iz ustaljene sodne prakse.</w:t>
      </w:r>
    </w:p>
    <w:p w:rsidR="00960DFA" w:rsidRPr="00DC2481" w:rsidRDefault="00960DFA" w:rsidP="00960DFA">
      <w:pPr>
        <w:pStyle w:val="JuPara"/>
        <w:rPr>
          <w:lang w:val="sl"/>
        </w:rPr>
      </w:pPr>
      <w:r>
        <w:rPr>
          <w:lang w:val="sl"/>
        </w:rPr>
        <w:fldChar w:fldCharType="begin"/>
      </w:r>
      <w:r>
        <w:rPr>
          <w:lang w:val="sl"/>
        </w:rPr>
        <w:instrText xml:space="preserve"> SEQ level0 \*arabic </w:instrText>
      </w:r>
      <w:r>
        <w:rPr>
          <w:lang w:val="sl"/>
        </w:rPr>
        <w:fldChar w:fldCharType="separate"/>
      </w:r>
      <w:r w:rsidR="0020236F">
        <w:rPr>
          <w:noProof/>
          <w:lang w:val="sl"/>
        </w:rPr>
        <w:t>29</w:t>
      </w:r>
      <w:r>
        <w:rPr>
          <w:lang w:val="sl"/>
        </w:rPr>
        <w:fldChar w:fldCharType="end"/>
      </w:r>
      <w:r>
        <w:rPr>
          <w:lang w:val="sl"/>
        </w:rPr>
        <w:t>.  Sodišče prav tako ugotavlja, da pritožba ni očitno neutemeljena v smislu tretjega odstavka 35. člena konvencije. Ni nesprejemljiva niti iz katerih koli drugih razlogov. Torej jo je treba razglasiti za sprejemljivo.</w:t>
      </w:r>
    </w:p>
    <w:p w:rsidR="00960DFA" w:rsidRPr="00770E77" w:rsidRDefault="00960DFA" w:rsidP="00960DFA">
      <w:pPr>
        <w:pStyle w:val="JuHA"/>
      </w:pPr>
      <w:r>
        <w:rPr>
          <w:bCs/>
          <w:lang w:val="sl"/>
        </w:rPr>
        <w:lastRenderedPageBreak/>
        <w:t>B.  Utemeljenost</w:t>
      </w:r>
    </w:p>
    <w:p w:rsidR="00960DFA" w:rsidRPr="0042612C" w:rsidRDefault="00960DFA" w:rsidP="00960DFA">
      <w:pPr>
        <w:pStyle w:val="JuH1"/>
      </w:pPr>
      <w:r>
        <w:rPr>
          <w:iCs/>
          <w:lang w:val="sl"/>
        </w:rPr>
        <w:t>1.  Prvi odstavek 6. člena</w:t>
      </w:r>
    </w:p>
    <w:p w:rsidR="00960DFA" w:rsidRDefault="00FD69E4" w:rsidP="00FD69E4">
      <w:pPr>
        <w:pStyle w:val="JuHa0"/>
      </w:pPr>
      <w:r>
        <w:rPr>
          <w:bCs/>
          <w:lang w:val="sl"/>
        </w:rPr>
        <w:t xml:space="preserve"> a) Navedbe strank</w:t>
      </w:r>
    </w:p>
    <w:p w:rsidR="0018756C" w:rsidRPr="00DC2481" w:rsidRDefault="0018756C" w:rsidP="0018756C">
      <w:pPr>
        <w:pStyle w:val="JuPara"/>
        <w:rPr>
          <w:lang w:val="sl"/>
        </w:rPr>
      </w:pPr>
      <w:r>
        <w:rPr>
          <w:lang w:val="sl"/>
        </w:rPr>
        <w:fldChar w:fldCharType="begin"/>
      </w:r>
      <w:r>
        <w:rPr>
          <w:lang w:val="sl"/>
        </w:rPr>
        <w:instrText xml:space="preserve"> SEQ level0 \*arabic </w:instrText>
      </w:r>
      <w:r>
        <w:rPr>
          <w:lang w:val="sl"/>
        </w:rPr>
        <w:fldChar w:fldCharType="separate"/>
      </w:r>
      <w:r w:rsidR="0020236F">
        <w:rPr>
          <w:noProof/>
          <w:lang w:val="sl"/>
        </w:rPr>
        <w:t>30</w:t>
      </w:r>
      <w:r>
        <w:rPr>
          <w:lang w:val="sl"/>
        </w:rPr>
        <w:fldChar w:fldCharType="end"/>
      </w:r>
      <w:r>
        <w:rPr>
          <w:lang w:val="sl"/>
        </w:rPr>
        <w:t>.  Vlada je trdila, da mora sodišče v skladu z domačo zakonodajo uvesti zapuščinski postopek po uradni dolžnosti, brž ko prejme informacijo o smrti osebe.</w:t>
      </w:r>
      <w:r w:rsidR="00171831">
        <w:rPr>
          <w:lang w:val="sl"/>
        </w:rPr>
        <w:t xml:space="preserve"> </w:t>
      </w:r>
      <w:r>
        <w:rPr>
          <w:lang w:val="sl"/>
        </w:rPr>
        <w:t xml:space="preserve">Na podlagi te informacije se zadeva vnese v sodno evidenco. Po mnenju vlade to predstavlja začetek zapuščinskega postopka. Vlada je tudi navedla, da lahko pristojno sodišče pred zapuščinsko obravnavo opravi potrebna pripravljalna dejanja, kot je cenitev zapuščine pokojnika. </w:t>
      </w:r>
    </w:p>
    <w:p w:rsidR="00960DFA" w:rsidRPr="00DC2481" w:rsidRDefault="0018756C" w:rsidP="0018756C">
      <w:pPr>
        <w:pStyle w:val="JuPara"/>
        <w:rPr>
          <w:lang w:val="sl"/>
        </w:rPr>
      </w:pPr>
      <w:r>
        <w:rPr>
          <w:lang w:val="sl"/>
        </w:rPr>
        <w:fldChar w:fldCharType="begin"/>
      </w:r>
      <w:r>
        <w:rPr>
          <w:lang w:val="sl"/>
        </w:rPr>
        <w:instrText xml:space="preserve"> SEQ level0 \*arabic </w:instrText>
      </w:r>
      <w:r>
        <w:rPr>
          <w:lang w:val="sl"/>
        </w:rPr>
        <w:fldChar w:fldCharType="separate"/>
      </w:r>
      <w:r w:rsidR="0020236F">
        <w:rPr>
          <w:noProof/>
          <w:lang w:val="sl"/>
        </w:rPr>
        <w:t>31</w:t>
      </w:r>
      <w:r>
        <w:rPr>
          <w:lang w:val="sl"/>
        </w:rPr>
        <w:fldChar w:fldCharType="end"/>
      </w:r>
      <w:r>
        <w:rPr>
          <w:lang w:val="sl"/>
        </w:rPr>
        <w:t xml:space="preserve">.  Vlada je trdila, da sodišče to fazo zapuščinskega postopka, tj. preden povabi morebitne dediče na zapuščinsko obravnavo, vodi neodvisno od strank postopka. Zaradi tega ta faza ne vpliva na njihov položaj in se pri izračunu upoštevnega obdobja ne bi smela upoštevati. Po mnenju vlade bi moralo upoštevno obdobje v obravnavani zadevi pričeti teči najprej z dnem, ko je sodišče na pritožničin naslov poslalo vabilo na narok, to je z dnem 22. marca 1995. </w:t>
      </w:r>
    </w:p>
    <w:p w:rsidR="00960DFA" w:rsidRPr="00DC2481" w:rsidRDefault="00960DFA" w:rsidP="00960DFA">
      <w:pPr>
        <w:pStyle w:val="JuPara"/>
        <w:rPr>
          <w:lang w:val="sl"/>
        </w:rPr>
      </w:pPr>
      <w:r>
        <w:rPr>
          <w:lang w:val="sl"/>
        </w:rPr>
        <w:fldChar w:fldCharType="begin"/>
      </w:r>
      <w:r>
        <w:rPr>
          <w:lang w:val="sl"/>
        </w:rPr>
        <w:instrText xml:space="preserve"> SEQ level0 \*arabic </w:instrText>
      </w:r>
      <w:r>
        <w:rPr>
          <w:lang w:val="sl"/>
        </w:rPr>
        <w:fldChar w:fldCharType="separate"/>
      </w:r>
      <w:r w:rsidR="0020236F">
        <w:rPr>
          <w:noProof/>
          <w:lang w:val="sl"/>
        </w:rPr>
        <w:t>32</w:t>
      </w:r>
      <w:r>
        <w:rPr>
          <w:lang w:val="sl"/>
        </w:rPr>
        <w:fldChar w:fldCharType="end"/>
      </w:r>
      <w:r>
        <w:rPr>
          <w:lang w:val="sl"/>
        </w:rPr>
        <w:t xml:space="preserve">.  Vlada je menila, da se je postopek končal s sklepom o dedovanju. </w:t>
      </w:r>
    </w:p>
    <w:p w:rsidR="00E26157" w:rsidRPr="00DC2481" w:rsidRDefault="00960DFA" w:rsidP="00960DFA">
      <w:pPr>
        <w:pStyle w:val="JuPara"/>
        <w:rPr>
          <w:lang w:val="sl"/>
        </w:rPr>
      </w:pPr>
      <w:r>
        <w:rPr>
          <w:lang w:val="sl"/>
        </w:rPr>
        <w:fldChar w:fldCharType="begin"/>
      </w:r>
      <w:r>
        <w:rPr>
          <w:lang w:val="sl"/>
        </w:rPr>
        <w:instrText xml:space="preserve"> SEQ level0 \*arabic </w:instrText>
      </w:r>
      <w:r>
        <w:rPr>
          <w:lang w:val="sl"/>
        </w:rPr>
        <w:fldChar w:fldCharType="separate"/>
      </w:r>
      <w:r w:rsidR="0020236F">
        <w:rPr>
          <w:noProof/>
          <w:lang w:val="sl"/>
        </w:rPr>
        <w:t>33</w:t>
      </w:r>
      <w:r>
        <w:rPr>
          <w:lang w:val="sl"/>
        </w:rPr>
        <w:fldChar w:fldCharType="end"/>
      </w:r>
      <w:r>
        <w:rPr>
          <w:lang w:val="sl"/>
        </w:rPr>
        <w:t>.  Glede "razumnosti" trajanja postopka je vlada navedla, da je bila zadeva zelo zapletena, med drugim zaradi dejstva, ker je zapuščina A.K. vključevala posebej zaščiteno kmetijo.</w:t>
      </w:r>
      <w:r w:rsidR="00171831">
        <w:rPr>
          <w:lang w:val="sl"/>
        </w:rPr>
        <w:t xml:space="preserve"> </w:t>
      </w:r>
      <w:r>
        <w:rPr>
          <w:lang w:val="sl"/>
        </w:rPr>
        <w:t xml:space="preserve"> Poleg tega je treba trajanje postopka večinoma pripisati pritožnici in ostalim dedinjam, ki niso mogle doseči dogovora o dedovanju v zgodnejši fazi postopka.</w:t>
      </w:r>
      <w:r w:rsidR="00171831">
        <w:rPr>
          <w:lang w:val="sl"/>
        </w:rPr>
        <w:t xml:space="preserve"> </w:t>
      </w:r>
      <w:r>
        <w:rPr>
          <w:lang w:val="sl"/>
        </w:rPr>
        <w:t xml:space="preserve">Zaradi njihovih poizkusov, da bi dosegle dogovor, sta bili preloženi dve </w:t>
      </w:r>
      <w:r w:rsidR="00CF481B">
        <w:rPr>
          <w:lang w:val="sl"/>
        </w:rPr>
        <w:t>glavni</w:t>
      </w:r>
      <w:r>
        <w:rPr>
          <w:lang w:val="sl"/>
        </w:rPr>
        <w:t xml:space="preserve"> obravnavi, postopek pa je bil nato prekinjen, ker se dedinje še vedno niso strinjale glede obsega zapuščine A.K.</w:t>
      </w:r>
    </w:p>
    <w:p w:rsidR="00960DFA" w:rsidRPr="00DC2481" w:rsidRDefault="00960DFA" w:rsidP="00960DFA">
      <w:pPr>
        <w:pStyle w:val="JuPara"/>
        <w:rPr>
          <w:lang w:val="sl"/>
        </w:rPr>
      </w:pPr>
      <w:r>
        <w:rPr>
          <w:szCs w:val="24"/>
          <w:lang w:val="sl"/>
        </w:rPr>
        <w:fldChar w:fldCharType="begin"/>
      </w:r>
      <w:r>
        <w:rPr>
          <w:szCs w:val="24"/>
          <w:lang w:val="sl"/>
        </w:rPr>
        <w:instrText xml:space="preserve"> SEQ level0 \*arabic </w:instrText>
      </w:r>
      <w:r>
        <w:rPr>
          <w:szCs w:val="24"/>
          <w:lang w:val="sl"/>
        </w:rPr>
        <w:fldChar w:fldCharType="separate"/>
      </w:r>
      <w:r w:rsidR="0020236F">
        <w:rPr>
          <w:noProof/>
          <w:szCs w:val="24"/>
          <w:lang w:val="sl"/>
        </w:rPr>
        <w:t>34</w:t>
      </w:r>
      <w:r>
        <w:rPr>
          <w:szCs w:val="24"/>
          <w:lang w:val="sl"/>
        </w:rPr>
        <w:fldChar w:fldCharType="end"/>
      </w:r>
      <w:r>
        <w:rPr>
          <w:szCs w:val="24"/>
          <w:lang w:val="sl"/>
        </w:rPr>
        <w:t xml:space="preserve">.  Pritožnica je oporekala argumentom vlade. Trdila je, da kmetija ni bila posebej zaščitena, in zatrjevala, da je njena zadeva očiten primer kršitve pravice do sojenja v razumnem roku. </w:t>
      </w:r>
    </w:p>
    <w:p w:rsidR="00E26157" w:rsidRPr="00DC2481" w:rsidRDefault="00960DFA" w:rsidP="00FD69E4">
      <w:pPr>
        <w:pStyle w:val="JuHa0"/>
        <w:rPr>
          <w:lang w:val="sl"/>
        </w:rPr>
      </w:pPr>
      <w:r>
        <w:rPr>
          <w:bCs/>
          <w:lang w:val="sl"/>
        </w:rPr>
        <w:t>(b) Presoja Sodišča</w:t>
      </w:r>
    </w:p>
    <w:p w:rsidR="0018756C" w:rsidRPr="00DC2481" w:rsidRDefault="0018756C" w:rsidP="0018756C">
      <w:pPr>
        <w:pStyle w:val="JuPara"/>
        <w:rPr>
          <w:lang w:val="sl"/>
        </w:rPr>
      </w:pPr>
      <w:r>
        <w:rPr>
          <w:lang w:val="sl"/>
        </w:rPr>
        <w:fldChar w:fldCharType="begin"/>
      </w:r>
      <w:r>
        <w:rPr>
          <w:lang w:val="sl"/>
        </w:rPr>
        <w:instrText xml:space="preserve"> SEQ level0 \*arabic </w:instrText>
      </w:r>
      <w:r>
        <w:rPr>
          <w:lang w:val="sl"/>
        </w:rPr>
        <w:fldChar w:fldCharType="separate"/>
      </w:r>
      <w:r w:rsidR="0020236F">
        <w:rPr>
          <w:noProof/>
          <w:lang w:val="sl"/>
        </w:rPr>
        <w:t>35</w:t>
      </w:r>
      <w:r>
        <w:rPr>
          <w:lang w:val="sl"/>
        </w:rPr>
        <w:fldChar w:fldCharType="end"/>
      </w:r>
      <w:r>
        <w:rPr>
          <w:lang w:val="sl"/>
        </w:rPr>
        <w:t xml:space="preserve">.  Sodišče opozarja, da prvi odstavek 6. člena konvencije zahteva, da se vse faze sodnih postopkov za "odločanje o... civilnih pravic in obveznostih", ne da bi pri tem bile izvzete faze, ki sledijo meritornim sodbam, rešijo v razumnem času (glej </w:t>
      </w:r>
      <w:r>
        <w:rPr>
          <w:rStyle w:val="ju-005fpara-0020char-0020char-0020char--char"/>
          <w:i/>
          <w:iCs/>
          <w:lang w:val="sl"/>
        </w:rPr>
        <w:t>Robins proti Združenem kraljestvu</w:t>
      </w:r>
      <w:r>
        <w:rPr>
          <w:lang w:val="sl"/>
        </w:rPr>
        <w:t>, sodba z dne 23. septembra 1997, Poročila o sodbah in sklepih 1997-V, 28. odstavek).</w:t>
      </w:r>
    </w:p>
    <w:p w:rsidR="00E26157" w:rsidRPr="00DC2481" w:rsidRDefault="0018756C" w:rsidP="0018756C">
      <w:pPr>
        <w:pStyle w:val="JuPara"/>
        <w:rPr>
          <w:szCs w:val="24"/>
          <w:lang w:val="sl"/>
        </w:rPr>
      </w:pPr>
      <w:r>
        <w:rPr>
          <w:szCs w:val="24"/>
          <w:lang w:val="sl"/>
        </w:rPr>
        <w:fldChar w:fldCharType="begin"/>
      </w:r>
      <w:r>
        <w:rPr>
          <w:szCs w:val="24"/>
          <w:lang w:val="sl"/>
        </w:rPr>
        <w:instrText xml:space="preserve"> SEQ level0 \*arabic </w:instrText>
      </w:r>
      <w:r>
        <w:rPr>
          <w:szCs w:val="24"/>
          <w:lang w:val="sl"/>
        </w:rPr>
        <w:fldChar w:fldCharType="separate"/>
      </w:r>
      <w:r w:rsidR="0020236F">
        <w:rPr>
          <w:noProof/>
          <w:szCs w:val="24"/>
          <w:lang w:val="sl"/>
        </w:rPr>
        <w:t>36</w:t>
      </w:r>
      <w:r>
        <w:rPr>
          <w:szCs w:val="24"/>
          <w:lang w:val="sl"/>
        </w:rPr>
        <w:fldChar w:fldCharType="end"/>
      </w:r>
      <w:r>
        <w:rPr>
          <w:szCs w:val="24"/>
          <w:lang w:val="sl"/>
        </w:rPr>
        <w:t>  V zvezi z začetkom obdobja, ki ga je treba upoštevati pri določanju trajanja sodnega postopka</w:t>
      </w:r>
      <w:r>
        <w:rPr>
          <w:lang w:val="sl"/>
        </w:rPr>
        <w:t xml:space="preserve">, Sodišče ugotavlja, da mora </w:t>
      </w:r>
      <w:r>
        <w:rPr>
          <w:szCs w:val="24"/>
          <w:lang w:val="sl"/>
        </w:rPr>
        <w:t>na podlagi 164. člena Zakona o dedovanju (glej 18. odstavek zgoraj) pristojno sodišče vedno začeti zapuščinski postopek po uradni dolžnosti, brž ko je obveščeno o smrti osebe.  Kot je potrdila vlada, ta trenutek predstavlja začetek zapuščinskega postopka (glej 31. odstavek zgoraj).</w:t>
      </w:r>
      <w:r>
        <w:rPr>
          <w:lang w:val="sl"/>
        </w:rPr>
        <w:t xml:space="preserve"> </w:t>
      </w:r>
    </w:p>
    <w:p w:rsidR="0018756C" w:rsidRPr="00DC2481" w:rsidRDefault="0018756C" w:rsidP="0018756C">
      <w:pPr>
        <w:pStyle w:val="JuPara"/>
        <w:rPr>
          <w:szCs w:val="24"/>
          <w:lang w:val="sl"/>
        </w:rPr>
      </w:pPr>
      <w:r>
        <w:rPr>
          <w:szCs w:val="24"/>
          <w:lang w:val="sl"/>
        </w:rPr>
        <w:lastRenderedPageBreak/>
        <w:fldChar w:fldCharType="begin"/>
      </w:r>
      <w:r>
        <w:rPr>
          <w:szCs w:val="24"/>
          <w:lang w:val="sl"/>
        </w:rPr>
        <w:instrText xml:space="preserve"> SEQ level0 \*arabic </w:instrText>
      </w:r>
      <w:r>
        <w:rPr>
          <w:szCs w:val="24"/>
          <w:lang w:val="sl"/>
        </w:rPr>
        <w:fldChar w:fldCharType="separate"/>
      </w:r>
      <w:r w:rsidR="0020236F">
        <w:rPr>
          <w:noProof/>
          <w:szCs w:val="24"/>
          <w:lang w:val="sl"/>
        </w:rPr>
        <w:t>37</w:t>
      </w:r>
      <w:r>
        <w:rPr>
          <w:szCs w:val="24"/>
          <w:lang w:val="sl"/>
        </w:rPr>
        <w:fldChar w:fldCharType="end"/>
      </w:r>
      <w:r>
        <w:rPr>
          <w:szCs w:val="24"/>
          <w:lang w:val="sl"/>
        </w:rPr>
        <w:t>.  Vendar pa je vlada trdila, da se je obdobje, ki ga je treba upoštevati pri izračunu trajanja postopka, začelo šele z dnem, ko je bila pritožnica prvič povabljena na zapuščinsko obravnavo.</w:t>
      </w:r>
    </w:p>
    <w:p w:rsidR="0018756C" w:rsidRPr="00DC2481" w:rsidRDefault="0018756C" w:rsidP="0018756C">
      <w:pPr>
        <w:pStyle w:val="JuPara"/>
        <w:rPr>
          <w:lang w:val="sl"/>
        </w:rPr>
      </w:pPr>
      <w:r>
        <w:rPr>
          <w:szCs w:val="24"/>
          <w:lang w:val="sl"/>
        </w:rPr>
        <w:fldChar w:fldCharType="begin"/>
      </w:r>
      <w:r>
        <w:rPr>
          <w:szCs w:val="24"/>
          <w:lang w:val="sl"/>
        </w:rPr>
        <w:instrText xml:space="preserve"> SEQ level0 \*arabic </w:instrText>
      </w:r>
      <w:r>
        <w:rPr>
          <w:szCs w:val="24"/>
          <w:lang w:val="sl"/>
        </w:rPr>
        <w:fldChar w:fldCharType="separate"/>
      </w:r>
      <w:r w:rsidR="0020236F">
        <w:rPr>
          <w:noProof/>
          <w:szCs w:val="24"/>
          <w:lang w:val="sl"/>
        </w:rPr>
        <w:t>38</w:t>
      </w:r>
      <w:r>
        <w:rPr>
          <w:szCs w:val="24"/>
          <w:lang w:val="sl"/>
        </w:rPr>
        <w:fldChar w:fldCharType="end"/>
      </w:r>
      <w:r>
        <w:rPr>
          <w:szCs w:val="24"/>
          <w:lang w:val="sl"/>
        </w:rPr>
        <w:t>.  Sodišče ne vidi razloga, zakaj bi upoštevno obdobje v obravnavani zadevi začelo teči šele na tej točki.</w:t>
      </w:r>
      <w:r w:rsidR="00171831">
        <w:rPr>
          <w:szCs w:val="24"/>
          <w:lang w:val="sl"/>
        </w:rPr>
        <w:t xml:space="preserve"> </w:t>
      </w:r>
      <w:r>
        <w:rPr>
          <w:szCs w:val="24"/>
          <w:lang w:val="sl"/>
        </w:rPr>
        <w:t>Tako kot pri drugih vrstah sodnih postopkov, ki se nanašajo na odločanje o civilnih pravicah in obveznostih, dejstvo, da določene faze nadzoruje izključno domače sodišče, še ne pomeni, da so izključene iz varstva, ki ga zagotavlja 6. člen.</w:t>
      </w:r>
      <w:r>
        <w:rPr>
          <w:lang w:val="sl"/>
        </w:rPr>
        <w:t xml:space="preserve"> </w:t>
      </w:r>
      <w:r>
        <w:rPr>
          <w:color w:val="000000"/>
          <w:lang w:val="sl"/>
        </w:rPr>
        <w:t>Če bi v obravnavani zadevi menili drugače, bi to pomenilo, da sodišča, ki se ukvarjajo z zapuščinskimi postopki, lahko odložijo prvo zapuščinsko obravnavo in posledično odločanje o pravicah strank iz dedovanja, ne da bi pri tem zanje veljala zahteva po "razumnem času".</w:t>
      </w:r>
    </w:p>
    <w:p w:rsidR="00960DFA" w:rsidRPr="00DC2481" w:rsidRDefault="00960DFA" w:rsidP="00960DFA">
      <w:pPr>
        <w:pStyle w:val="JuPara"/>
        <w:rPr>
          <w:lang w:val="sl"/>
        </w:rPr>
      </w:pPr>
      <w:r>
        <w:rPr>
          <w:lang w:val="sl"/>
        </w:rPr>
        <w:fldChar w:fldCharType="begin"/>
      </w:r>
      <w:r>
        <w:rPr>
          <w:lang w:val="sl"/>
        </w:rPr>
        <w:instrText xml:space="preserve"> SEQ level0 \*arabic </w:instrText>
      </w:r>
      <w:r>
        <w:rPr>
          <w:lang w:val="sl"/>
        </w:rPr>
        <w:fldChar w:fldCharType="separate"/>
      </w:r>
      <w:r w:rsidR="0020236F">
        <w:rPr>
          <w:noProof/>
          <w:lang w:val="sl"/>
        </w:rPr>
        <w:t>39</w:t>
      </w:r>
      <w:r>
        <w:rPr>
          <w:lang w:val="sl"/>
        </w:rPr>
        <w:fldChar w:fldCharType="end"/>
      </w:r>
      <w:r>
        <w:rPr>
          <w:lang w:val="sl"/>
        </w:rPr>
        <w:t>.  Glede na zgoraj navedeno in ker ni sporno, da je bila pritožnica seznanjena s smrtjo A.K. in s tem, da se vprašanje dediščine rešuje pred domačim sodiščem, Sodišče meni, da je upoštevno obdobje začelo teči najkasneje 7. oktobra 1994, ko je Okrajno sodišče na Jesenicah prejelo smrtovnico (glej 7. odstavek zgoraj).</w:t>
      </w:r>
    </w:p>
    <w:p w:rsidR="00E26157" w:rsidRPr="00DC2481" w:rsidRDefault="00960DFA" w:rsidP="00960DFA">
      <w:pPr>
        <w:pStyle w:val="JuPara"/>
        <w:rPr>
          <w:lang w:val="sl"/>
        </w:rPr>
      </w:pPr>
      <w:r>
        <w:rPr>
          <w:lang w:val="sl"/>
        </w:rPr>
        <w:fldChar w:fldCharType="begin"/>
      </w:r>
      <w:r>
        <w:rPr>
          <w:lang w:val="sl"/>
        </w:rPr>
        <w:instrText xml:space="preserve"> SEQ level0 \*arabic </w:instrText>
      </w:r>
      <w:r>
        <w:rPr>
          <w:lang w:val="sl"/>
        </w:rPr>
        <w:fldChar w:fldCharType="separate"/>
      </w:r>
      <w:r w:rsidR="0020236F">
        <w:rPr>
          <w:noProof/>
          <w:lang w:val="sl"/>
        </w:rPr>
        <w:t>40</w:t>
      </w:r>
      <w:r>
        <w:rPr>
          <w:lang w:val="sl"/>
        </w:rPr>
        <w:fldChar w:fldCharType="end"/>
      </w:r>
      <w:r>
        <w:rPr>
          <w:lang w:val="sl"/>
        </w:rPr>
        <w:t>.  Ob upoštevanju, da je bil sklep o dedovanju vročen pritožnici decembra 2003, Sodišče ugotavlja, da je upoštevno obdobje trajalo približno devet let in dva meseca.</w:t>
      </w:r>
    </w:p>
    <w:p w:rsidR="00960DFA" w:rsidRPr="00DC2481" w:rsidRDefault="00960DFA" w:rsidP="00960DFA">
      <w:pPr>
        <w:pStyle w:val="JuPara"/>
        <w:rPr>
          <w:lang w:val="sl"/>
        </w:rPr>
      </w:pPr>
      <w:r>
        <w:rPr>
          <w:lang w:val="sl"/>
        </w:rPr>
        <w:t xml:space="preserve"> </w:t>
      </w:r>
      <w:r>
        <w:rPr>
          <w:lang w:val="sl"/>
        </w:rPr>
        <w:fldChar w:fldCharType="begin"/>
      </w:r>
      <w:r>
        <w:rPr>
          <w:lang w:val="sl"/>
        </w:rPr>
        <w:instrText xml:space="preserve"> SEQ level0 \*arabic </w:instrText>
      </w:r>
      <w:r>
        <w:rPr>
          <w:lang w:val="sl"/>
        </w:rPr>
        <w:fldChar w:fldCharType="separate"/>
      </w:r>
      <w:r w:rsidR="0020236F">
        <w:rPr>
          <w:noProof/>
          <w:lang w:val="sl"/>
        </w:rPr>
        <w:t>41</w:t>
      </w:r>
      <w:r>
        <w:rPr>
          <w:lang w:val="sl"/>
        </w:rPr>
        <w:fldChar w:fldCharType="end"/>
      </w:r>
      <w:r>
        <w:rPr>
          <w:lang w:val="sl"/>
        </w:rPr>
        <w:t xml:space="preserve">.  Sodišče ponovno poudarja, da je treba razumno trajanje postopka presojati glede na okoliščine zadeve in s sklicevanjem na ta merila: zapletenost zadeve, ravnanje pritožnice in ustreznih organov ter kolikšen je bil pomen sporne zadeve za pritožnico (glej med številnimi drugimi zadevami </w:t>
      </w:r>
      <w:r>
        <w:rPr>
          <w:i/>
          <w:iCs/>
          <w:lang w:val="sl"/>
        </w:rPr>
        <w:t xml:space="preserve">Frydlender proti Franciji </w:t>
      </w:r>
      <w:r>
        <w:rPr>
          <w:lang w:val="sl"/>
        </w:rPr>
        <w:t xml:space="preserve">[VS], št. 30979/96, 43. odstavek, ESČP 2000-VII). </w:t>
      </w:r>
    </w:p>
    <w:p w:rsidR="00E26157" w:rsidRPr="00DC2481" w:rsidRDefault="00960DFA" w:rsidP="00960DFA">
      <w:pPr>
        <w:pStyle w:val="JuPara"/>
        <w:rPr>
          <w:lang w:val="sl"/>
        </w:rPr>
      </w:pPr>
      <w:r>
        <w:rPr>
          <w:lang w:val="sl"/>
        </w:rPr>
        <w:fldChar w:fldCharType="begin"/>
      </w:r>
      <w:r>
        <w:rPr>
          <w:lang w:val="sl"/>
        </w:rPr>
        <w:instrText xml:space="preserve"> SEQ level0 \*arabic </w:instrText>
      </w:r>
      <w:r>
        <w:rPr>
          <w:lang w:val="sl"/>
        </w:rPr>
        <w:fldChar w:fldCharType="separate"/>
      </w:r>
      <w:r w:rsidR="0020236F">
        <w:rPr>
          <w:noProof/>
          <w:lang w:val="sl"/>
        </w:rPr>
        <w:t>42</w:t>
      </w:r>
      <w:r>
        <w:rPr>
          <w:lang w:val="sl"/>
        </w:rPr>
        <w:fldChar w:fldCharType="end"/>
      </w:r>
      <w:r>
        <w:rPr>
          <w:lang w:val="sl"/>
        </w:rPr>
        <w:t>.  Sodišče v obravnavani zadevi ugotavlja, da bi spor v zvezi z zapuščino A.K. lahko do neke mere zapletel postopek. Ugotavlja tudi, da sta bil</w:t>
      </w:r>
      <w:r w:rsidR="003334E1">
        <w:rPr>
          <w:lang w:val="sl"/>
        </w:rPr>
        <w:t>a</w:t>
      </w:r>
      <w:r>
        <w:rPr>
          <w:lang w:val="sl"/>
        </w:rPr>
        <w:t xml:space="preserve"> dv</w:t>
      </w:r>
      <w:r w:rsidR="003334E1">
        <w:rPr>
          <w:lang w:val="sl"/>
        </w:rPr>
        <w:t>a</w:t>
      </w:r>
      <w:r>
        <w:rPr>
          <w:lang w:val="sl"/>
        </w:rPr>
        <w:t xml:space="preserve"> </w:t>
      </w:r>
      <w:r w:rsidR="003334E1">
        <w:rPr>
          <w:lang w:val="sl"/>
        </w:rPr>
        <w:t>naroka za glavno</w:t>
      </w:r>
      <w:r>
        <w:rPr>
          <w:lang w:val="sl"/>
        </w:rPr>
        <w:t xml:space="preserve"> obravnav</w:t>
      </w:r>
      <w:r w:rsidR="003334E1">
        <w:rPr>
          <w:lang w:val="sl"/>
        </w:rPr>
        <w:t>o</w:t>
      </w:r>
      <w:r>
        <w:rPr>
          <w:lang w:val="sl"/>
        </w:rPr>
        <w:t xml:space="preserve"> preložen</w:t>
      </w:r>
      <w:r w:rsidR="003334E1">
        <w:rPr>
          <w:lang w:val="sl"/>
        </w:rPr>
        <w:t>a</w:t>
      </w:r>
      <w:r>
        <w:rPr>
          <w:lang w:val="sl"/>
        </w:rPr>
        <w:t xml:space="preserve"> zaradi poizkusov dedinj, da bi dosegle dogovor (glej 12. odstavek zgoraj) in da je bil zapuščinski postopek prekinjen z ločenim pravdni</w:t>
      </w:r>
      <w:r w:rsidR="007F6B6F">
        <w:rPr>
          <w:lang w:val="sl"/>
        </w:rPr>
        <w:t>m</w:t>
      </w:r>
      <w:r>
        <w:rPr>
          <w:lang w:val="sl"/>
        </w:rPr>
        <w:t xml:space="preserve"> postopk</w:t>
      </w:r>
      <w:r w:rsidR="007F6B6F">
        <w:rPr>
          <w:lang w:val="sl"/>
        </w:rPr>
        <w:t>om</w:t>
      </w:r>
      <w:r>
        <w:rPr>
          <w:lang w:val="sl"/>
        </w:rPr>
        <w:t xml:space="preserve"> (14. odstavek zgoraj).</w:t>
      </w:r>
    </w:p>
    <w:p w:rsidR="00E26157" w:rsidRPr="00DC2481" w:rsidRDefault="00960DFA" w:rsidP="00960DFA">
      <w:pPr>
        <w:pStyle w:val="JuPara"/>
        <w:rPr>
          <w:lang w:val="sl"/>
        </w:rPr>
      </w:pPr>
      <w:r>
        <w:rPr>
          <w:lang w:val="sl"/>
        </w:rPr>
        <w:fldChar w:fldCharType="begin"/>
      </w:r>
      <w:r>
        <w:rPr>
          <w:lang w:val="sl"/>
        </w:rPr>
        <w:instrText xml:space="preserve"> SEQ level0 \*arabic </w:instrText>
      </w:r>
      <w:r>
        <w:rPr>
          <w:lang w:val="sl"/>
        </w:rPr>
        <w:fldChar w:fldCharType="separate"/>
      </w:r>
      <w:r w:rsidR="0020236F">
        <w:rPr>
          <w:noProof/>
          <w:lang w:val="sl"/>
        </w:rPr>
        <w:t>43</w:t>
      </w:r>
      <w:r>
        <w:rPr>
          <w:lang w:val="sl"/>
        </w:rPr>
        <w:fldChar w:fldCharType="end"/>
      </w:r>
      <w:r>
        <w:rPr>
          <w:lang w:val="sl"/>
        </w:rPr>
        <w:t>. Vendar mora Sodišče opozoriti, da je prišlo do spornih vprašanj, povezanih z dedovanjem, in da je bilo treba o njih odločiti v postopkih, ki so se vodili pod nadzorom sodišč, še naprej odgovornih za hitro</w:t>
      </w:r>
      <w:bookmarkStart w:id="2" w:name="HIT7"/>
      <w:bookmarkEnd w:id="2"/>
      <w:r>
        <w:rPr>
          <w:lang w:val="sl"/>
        </w:rPr>
        <w:t xml:space="preserve"> vodenje zadeve. Poleg tega je uvedba ločenega pravdn</w:t>
      </w:r>
      <w:r w:rsidR="007F6B6F">
        <w:rPr>
          <w:lang w:val="sl"/>
        </w:rPr>
        <w:t>ega</w:t>
      </w:r>
      <w:r>
        <w:rPr>
          <w:lang w:val="sl"/>
        </w:rPr>
        <w:t xml:space="preserve"> postopk</w:t>
      </w:r>
      <w:r w:rsidR="007F6B6F">
        <w:rPr>
          <w:lang w:val="sl"/>
        </w:rPr>
        <w:t>a</w:t>
      </w:r>
      <w:r>
        <w:rPr>
          <w:lang w:val="sl"/>
        </w:rPr>
        <w:t xml:space="preserve"> prav gotovo običajen potek reševanja sporov, ki izhajajo iz zapuščinskih postopkov, in je v obravnavanem postopku sodnik napotil stranke, naj izkoristijo to možnost.</w:t>
      </w:r>
    </w:p>
    <w:p w:rsidR="00531C8F" w:rsidRPr="00DC2481" w:rsidRDefault="00531C8F" w:rsidP="00960DFA">
      <w:pPr>
        <w:pStyle w:val="JuPara"/>
        <w:rPr>
          <w:lang w:val="sl"/>
        </w:rPr>
      </w:pPr>
      <w:r>
        <w:rPr>
          <w:lang w:val="sl"/>
        </w:rPr>
        <w:fldChar w:fldCharType="begin"/>
      </w:r>
      <w:r>
        <w:rPr>
          <w:lang w:val="sl"/>
        </w:rPr>
        <w:instrText xml:space="preserve"> SEQ level0 \*arabic </w:instrText>
      </w:r>
      <w:r>
        <w:rPr>
          <w:lang w:val="sl"/>
        </w:rPr>
        <w:fldChar w:fldCharType="separate"/>
      </w:r>
      <w:r w:rsidR="0020236F">
        <w:rPr>
          <w:noProof/>
          <w:lang w:val="sl"/>
        </w:rPr>
        <w:t>44</w:t>
      </w:r>
      <w:r>
        <w:rPr>
          <w:lang w:val="sl"/>
        </w:rPr>
        <w:fldChar w:fldCharType="end"/>
      </w:r>
      <w:r>
        <w:rPr>
          <w:lang w:val="sl"/>
        </w:rPr>
        <w:t>.  Glede trditve vlade o domnevni posebni zaščiti kmetije, ki je bila del zapuščine A.K. (glej 33. in 34. odstavek zgoraj), Sodišče ugotavlja, da spis zadeve ne razkriva nobenih posebnih zapletov v postopkih, ki bi se nanašali na to vprašanje.</w:t>
      </w:r>
    </w:p>
    <w:p w:rsidR="00E26157" w:rsidRPr="00DC2481" w:rsidRDefault="00960DFA" w:rsidP="00960DFA">
      <w:pPr>
        <w:pStyle w:val="JuPara"/>
        <w:rPr>
          <w:lang w:val="sl"/>
        </w:rPr>
      </w:pPr>
      <w:r>
        <w:rPr>
          <w:lang w:val="sl"/>
        </w:rPr>
        <w:fldChar w:fldCharType="begin"/>
      </w:r>
      <w:r>
        <w:rPr>
          <w:lang w:val="sl"/>
        </w:rPr>
        <w:instrText xml:space="preserve"> SEQ level0 \*arabic </w:instrText>
      </w:r>
      <w:r>
        <w:rPr>
          <w:lang w:val="sl"/>
        </w:rPr>
        <w:fldChar w:fldCharType="separate"/>
      </w:r>
      <w:r w:rsidR="0020236F">
        <w:rPr>
          <w:noProof/>
          <w:lang w:val="sl"/>
        </w:rPr>
        <w:t>45</w:t>
      </w:r>
      <w:r>
        <w:rPr>
          <w:lang w:val="sl"/>
        </w:rPr>
        <w:fldChar w:fldCharType="end"/>
      </w:r>
      <w:r>
        <w:rPr>
          <w:lang w:val="sl"/>
        </w:rPr>
        <w:t xml:space="preserve">.  Končno Sodišče ugotavlja, da vlada ni predložila nobenih pojasnil glede očitnih obdobij nedejavnosti, ki so se pojavila med potekom postopkov, zlasti med 16. junijem 1997 in 27. junijem 2000 (glej 11. in 12. odstavek </w:t>
      </w:r>
      <w:r>
        <w:rPr>
          <w:lang w:val="sl"/>
        </w:rPr>
        <w:lastRenderedPageBreak/>
        <w:t>zgoraj) in med 5. februarjem 2001 in 27. oktobrom 2003 (glej 15. odstavek zgoraj).</w:t>
      </w:r>
    </w:p>
    <w:p w:rsidR="00960DFA" w:rsidRPr="00DC2481" w:rsidRDefault="00960DFA" w:rsidP="00960DFA">
      <w:pPr>
        <w:pStyle w:val="JuPara"/>
        <w:rPr>
          <w:lang w:val="sl"/>
        </w:rPr>
      </w:pPr>
      <w:r>
        <w:rPr>
          <w:lang w:val="sl"/>
        </w:rPr>
        <w:fldChar w:fldCharType="begin"/>
      </w:r>
      <w:r>
        <w:rPr>
          <w:lang w:val="sl"/>
        </w:rPr>
        <w:instrText xml:space="preserve"> SEQ level0 \*arabic </w:instrText>
      </w:r>
      <w:r>
        <w:rPr>
          <w:lang w:val="sl"/>
        </w:rPr>
        <w:fldChar w:fldCharType="separate"/>
      </w:r>
      <w:r w:rsidR="0020236F">
        <w:rPr>
          <w:noProof/>
          <w:lang w:val="sl"/>
        </w:rPr>
        <w:t>46</w:t>
      </w:r>
      <w:r>
        <w:rPr>
          <w:lang w:val="sl"/>
        </w:rPr>
        <w:fldChar w:fldCharType="end"/>
      </w:r>
      <w:r>
        <w:rPr>
          <w:lang w:val="sl"/>
        </w:rPr>
        <w:t>.  Ob upoštevanju zgoraj navedenega in ob upoštevanju lastne predmetne sodne prakse Sodišče meni, da trajanja devetih let in dveh mesecev za dva sklopa povezanih postopkov, ki so se vodili le na eni stopnji sodne pristojnosti, ni mogoče šteti za razumnega in da je torej prišlo do kršitve prvega odstavka 6. člena konvencije.</w:t>
      </w:r>
    </w:p>
    <w:p w:rsidR="00960DFA" w:rsidRPr="00DC2481" w:rsidRDefault="00960DFA" w:rsidP="00960DFA">
      <w:pPr>
        <w:pStyle w:val="JuH1"/>
        <w:rPr>
          <w:lang w:val="sl"/>
        </w:rPr>
      </w:pPr>
      <w:r>
        <w:rPr>
          <w:iCs/>
          <w:lang w:val="sl"/>
        </w:rPr>
        <w:t>2.  13. člen</w:t>
      </w:r>
    </w:p>
    <w:p w:rsidR="00960DFA" w:rsidRPr="00DC2481" w:rsidRDefault="00960DFA" w:rsidP="00960DFA">
      <w:pPr>
        <w:pStyle w:val="JuPara"/>
        <w:rPr>
          <w:lang w:val="sl"/>
        </w:rPr>
      </w:pPr>
      <w:r>
        <w:rPr>
          <w:lang w:val="sl"/>
        </w:rPr>
        <w:fldChar w:fldCharType="begin"/>
      </w:r>
      <w:r>
        <w:rPr>
          <w:lang w:val="sl"/>
        </w:rPr>
        <w:instrText xml:space="preserve"> SEQ level0 \*arabic </w:instrText>
      </w:r>
      <w:r>
        <w:rPr>
          <w:lang w:val="sl"/>
        </w:rPr>
        <w:fldChar w:fldCharType="separate"/>
      </w:r>
      <w:r w:rsidR="0020236F">
        <w:rPr>
          <w:noProof/>
          <w:lang w:val="sl"/>
        </w:rPr>
        <w:t>47</w:t>
      </w:r>
      <w:r>
        <w:rPr>
          <w:lang w:val="sl"/>
        </w:rPr>
        <w:fldChar w:fldCharType="end"/>
      </w:r>
      <w:r>
        <w:rPr>
          <w:lang w:val="sl"/>
        </w:rPr>
        <w:t xml:space="preserve">.  Sodišče ponovno poudarja, da 13. člen zagotavlja učinkovito pravno sredstvo pred domačimi organi za domnevno kršitev zahteve po prvem odstavku 6. člena, po katerem mora biti zadeva obravnavana v razumnem roku (glej </w:t>
      </w:r>
      <w:r>
        <w:rPr>
          <w:i/>
          <w:iCs/>
          <w:lang w:val="sl"/>
        </w:rPr>
        <w:t>Kudła proti Poljski</w:t>
      </w:r>
      <w:r>
        <w:rPr>
          <w:lang w:val="sl"/>
        </w:rPr>
        <w:t xml:space="preserve"> [VS], št. 30210/96, 156. odstavek, ESČP 2000-XI).</w:t>
      </w:r>
      <w:r w:rsidR="00171831">
        <w:rPr>
          <w:lang w:val="sl"/>
        </w:rPr>
        <w:t xml:space="preserve"> </w:t>
      </w:r>
      <w:r>
        <w:rPr>
          <w:lang w:val="sl"/>
        </w:rPr>
        <w:t xml:space="preserve">Ugotavlja tudi, da so bili ugovori in utemeljitve vlade zavrnjeni že v predhodnih primerih (glej </w:t>
      </w:r>
      <w:r>
        <w:rPr>
          <w:i/>
          <w:iCs/>
          <w:lang w:val="sl"/>
        </w:rPr>
        <w:t>Grzinčič</w:t>
      </w:r>
      <w:r>
        <w:rPr>
          <w:lang w:val="sl"/>
        </w:rPr>
        <w:t>, navedeno zgoraj) in ne vidi razloga, da bi v obravnavani zadevi sprejelo drugačen sklep.</w:t>
      </w:r>
    </w:p>
    <w:p w:rsidR="00960DFA" w:rsidRPr="00DC2481" w:rsidRDefault="00960DFA" w:rsidP="00960DFA">
      <w:pPr>
        <w:pStyle w:val="JuPara"/>
        <w:rPr>
          <w:lang w:val="sl"/>
        </w:rPr>
      </w:pPr>
      <w:r>
        <w:rPr>
          <w:lang w:val="sl"/>
        </w:rPr>
        <w:fldChar w:fldCharType="begin"/>
      </w:r>
      <w:r>
        <w:rPr>
          <w:lang w:val="sl"/>
        </w:rPr>
        <w:instrText xml:space="preserve"> SEQ level0 \*arabic </w:instrText>
      </w:r>
      <w:r>
        <w:rPr>
          <w:lang w:val="sl"/>
        </w:rPr>
        <w:fldChar w:fldCharType="separate"/>
      </w:r>
      <w:r w:rsidR="0020236F">
        <w:rPr>
          <w:noProof/>
          <w:lang w:val="sl"/>
        </w:rPr>
        <w:t>48</w:t>
      </w:r>
      <w:r>
        <w:rPr>
          <w:lang w:val="sl"/>
        </w:rPr>
        <w:fldChar w:fldCharType="end"/>
      </w:r>
      <w:r>
        <w:rPr>
          <w:lang w:val="sl"/>
        </w:rPr>
        <w:t>.  Sodišče torej meni, da je bil pri obravnavani zadevi kršen 13. člen, saj v domači zakonodaji ni bilo pravnega sredstva, s katerim bi lahko pritožnica dosegla odločitev sodišča, ki bi potrdila njeno pravico do obravnave zadeve v razumnem roku, kot je določeno v prvem odstavku 6. člena.</w:t>
      </w:r>
    </w:p>
    <w:p w:rsidR="00960DFA" w:rsidRPr="00DC2481" w:rsidRDefault="00960DFA" w:rsidP="00960DFA">
      <w:pPr>
        <w:pStyle w:val="JuHIRoman"/>
        <w:rPr>
          <w:lang w:val="es-ES_tradnl"/>
        </w:rPr>
      </w:pPr>
      <w:r>
        <w:rPr>
          <w:lang w:val="sl"/>
        </w:rPr>
        <w:t>II. UPORABA 41. ČLENA KONVENCIJE</w:t>
      </w:r>
    </w:p>
    <w:p w:rsidR="00960DFA" w:rsidRPr="00DC2481" w:rsidRDefault="00960DFA" w:rsidP="00960DFA">
      <w:pPr>
        <w:pStyle w:val="JuPara"/>
        <w:rPr>
          <w:lang w:val="es-ES_tradnl"/>
        </w:rPr>
      </w:pPr>
      <w:r>
        <w:rPr>
          <w:lang w:val="sl"/>
        </w:rPr>
        <w:fldChar w:fldCharType="begin"/>
      </w:r>
      <w:r>
        <w:rPr>
          <w:lang w:val="sl"/>
        </w:rPr>
        <w:instrText xml:space="preserve"> SEQ level0 \*arabic </w:instrText>
      </w:r>
      <w:r>
        <w:rPr>
          <w:lang w:val="sl"/>
        </w:rPr>
        <w:fldChar w:fldCharType="separate"/>
      </w:r>
      <w:r w:rsidR="0020236F">
        <w:rPr>
          <w:noProof/>
          <w:lang w:val="sl"/>
        </w:rPr>
        <w:t>49</w:t>
      </w:r>
      <w:r>
        <w:rPr>
          <w:lang w:val="sl"/>
        </w:rPr>
        <w:fldChar w:fldCharType="end"/>
      </w:r>
      <w:r>
        <w:rPr>
          <w:lang w:val="sl"/>
        </w:rPr>
        <w:t>.  41. člen konvencije določa:</w:t>
      </w:r>
    </w:p>
    <w:p w:rsidR="00960DFA" w:rsidRPr="00DC2481" w:rsidRDefault="00960DFA" w:rsidP="00960DFA">
      <w:pPr>
        <w:pStyle w:val="JuQuot"/>
        <w:keepNext/>
        <w:keepLines/>
        <w:rPr>
          <w:lang w:val="es-ES_tradnl"/>
        </w:rPr>
      </w:pPr>
      <w:r>
        <w:rPr>
          <w:lang w:val="sl"/>
        </w:rPr>
        <w:t>"Če Sodišče ugotovi, da je prišlo do kršitve konvencije ali njenih protokolov, in če notranje pravo visoke pogodbenice dovoljuje le delno zadoščenje, Sodišče oškodovani stranki, če je potrebno, nakloni pravično zadoščenje."</w:t>
      </w:r>
    </w:p>
    <w:p w:rsidR="00960DFA" w:rsidRPr="00DC2481" w:rsidRDefault="00960DFA" w:rsidP="00960DFA">
      <w:pPr>
        <w:pStyle w:val="JuHA"/>
        <w:rPr>
          <w:lang w:val="es-ES_tradnl"/>
        </w:rPr>
      </w:pPr>
      <w:r>
        <w:rPr>
          <w:bCs/>
          <w:lang w:val="sl"/>
        </w:rPr>
        <w:t>A.  Škoda</w:t>
      </w:r>
    </w:p>
    <w:p w:rsidR="00960DFA" w:rsidRPr="00DC2481" w:rsidRDefault="00960DFA" w:rsidP="00960DFA">
      <w:pPr>
        <w:pStyle w:val="JuPara"/>
        <w:rPr>
          <w:lang w:val="es-ES_tradnl"/>
        </w:rPr>
      </w:pPr>
      <w:r>
        <w:rPr>
          <w:lang w:val="sl"/>
        </w:rPr>
        <w:fldChar w:fldCharType="begin"/>
      </w:r>
      <w:r>
        <w:rPr>
          <w:lang w:val="sl"/>
        </w:rPr>
        <w:instrText xml:space="preserve"> SEQ level0 \*arabic </w:instrText>
      </w:r>
      <w:r>
        <w:rPr>
          <w:lang w:val="sl"/>
        </w:rPr>
        <w:fldChar w:fldCharType="separate"/>
      </w:r>
      <w:r w:rsidR="0020236F">
        <w:rPr>
          <w:noProof/>
          <w:lang w:val="sl"/>
        </w:rPr>
        <w:t>50</w:t>
      </w:r>
      <w:r>
        <w:rPr>
          <w:lang w:val="sl"/>
        </w:rPr>
        <w:fldChar w:fldCharType="end"/>
      </w:r>
      <w:r>
        <w:rPr>
          <w:lang w:val="sl"/>
        </w:rPr>
        <w:t>.  Pritožnica je zahtevala 41.576 evrov (EUR) za premoženjsko in nepremoženjsko škodo.</w:t>
      </w:r>
    </w:p>
    <w:p w:rsidR="00960DFA" w:rsidRPr="00DC2481" w:rsidRDefault="00960DFA" w:rsidP="00960DFA">
      <w:pPr>
        <w:pStyle w:val="JuPara"/>
        <w:rPr>
          <w:lang w:val="sl"/>
        </w:rPr>
      </w:pPr>
      <w:r>
        <w:rPr>
          <w:lang w:val="sl"/>
        </w:rPr>
        <w:fldChar w:fldCharType="begin"/>
      </w:r>
      <w:r>
        <w:rPr>
          <w:lang w:val="sl"/>
        </w:rPr>
        <w:instrText xml:space="preserve"> SEQ level0 \*arabic </w:instrText>
      </w:r>
      <w:r>
        <w:rPr>
          <w:lang w:val="sl"/>
        </w:rPr>
        <w:fldChar w:fldCharType="separate"/>
      </w:r>
      <w:r w:rsidR="0020236F">
        <w:rPr>
          <w:noProof/>
          <w:lang w:val="sl"/>
        </w:rPr>
        <w:t>51</w:t>
      </w:r>
      <w:r>
        <w:rPr>
          <w:lang w:val="sl"/>
        </w:rPr>
        <w:fldChar w:fldCharType="end"/>
      </w:r>
      <w:r>
        <w:rPr>
          <w:lang w:val="sl"/>
        </w:rPr>
        <w:t>.  Vlada je zahtevku oporekala. Zatrjevala je, da med domnevno denarno škodo in domnevno kršitvijo pravice do sojenja v razumnem roku ni podana vzročna zveza.</w:t>
      </w:r>
      <w:r w:rsidR="00171831">
        <w:rPr>
          <w:lang w:val="sl"/>
        </w:rPr>
        <w:t xml:space="preserve">  </w:t>
      </w:r>
      <w:r>
        <w:rPr>
          <w:lang w:val="sl"/>
        </w:rPr>
        <w:t>Glede nepremoženjske škode je vlada zaprosila Sodišče, naj odloči o pritožničinem zahtevku na podlagi svoje ustaljene sodne prakse.</w:t>
      </w:r>
    </w:p>
    <w:p w:rsidR="00960DFA" w:rsidRPr="00DC2481" w:rsidRDefault="00960DFA" w:rsidP="00960DFA">
      <w:pPr>
        <w:pStyle w:val="JuPara"/>
        <w:rPr>
          <w:lang w:val="es-ES_tradnl"/>
        </w:rPr>
      </w:pPr>
      <w:r>
        <w:rPr>
          <w:lang w:val="sl"/>
        </w:rPr>
        <w:fldChar w:fldCharType="begin"/>
      </w:r>
      <w:r>
        <w:rPr>
          <w:lang w:val="sl"/>
        </w:rPr>
        <w:instrText xml:space="preserve"> SEQ level0 \*arabic </w:instrText>
      </w:r>
      <w:r>
        <w:rPr>
          <w:lang w:val="sl"/>
        </w:rPr>
        <w:fldChar w:fldCharType="separate"/>
      </w:r>
      <w:r w:rsidR="0020236F">
        <w:rPr>
          <w:noProof/>
          <w:lang w:val="sl"/>
        </w:rPr>
        <w:t>52</w:t>
      </w:r>
      <w:r>
        <w:rPr>
          <w:lang w:val="sl"/>
        </w:rPr>
        <w:fldChar w:fldCharType="end"/>
      </w:r>
      <w:r>
        <w:rPr>
          <w:lang w:val="sl"/>
        </w:rPr>
        <w:t>.  Glede zahtevka za premoženjsko škodo Sodišče ne vidi vzročne zveze med ugotovljeno kršitvijo in zatrjevano premoženjsko škodo. Ta zahtevek zato zavrača. Vendar pa Sodišče meni, da je pritožnica imela nepremoženjsko škodo. Po načelu pravičnosti ji na tej podlagi prisoja 6.000 EUR.</w:t>
      </w:r>
    </w:p>
    <w:p w:rsidR="00960DFA" w:rsidRPr="00DC2481" w:rsidRDefault="00960DFA" w:rsidP="00960DFA">
      <w:pPr>
        <w:pStyle w:val="JuHA"/>
        <w:rPr>
          <w:lang w:val="sl"/>
        </w:rPr>
      </w:pPr>
      <w:r>
        <w:rPr>
          <w:bCs/>
          <w:lang w:val="sl"/>
        </w:rPr>
        <w:lastRenderedPageBreak/>
        <w:t>B.  Stroški in izdatki</w:t>
      </w:r>
    </w:p>
    <w:p w:rsidR="00960DFA" w:rsidRPr="00DC2481" w:rsidRDefault="00960DFA" w:rsidP="00960DFA">
      <w:pPr>
        <w:pStyle w:val="JuPara"/>
        <w:rPr>
          <w:lang w:val="sl"/>
        </w:rPr>
      </w:pPr>
      <w:r>
        <w:rPr>
          <w:lang w:val="sl"/>
        </w:rPr>
        <w:fldChar w:fldCharType="begin"/>
      </w:r>
      <w:r>
        <w:rPr>
          <w:lang w:val="sl"/>
        </w:rPr>
        <w:instrText xml:space="preserve"> SEQ level0 \*arabic </w:instrText>
      </w:r>
      <w:r>
        <w:rPr>
          <w:lang w:val="sl"/>
        </w:rPr>
        <w:fldChar w:fldCharType="separate"/>
      </w:r>
      <w:r w:rsidR="0020236F">
        <w:rPr>
          <w:noProof/>
          <w:lang w:val="sl"/>
        </w:rPr>
        <w:t>53</w:t>
      </w:r>
      <w:r>
        <w:rPr>
          <w:lang w:val="sl"/>
        </w:rPr>
        <w:fldChar w:fldCharType="end"/>
      </w:r>
      <w:r>
        <w:rPr>
          <w:lang w:val="sl"/>
        </w:rPr>
        <w:t>.  Pritožnica je zahtevala tudi približno 739 EUR za stroške in izdatke, ki so nastali v domačih postopkih, in 14 EUR za stroške in izdatke, ki so nastali v postopku pred Sodiščem.</w:t>
      </w:r>
    </w:p>
    <w:p w:rsidR="00960DFA" w:rsidRPr="00DC2481" w:rsidRDefault="00960DFA" w:rsidP="00960DFA">
      <w:pPr>
        <w:pStyle w:val="JuPara"/>
        <w:rPr>
          <w:lang w:val="sl"/>
        </w:rPr>
      </w:pPr>
      <w:r>
        <w:rPr>
          <w:lang w:val="sl"/>
        </w:rPr>
        <w:fldChar w:fldCharType="begin"/>
      </w:r>
      <w:r>
        <w:rPr>
          <w:lang w:val="sl"/>
        </w:rPr>
        <w:instrText xml:space="preserve"> SEQ level0 \*arabic </w:instrText>
      </w:r>
      <w:r>
        <w:rPr>
          <w:lang w:val="sl"/>
        </w:rPr>
        <w:fldChar w:fldCharType="separate"/>
      </w:r>
      <w:r w:rsidR="0020236F">
        <w:rPr>
          <w:noProof/>
          <w:lang w:val="sl"/>
        </w:rPr>
        <w:t>54</w:t>
      </w:r>
      <w:r>
        <w:rPr>
          <w:lang w:val="sl"/>
        </w:rPr>
        <w:fldChar w:fldCharType="end"/>
      </w:r>
      <w:r>
        <w:rPr>
          <w:lang w:val="sl"/>
        </w:rPr>
        <w:t xml:space="preserve">.  Vlada je izpodbijala zahtevek za stroške in izdatke, ki so nastali v domačih postopkih, pri čemer je navedla, da ni bil povezan s pritožničino pritožbo glede trajanja postopka. </w:t>
      </w:r>
    </w:p>
    <w:p w:rsidR="00FB27B8" w:rsidRPr="00DC2481" w:rsidRDefault="00960DFA" w:rsidP="00960DFA">
      <w:pPr>
        <w:pStyle w:val="JuPara"/>
        <w:rPr>
          <w:lang w:val="sl"/>
        </w:rPr>
      </w:pPr>
      <w:r>
        <w:rPr>
          <w:lang w:val="sl"/>
        </w:rPr>
        <w:fldChar w:fldCharType="begin"/>
      </w:r>
      <w:r>
        <w:rPr>
          <w:lang w:val="sl"/>
        </w:rPr>
        <w:instrText xml:space="preserve"> SEQ level0 \*arabic </w:instrText>
      </w:r>
      <w:r>
        <w:rPr>
          <w:lang w:val="sl"/>
        </w:rPr>
        <w:fldChar w:fldCharType="separate"/>
      </w:r>
      <w:r w:rsidR="0020236F">
        <w:rPr>
          <w:noProof/>
          <w:lang w:val="sl"/>
        </w:rPr>
        <w:t>55</w:t>
      </w:r>
      <w:r>
        <w:rPr>
          <w:lang w:val="sl"/>
        </w:rPr>
        <w:fldChar w:fldCharType="end"/>
      </w:r>
      <w:r>
        <w:rPr>
          <w:lang w:val="sl"/>
        </w:rPr>
        <w:t xml:space="preserve">.  V skladu s sodno prakso Sodišča je pritožnik upravičen do povrnitve stroškov in izdatkov samo, če dokaže, da so ti dejansko nastali in bili neizogibni ter da je njihov znesek razumen. V obravnavani zadevi Sodišče ob upoštevanju razpoložljivih podatkov in navedenih meril zavrača zahtevek za stroške in izdatke, nastale v domačih postopkih, in prisoja pritožnici, ki je ni zastopal odvetnik, </w:t>
      </w:r>
      <w:bookmarkStart w:id="3" w:name="HIT9"/>
      <w:bookmarkStart w:id="4" w:name="HIT10"/>
      <w:bookmarkEnd w:id="3"/>
      <w:bookmarkEnd w:id="4"/>
      <w:r>
        <w:rPr>
          <w:lang w:val="sl"/>
        </w:rPr>
        <w:t xml:space="preserve">celotno vsoto, ki jo je zahtevala v zvezi s postopkom pred Sodiščem, in sicer 14 EUR. </w:t>
      </w:r>
    </w:p>
    <w:p w:rsidR="00960DFA" w:rsidRPr="00DC2481" w:rsidRDefault="00960DFA" w:rsidP="00960DFA">
      <w:pPr>
        <w:pStyle w:val="JuHA"/>
        <w:rPr>
          <w:lang w:val="sl"/>
        </w:rPr>
      </w:pPr>
      <w:r>
        <w:rPr>
          <w:bCs/>
          <w:lang w:val="sl"/>
        </w:rPr>
        <w:t>C.  Zamudne obresti</w:t>
      </w:r>
    </w:p>
    <w:p w:rsidR="00960DFA" w:rsidRPr="00DC2481" w:rsidRDefault="00960DFA" w:rsidP="00960DFA">
      <w:pPr>
        <w:pStyle w:val="JuPara"/>
        <w:rPr>
          <w:lang w:val="sl"/>
        </w:rPr>
      </w:pPr>
      <w:r>
        <w:rPr>
          <w:lang w:val="sl"/>
        </w:rPr>
        <w:fldChar w:fldCharType="begin"/>
      </w:r>
      <w:r>
        <w:rPr>
          <w:lang w:val="sl"/>
        </w:rPr>
        <w:instrText xml:space="preserve"> SEQ level0 \*arabic </w:instrText>
      </w:r>
      <w:r>
        <w:rPr>
          <w:lang w:val="sl"/>
        </w:rPr>
        <w:fldChar w:fldCharType="separate"/>
      </w:r>
      <w:r w:rsidR="0020236F">
        <w:rPr>
          <w:noProof/>
          <w:lang w:val="sl"/>
        </w:rPr>
        <w:t>56</w:t>
      </w:r>
      <w:r>
        <w:rPr>
          <w:lang w:val="sl"/>
        </w:rPr>
        <w:fldChar w:fldCharType="end"/>
      </w:r>
      <w:r>
        <w:rPr>
          <w:lang w:val="sl"/>
        </w:rPr>
        <w:t>.  Po mnenju Sodišča je primerno, da zamudne obresti temeljijo na mejni posojilni obrestni meri Evropske centralne banke, ki se ji dodajo tri odstotne točke.</w:t>
      </w:r>
    </w:p>
    <w:p w:rsidR="00960DFA" w:rsidRPr="00DC2481" w:rsidRDefault="002A4BB6" w:rsidP="00960DFA">
      <w:pPr>
        <w:pStyle w:val="JuHHead"/>
        <w:rPr>
          <w:lang w:val="sl"/>
        </w:rPr>
      </w:pPr>
      <w:r>
        <w:rPr>
          <w:lang w:val="sl"/>
        </w:rPr>
        <w:t>IZ TEH RAZLOGOV SODIŠČE SOGLASNO</w:t>
      </w:r>
    </w:p>
    <w:p w:rsidR="00960DFA" w:rsidRPr="00DC2481" w:rsidRDefault="00960DFA" w:rsidP="00960DFA">
      <w:pPr>
        <w:pStyle w:val="JuList"/>
        <w:rPr>
          <w:lang w:val="es-ES_tradnl"/>
        </w:rPr>
      </w:pPr>
      <w:bookmarkStart w:id="5" w:name="OLE_LINK1"/>
      <w:bookmarkStart w:id="6" w:name="OLE_LINK2"/>
      <w:r>
        <w:rPr>
          <w:lang w:val="sl"/>
        </w:rPr>
        <w:t>1.  </w:t>
      </w:r>
      <w:r>
        <w:rPr>
          <w:i/>
          <w:iCs/>
          <w:lang w:val="sl"/>
        </w:rPr>
        <w:t>razglaša</w:t>
      </w:r>
      <w:r>
        <w:rPr>
          <w:lang w:val="sl"/>
        </w:rPr>
        <w:t>, da je pritožba sprejemljiva;</w:t>
      </w:r>
    </w:p>
    <w:p w:rsidR="00960DFA" w:rsidRPr="00DC2481" w:rsidRDefault="00960DFA" w:rsidP="00960DFA">
      <w:pPr>
        <w:pStyle w:val="JuList"/>
        <w:rPr>
          <w:lang w:val="es-ES_tradnl"/>
        </w:rPr>
      </w:pPr>
    </w:p>
    <w:p w:rsidR="00960DFA" w:rsidRPr="00DC2481" w:rsidRDefault="00960DFA" w:rsidP="00960DFA">
      <w:pPr>
        <w:pStyle w:val="JuList"/>
        <w:rPr>
          <w:lang w:val="es-ES_tradnl"/>
        </w:rPr>
      </w:pPr>
      <w:r>
        <w:rPr>
          <w:lang w:val="sl"/>
        </w:rPr>
        <w:t>2.  </w:t>
      </w:r>
      <w:r>
        <w:rPr>
          <w:i/>
          <w:iCs/>
          <w:lang w:val="sl"/>
        </w:rPr>
        <w:t>razsoja</w:t>
      </w:r>
      <w:r>
        <w:rPr>
          <w:lang w:val="sl"/>
        </w:rPr>
        <w:t>, da je bil kršen prvi odstavek 6. člena konvencije;</w:t>
      </w:r>
    </w:p>
    <w:p w:rsidR="00960DFA" w:rsidRPr="00DC2481" w:rsidRDefault="00960DFA" w:rsidP="00960DFA">
      <w:pPr>
        <w:pStyle w:val="JuList"/>
        <w:rPr>
          <w:lang w:val="es-ES_tradnl"/>
        </w:rPr>
      </w:pPr>
    </w:p>
    <w:p w:rsidR="00960DFA" w:rsidRPr="00DC2481" w:rsidRDefault="00960DFA" w:rsidP="00960DFA">
      <w:pPr>
        <w:pStyle w:val="JuList"/>
        <w:rPr>
          <w:lang w:val="es-ES_tradnl"/>
        </w:rPr>
      </w:pPr>
      <w:r>
        <w:rPr>
          <w:lang w:val="sl"/>
        </w:rPr>
        <w:t>3.  </w:t>
      </w:r>
      <w:r>
        <w:rPr>
          <w:i/>
          <w:iCs/>
          <w:lang w:val="sl"/>
        </w:rPr>
        <w:t>razsoja,</w:t>
      </w:r>
      <w:r>
        <w:rPr>
          <w:lang w:val="sl"/>
        </w:rPr>
        <w:t xml:space="preserve"> da je bil kršen 13. člen konvencije;</w:t>
      </w:r>
    </w:p>
    <w:p w:rsidR="00960DFA" w:rsidRPr="00DC2481" w:rsidRDefault="00960DFA" w:rsidP="00960DFA">
      <w:pPr>
        <w:pStyle w:val="JuList"/>
        <w:rPr>
          <w:lang w:val="es-ES_tradnl"/>
        </w:rPr>
      </w:pPr>
    </w:p>
    <w:p w:rsidR="00960DFA" w:rsidRPr="00DC2481" w:rsidRDefault="00960DFA" w:rsidP="00960DFA">
      <w:pPr>
        <w:pStyle w:val="JuList"/>
        <w:rPr>
          <w:lang w:val="es-ES_tradnl"/>
        </w:rPr>
      </w:pPr>
      <w:r>
        <w:rPr>
          <w:lang w:val="sl"/>
        </w:rPr>
        <w:t>4.  </w:t>
      </w:r>
      <w:r>
        <w:rPr>
          <w:i/>
          <w:iCs/>
          <w:lang w:val="sl"/>
        </w:rPr>
        <w:t>razsoja,</w:t>
      </w:r>
    </w:p>
    <w:p w:rsidR="00960DFA" w:rsidRPr="00DC2481" w:rsidRDefault="00960DFA" w:rsidP="00960DFA">
      <w:pPr>
        <w:pStyle w:val="JuLista"/>
        <w:rPr>
          <w:lang w:val="es-ES_tradnl"/>
        </w:rPr>
      </w:pPr>
      <w:r>
        <w:rPr>
          <w:lang w:val="sl"/>
        </w:rPr>
        <w:t>a) da mora tožena država plačati pritožnici v treh mesecih od datuma, ko postane sodba dokončna, v skladu z drugim odstavkom 44. člena konvencije, 6.000 EUR (šest tisoč evrov) za nepremoženjsko škodo in 14 EUR (štirinajst evrov) za stroške in izdatke, ter morebitni davek, ki bi ga bilo treba plačati;</w:t>
      </w:r>
    </w:p>
    <w:p w:rsidR="00CB3888" w:rsidRPr="00DC2481" w:rsidRDefault="00960DFA" w:rsidP="00960DFA">
      <w:pPr>
        <w:pStyle w:val="JuLista"/>
        <w:rPr>
          <w:lang w:val="es-ES_tradnl"/>
        </w:rPr>
      </w:pPr>
      <w:r>
        <w:rPr>
          <w:lang w:val="sl"/>
        </w:rPr>
        <w:t>b) da se za navedene zneske od dneva poteka treh mesecev do plačila obračunajo linearne obresti po stopnji, ki je enaka stopnji mejne posojilne obrestne mere Evropske centralne banke, za vse zamudno obdobje, z dodanimi tremi odstotnimi točkami,</w:t>
      </w:r>
    </w:p>
    <w:p w:rsidR="00211AFB" w:rsidRPr="00DC2481" w:rsidRDefault="00211AFB" w:rsidP="00211AFB">
      <w:pPr>
        <w:pStyle w:val="JuList"/>
        <w:rPr>
          <w:lang w:val="es-ES_tradnl"/>
        </w:rPr>
      </w:pPr>
    </w:p>
    <w:p w:rsidR="00211AFB" w:rsidRPr="00DC2481" w:rsidRDefault="00211AFB" w:rsidP="00211AFB">
      <w:pPr>
        <w:pStyle w:val="JuList"/>
        <w:rPr>
          <w:szCs w:val="24"/>
          <w:lang w:val="es-ES_tradnl"/>
        </w:rPr>
      </w:pPr>
      <w:r>
        <w:rPr>
          <w:lang w:val="sl"/>
        </w:rPr>
        <w:t>5.  </w:t>
      </w:r>
      <w:r>
        <w:rPr>
          <w:i/>
          <w:iCs/>
          <w:lang w:val="sl"/>
        </w:rPr>
        <w:t>zavrača</w:t>
      </w:r>
      <w:r>
        <w:rPr>
          <w:lang w:val="sl"/>
        </w:rPr>
        <w:t xml:space="preserve"> preostali del zahtevka pritožnice za pravično zadoščenje.</w:t>
      </w:r>
    </w:p>
    <w:bookmarkEnd w:id="5"/>
    <w:bookmarkEnd w:id="6"/>
    <w:p w:rsidR="00960DFA" w:rsidRPr="00DC2481" w:rsidRDefault="00960DFA" w:rsidP="00960DFA">
      <w:pPr>
        <w:pStyle w:val="JuParaLast"/>
        <w:rPr>
          <w:lang w:val="es-ES_tradnl"/>
        </w:rPr>
      </w:pPr>
      <w:r>
        <w:rPr>
          <w:lang w:val="sl"/>
        </w:rPr>
        <w:lastRenderedPageBreak/>
        <w:t>Sestavljeno v angleškem jeziku in 8. aprila 2008 poslano v skladu z drugim in tretjim odstavkom 77. člena Poslovnika Sodišča.</w:t>
      </w:r>
    </w:p>
    <w:p w:rsidR="0018316A" w:rsidRPr="00DC2481" w:rsidRDefault="0018316A" w:rsidP="0018316A">
      <w:pPr>
        <w:pStyle w:val="JuSigned"/>
        <w:keepNext/>
        <w:keepLines/>
        <w:rPr>
          <w:lang w:val="es-ES_tradnl"/>
        </w:rPr>
      </w:pPr>
      <w:r>
        <w:rPr>
          <w:lang w:val="sl"/>
        </w:rPr>
        <w:tab/>
        <w:t xml:space="preserve">Santiago </w:t>
      </w:r>
      <w:r>
        <w:rPr>
          <w:rStyle w:val="JuNames"/>
          <w:smallCaps w:val="0"/>
          <w:lang w:val="sl"/>
        </w:rPr>
        <w:t>Quesada</w:t>
      </w:r>
      <w:r>
        <w:rPr>
          <w:rStyle w:val="JuNames"/>
          <w:lang w:val="sl"/>
        </w:rPr>
        <w:tab/>
        <w:t>J</w:t>
      </w:r>
      <w:r>
        <w:rPr>
          <w:noProof/>
          <w:lang w:val="sl"/>
        </w:rPr>
        <w:t xml:space="preserve">osep </w:t>
      </w:r>
      <w:r>
        <w:rPr>
          <w:rStyle w:val="JuNames"/>
          <w:smallCaps w:val="0"/>
          <w:lang w:val="sl"/>
        </w:rPr>
        <w:t>Casadevall</w:t>
      </w:r>
      <w:r>
        <w:rPr>
          <w:lang w:val="sl"/>
        </w:rPr>
        <w:br/>
      </w:r>
      <w:r>
        <w:rPr>
          <w:lang w:val="sl"/>
        </w:rPr>
        <w:tab/>
        <w:t>sodni tajnik</w:t>
      </w:r>
      <w:r>
        <w:rPr>
          <w:lang w:val="sl"/>
        </w:rPr>
        <w:tab/>
        <w:t>predsednik</w:t>
      </w:r>
    </w:p>
    <w:p w:rsidR="00743C9F" w:rsidRPr="00DC2481" w:rsidRDefault="00743C9F" w:rsidP="0018316A">
      <w:pPr>
        <w:rPr>
          <w:lang w:val="es-ES_tradnl"/>
        </w:rPr>
      </w:pPr>
    </w:p>
    <w:sectPr w:rsidR="00743C9F" w:rsidRPr="00DC2481" w:rsidSect="002A4BB6">
      <w:headerReference w:type="even" r:id="rId15"/>
      <w:headerReference w:type="default" r:id="rId16"/>
      <w:footnotePr>
        <w:numRestart w:val="eachPage"/>
      </w:footnotePr>
      <w:pgSz w:w="11906" w:h="16838" w:code="9"/>
      <w:pgMar w:top="2274" w:right="2274" w:bottom="2274" w:left="2274" w:header="1701" w:footer="720" w:gutter="0"/>
      <w:pgNumType w:start="1"/>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355BAD" w:rsidRDefault="00355BAD">
      <w:r>
        <w:separator/>
      </w:r>
    </w:p>
  </w:endnote>
  <w:endnote w:type="continuationSeparator" w:id="0">
    <w:p w:rsidR="00355BAD" w:rsidRDefault="00355BA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EE"/>
    <w:family w:val="roman"/>
    <w:pitch w:val="variable"/>
    <w:sig w:usb0="E0002EFF" w:usb1="C000785B" w:usb2="00000009" w:usb3="00000000" w:csb0="000001FF" w:csb1="00000000"/>
  </w:font>
  <w:font w:name="Courier">
    <w:panose1 w:val="02070309020205020404"/>
    <w:charset w:val="00"/>
    <w:family w:val="modern"/>
    <w:notTrueType/>
    <w:pitch w:val="fixed"/>
    <w:sig w:usb0="00000003" w:usb1="00000000" w:usb2="00000000" w:usb3="00000000" w:csb0="00000001" w:csb1="00000000"/>
  </w:font>
  <w:font w:name="Tahoma">
    <w:panose1 w:val="020B0604030504040204"/>
    <w:charset w:val="EE"/>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EE"/>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EE"/>
    <w:family w:val="swiss"/>
    <w:pitch w:val="variable"/>
    <w:sig w:usb0="E0002A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8163E" w:rsidRDefault="0018163E">
    <w:pPr>
      <w:pStyle w:val="Nog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8163E" w:rsidRDefault="0018163E">
    <w:pPr>
      <w:pStyle w:val="Nog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8163E" w:rsidRDefault="0018163E">
    <w:pPr>
      <w:pStyle w:val="Nog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355BAD" w:rsidRDefault="00355BAD">
      <w:r>
        <w:separator/>
      </w:r>
    </w:p>
  </w:footnote>
  <w:footnote w:type="continuationSeparator" w:id="0">
    <w:p w:rsidR="00355BAD" w:rsidRDefault="00355BA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8163E" w:rsidRDefault="0018163E">
    <w:pPr>
      <w:pStyle w:val="Glava"/>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8163E" w:rsidRDefault="00C36B5F">
    <w:pPr>
      <w:pStyle w:val="Glava"/>
      <w:jc w:val="center"/>
    </w:pPr>
    <w:r>
      <w:rPr>
        <w:noProof/>
        <w:lang w:val="sl-SI" w:eastAsia="zh-CN"/>
      </w:rPr>
      <w:drawing>
        <wp:inline distT="0" distB="0" distL="0" distR="0">
          <wp:extent cx="4286250" cy="1771650"/>
          <wp:effectExtent l="0" t="0" r="0" b="0"/>
          <wp:docPr id="1" name="Slika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286250" cy="1771650"/>
                  </a:xfrm>
                  <a:prstGeom prst="rect">
                    <a:avLst/>
                  </a:prstGeom>
                  <a:noFill/>
                  <a:ln>
                    <a:noFill/>
                  </a:ln>
                </pic:spPr>
              </pic:pic>
            </a:graphicData>
          </a:graphic>
        </wp:inline>
      </w:drawing>
    </w:r>
  </w:p>
  <w:p w:rsidR="0018163E" w:rsidRPr="002A4BB6" w:rsidRDefault="0018163E" w:rsidP="002A4BB6">
    <w:pPr>
      <w:pStyle w:val="Glava"/>
      <w:jc w:val="cent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8163E" w:rsidRDefault="0018163E">
    <w:pPr>
      <w:pStyle w:val="Glava"/>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8163E" w:rsidRDefault="0018163E">
    <w:pPr>
      <w:pStyle w:val="JuHeader"/>
    </w:pPr>
    <w:r>
      <w:rPr>
        <w:rStyle w:val="tevilkastrani"/>
        <w:lang w:val="sl"/>
      </w:rPr>
      <w:fldChar w:fldCharType="begin"/>
    </w:r>
    <w:r>
      <w:rPr>
        <w:rStyle w:val="tevilkastrani"/>
        <w:lang w:val="sl"/>
      </w:rPr>
      <w:instrText xml:space="preserve"> PAGE </w:instrText>
    </w:r>
    <w:r>
      <w:rPr>
        <w:rStyle w:val="tevilkastrani"/>
        <w:lang w:val="sl"/>
      </w:rPr>
      <w:fldChar w:fldCharType="separate"/>
    </w:r>
    <w:r w:rsidR="0033390C">
      <w:rPr>
        <w:rStyle w:val="tevilkastrani"/>
        <w:noProof/>
        <w:lang w:val="sl"/>
      </w:rPr>
      <w:t>8</w:t>
    </w:r>
    <w:r>
      <w:rPr>
        <w:rStyle w:val="tevilkastrani"/>
        <w:lang w:val="sl"/>
      </w:rPr>
      <w:fldChar w:fldCharType="end"/>
    </w:r>
    <w:r>
      <w:rPr>
        <w:lang w:val="sl"/>
      </w:rPr>
      <w:tab/>
      <w:t>KLINAR v. SLOVENIA JUDGMENT</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8163E" w:rsidRDefault="0018163E">
    <w:pPr>
      <w:pStyle w:val="JuHeader"/>
    </w:pPr>
    <w:r>
      <w:rPr>
        <w:lang w:val="sl"/>
      </w:rPr>
      <w:tab/>
      <w:t>KLINAR v. SLOVENIA JUDGMENT</w:t>
    </w:r>
    <w:r>
      <w:rPr>
        <w:lang w:val="sl"/>
      </w:rPr>
      <w:tab/>
    </w:r>
    <w:r>
      <w:rPr>
        <w:rStyle w:val="tevilkastrani"/>
        <w:lang w:val="sl"/>
      </w:rPr>
      <w:fldChar w:fldCharType="begin"/>
    </w:r>
    <w:r>
      <w:rPr>
        <w:rStyle w:val="tevilkastrani"/>
        <w:lang w:val="sl"/>
      </w:rPr>
      <w:instrText xml:space="preserve"> PAGE </w:instrText>
    </w:r>
    <w:r>
      <w:rPr>
        <w:rStyle w:val="tevilkastrani"/>
        <w:lang w:val="sl"/>
      </w:rPr>
      <w:fldChar w:fldCharType="separate"/>
    </w:r>
    <w:r w:rsidR="0033390C">
      <w:rPr>
        <w:rStyle w:val="tevilkastrani"/>
        <w:noProof/>
        <w:lang w:val="sl"/>
      </w:rPr>
      <w:t>9</w:t>
    </w:r>
    <w:r>
      <w:rPr>
        <w:rStyle w:val="tevilkastrani"/>
        <w:lang w:val="sl"/>
      </w:rPr>
      <w:fldChar w:fldCharType="end"/>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706"/>
  <w:hyphenationZone w:val="425"/>
  <w:evenAndOddHeaders/>
  <w:drawingGridHorizontalSpacing w:val="120"/>
  <w:displayHorizontalDrawingGridEvery w:val="0"/>
  <w:displayVerticalDrawingGridEvery w:val="0"/>
  <w:noPunctuationKerning/>
  <w:characterSpacingControl w:val="doNotCompress"/>
  <w:hdrShapeDefaults>
    <o:shapedefaults v:ext="edit" spidmax="2049"/>
  </w:hdrShapeDefaults>
  <w:footnotePr>
    <w:numRestart w:val="eachPage"/>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70E77"/>
    <w:rsid w:val="000007AC"/>
    <w:rsid w:val="00015B7F"/>
    <w:rsid w:val="00046A4A"/>
    <w:rsid w:val="0005376F"/>
    <w:rsid w:val="00082821"/>
    <w:rsid w:val="000B00C8"/>
    <w:rsid w:val="000E7BBE"/>
    <w:rsid w:val="000F0A18"/>
    <w:rsid w:val="00101DBA"/>
    <w:rsid w:val="00103204"/>
    <w:rsid w:val="00110F02"/>
    <w:rsid w:val="001368F5"/>
    <w:rsid w:val="00144464"/>
    <w:rsid w:val="0014680A"/>
    <w:rsid w:val="0016278E"/>
    <w:rsid w:val="00171831"/>
    <w:rsid w:val="0018120A"/>
    <w:rsid w:val="0018163E"/>
    <w:rsid w:val="0018316A"/>
    <w:rsid w:val="0018756C"/>
    <w:rsid w:val="001B00FC"/>
    <w:rsid w:val="001E0809"/>
    <w:rsid w:val="001E5CCF"/>
    <w:rsid w:val="001F5EF5"/>
    <w:rsid w:val="00200C9A"/>
    <w:rsid w:val="00201B4B"/>
    <w:rsid w:val="0020236F"/>
    <w:rsid w:val="00211AFB"/>
    <w:rsid w:val="0021469D"/>
    <w:rsid w:val="00216A34"/>
    <w:rsid w:val="00230AE2"/>
    <w:rsid w:val="00233922"/>
    <w:rsid w:val="002424BA"/>
    <w:rsid w:val="00246046"/>
    <w:rsid w:val="00275683"/>
    <w:rsid w:val="00275BEF"/>
    <w:rsid w:val="00284A28"/>
    <w:rsid w:val="002A2AFC"/>
    <w:rsid w:val="002A4BB6"/>
    <w:rsid w:val="002B2DC6"/>
    <w:rsid w:val="002B3282"/>
    <w:rsid w:val="002C637F"/>
    <w:rsid w:val="002D6269"/>
    <w:rsid w:val="002F3B14"/>
    <w:rsid w:val="002F5EE8"/>
    <w:rsid w:val="002F7E54"/>
    <w:rsid w:val="00316693"/>
    <w:rsid w:val="003218C5"/>
    <w:rsid w:val="0032789F"/>
    <w:rsid w:val="003334E1"/>
    <w:rsid w:val="0033390C"/>
    <w:rsid w:val="00333BAA"/>
    <w:rsid w:val="00347854"/>
    <w:rsid w:val="00355BAD"/>
    <w:rsid w:val="00360BB7"/>
    <w:rsid w:val="003614F9"/>
    <w:rsid w:val="003A4140"/>
    <w:rsid w:val="003E028A"/>
    <w:rsid w:val="003E51CC"/>
    <w:rsid w:val="003F02D6"/>
    <w:rsid w:val="003F366F"/>
    <w:rsid w:val="003F41DA"/>
    <w:rsid w:val="004606E6"/>
    <w:rsid w:val="00464B5F"/>
    <w:rsid w:val="00481ADF"/>
    <w:rsid w:val="00486430"/>
    <w:rsid w:val="00494B12"/>
    <w:rsid w:val="00494C14"/>
    <w:rsid w:val="00497710"/>
    <w:rsid w:val="004A5900"/>
    <w:rsid w:val="004C4341"/>
    <w:rsid w:val="004D287F"/>
    <w:rsid w:val="004E1424"/>
    <w:rsid w:val="004E439F"/>
    <w:rsid w:val="004F4C5F"/>
    <w:rsid w:val="00501D1A"/>
    <w:rsid w:val="0050576E"/>
    <w:rsid w:val="00510BF7"/>
    <w:rsid w:val="005130C7"/>
    <w:rsid w:val="0051794D"/>
    <w:rsid w:val="00520D6E"/>
    <w:rsid w:val="00531C8F"/>
    <w:rsid w:val="00536FC1"/>
    <w:rsid w:val="00545B92"/>
    <w:rsid w:val="005552A9"/>
    <w:rsid w:val="005771EC"/>
    <w:rsid w:val="00577E6A"/>
    <w:rsid w:val="00577EA0"/>
    <w:rsid w:val="0059507B"/>
    <w:rsid w:val="005959A8"/>
    <w:rsid w:val="005B4989"/>
    <w:rsid w:val="005B715A"/>
    <w:rsid w:val="005C2165"/>
    <w:rsid w:val="005D55BD"/>
    <w:rsid w:val="005E3000"/>
    <w:rsid w:val="00602AEC"/>
    <w:rsid w:val="006052C4"/>
    <w:rsid w:val="0061507E"/>
    <w:rsid w:val="00616404"/>
    <w:rsid w:val="006637BE"/>
    <w:rsid w:val="00677A61"/>
    <w:rsid w:val="006850AA"/>
    <w:rsid w:val="006945B3"/>
    <w:rsid w:val="006A4CD5"/>
    <w:rsid w:val="006B570A"/>
    <w:rsid w:val="006C67EB"/>
    <w:rsid w:val="006C7E1E"/>
    <w:rsid w:val="00702EF0"/>
    <w:rsid w:val="007036AC"/>
    <w:rsid w:val="00743C9F"/>
    <w:rsid w:val="00752D46"/>
    <w:rsid w:val="00765987"/>
    <w:rsid w:val="00770E77"/>
    <w:rsid w:val="00774552"/>
    <w:rsid w:val="007A3E55"/>
    <w:rsid w:val="007C3308"/>
    <w:rsid w:val="007D37DD"/>
    <w:rsid w:val="007E3827"/>
    <w:rsid w:val="007F0A75"/>
    <w:rsid w:val="007F15C1"/>
    <w:rsid w:val="007F17FD"/>
    <w:rsid w:val="007F6B6F"/>
    <w:rsid w:val="007F6F5D"/>
    <w:rsid w:val="008036B8"/>
    <w:rsid w:val="00806E5F"/>
    <w:rsid w:val="00807C48"/>
    <w:rsid w:val="00826617"/>
    <w:rsid w:val="00837B6B"/>
    <w:rsid w:val="00844099"/>
    <w:rsid w:val="0084510E"/>
    <w:rsid w:val="0086150E"/>
    <w:rsid w:val="00870328"/>
    <w:rsid w:val="00871C3E"/>
    <w:rsid w:val="00872434"/>
    <w:rsid w:val="00896CC5"/>
    <w:rsid w:val="008D417A"/>
    <w:rsid w:val="0090641F"/>
    <w:rsid w:val="0092632A"/>
    <w:rsid w:val="009313BD"/>
    <w:rsid w:val="00943B61"/>
    <w:rsid w:val="00960DFA"/>
    <w:rsid w:val="009912C4"/>
    <w:rsid w:val="00996A2B"/>
    <w:rsid w:val="009A2D61"/>
    <w:rsid w:val="009C211E"/>
    <w:rsid w:val="009E5A5C"/>
    <w:rsid w:val="00A00017"/>
    <w:rsid w:val="00A07A2A"/>
    <w:rsid w:val="00A23AD5"/>
    <w:rsid w:val="00A2541A"/>
    <w:rsid w:val="00A420F7"/>
    <w:rsid w:val="00A54B00"/>
    <w:rsid w:val="00A5743D"/>
    <w:rsid w:val="00A92B83"/>
    <w:rsid w:val="00A95536"/>
    <w:rsid w:val="00AA209C"/>
    <w:rsid w:val="00AB48C8"/>
    <w:rsid w:val="00AC3B94"/>
    <w:rsid w:val="00AD3049"/>
    <w:rsid w:val="00AD76E1"/>
    <w:rsid w:val="00AE26B2"/>
    <w:rsid w:val="00AF561D"/>
    <w:rsid w:val="00B0688A"/>
    <w:rsid w:val="00B11D20"/>
    <w:rsid w:val="00B41A8A"/>
    <w:rsid w:val="00B44D58"/>
    <w:rsid w:val="00B45E92"/>
    <w:rsid w:val="00B74432"/>
    <w:rsid w:val="00B81D6C"/>
    <w:rsid w:val="00B90896"/>
    <w:rsid w:val="00B91D1D"/>
    <w:rsid w:val="00BB62AF"/>
    <w:rsid w:val="00C06C44"/>
    <w:rsid w:val="00C3677F"/>
    <w:rsid w:val="00C36A72"/>
    <w:rsid w:val="00C36B5F"/>
    <w:rsid w:val="00C57BBC"/>
    <w:rsid w:val="00C85347"/>
    <w:rsid w:val="00CA5931"/>
    <w:rsid w:val="00CA689C"/>
    <w:rsid w:val="00CB3888"/>
    <w:rsid w:val="00CC4CD3"/>
    <w:rsid w:val="00CD151A"/>
    <w:rsid w:val="00CD5761"/>
    <w:rsid w:val="00CE3B2C"/>
    <w:rsid w:val="00CE67CB"/>
    <w:rsid w:val="00CF481B"/>
    <w:rsid w:val="00D45039"/>
    <w:rsid w:val="00D61AC3"/>
    <w:rsid w:val="00D73751"/>
    <w:rsid w:val="00D84495"/>
    <w:rsid w:val="00DA44B6"/>
    <w:rsid w:val="00DB6B4A"/>
    <w:rsid w:val="00DC1D8C"/>
    <w:rsid w:val="00DC2481"/>
    <w:rsid w:val="00DC5031"/>
    <w:rsid w:val="00DC6731"/>
    <w:rsid w:val="00E040C5"/>
    <w:rsid w:val="00E11A5C"/>
    <w:rsid w:val="00E26157"/>
    <w:rsid w:val="00E41C07"/>
    <w:rsid w:val="00E45ACA"/>
    <w:rsid w:val="00E46223"/>
    <w:rsid w:val="00E51DEE"/>
    <w:rsid w:val="00E62AD8"/>
    <w:rsid w:val="00E64B82"/>
    <w:rsid w:val="00EC76C9"/>
    <w:rsid w:val="00ED099D"/>
    <w:rsid w:val="00ED1E2E"/>
    <w:rsid w:val="00EE0765"/>
    <w:rsid w:val="00EE73DC"/>
    <w:rsid w:val="00F10DA2"/>
    <w:rsid w:val="00F203D1"/>
    <w:rsid w:val="00F344D6"/>
    <w:rsid w:val="00F378D4"/>
    <w:rsid w:val="00F44907"/>
    <w:rsid w:val="00F53AF4"/>
    <w:rsid w:val="00F53D8D"/>
    <w:rsid w:val="00F5509A"/>
    <w:rsid w:val="00F64997"/>
    <w:rsid w:val="00F67B28"/>
    <w:rsid w:val="00F71A6A"/>
    <w:rsid w:val="00F965DF"/>
    <w:rsid w:val="00FA7B5E"/>
    <w:rsid w:val="00FB27B8"/>
    <w:rsid w:val="00FB3F1A"/>
    <w:rsid w:val="00FD69E4"/>
    <w:rsid w:val="00FE7DD1"/>
    <w:rsid w:val="00FF2FAA"/>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ja-JP"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avaden">
    <w:name w:val="Normal"/>
    <w:qFormat/>
    <w:rsid w:val="00B74432"/>
    <w:pPr>
      <w:suppressAutoHyphens/>
    </w:pPr>
    <w:rPr>
      <w:sz w:val="24"/>
      <w:lang w:val="en-GB" w:eastAsia="fr-FR"/>
    </w:rPr>
  </w:style>
  <w:style w:type="paragraph" w:styleId="Naslov1">
    <w:name w:val="heading 1"/>
    <w:basedOn w:val="Navaden"/>
    <w:next w:val="Navaden"/>
    <w:qFormat/>
    <w:rsid w:val="00B74432"/>
    <w:pPr>
      <w:keepNext/>
      <w:spacing w:before="360" w:after="240"/>
      <w:jc w:val="center"/>
      <w:outlineLvl w:val="0"/>
    </w:pPr>
    <w:rPr>
      <w:b/>
      <w:sz w:val="28"/>
    </w:rPr>
  </w:style>
  <w:style w:type="paragraph" w:styleId="Naslov2">
    <w:name w:val="heading 2"/>
    <w:basedOn w:val="Navaden"/>
    <w:next w:val="Navaden"/>
    <w:qFormat/>
    <w:rsid w:val="00B74432"/>
    <w:pPr>
      <w:keepNext/>
      <w:spacing w:before="240" w:after="120"/>
      <w:ind w:left="284" w:hanging="284"/>
      <w:outlineLvl w:val="1"/>
    </w:pPr>
    <w:rPr>
      <w:b/>
    </w:rPr>
  </w:style>
  <w:style w:type="paragraph" w:styleId="Naslov3">
    <w:name w:val="heading 3"/>
    <w:basedOn w:val="Navaden"/>
    <w:next w:val="Navaden"/>
    <w:qFormat/>
    <w:rsid w:val="00B74432"/>
    <w:pPr>
      <w:keepNext/>
      <w:spacing w:before="120" w:after="60"/>
      <w:ind w:left="1418" w:hanging="851"/>
      <w:outlineLvl w:val="2"/>
    </w:pPr>
    <w:rPr>
      <w:i/>
    </w:rPr>
  </w:style>
  <w:style w:type="paragraph" w:styleId="Naslov4">
    <w:name w:val="heading 4"/>
    <w:basedOn w:val="Navaden"/>
    <w:next w:val="Navaden"/>
    <w:qFormat/>
    <w:pPr>
      <w:widowControl w:val="0"/>
      <w:outlineLvl w:val="3"/>
    </w:pPr>
    <w:rPr>
      <w:rFonts w:ascii="Courier" w:hAnsi="Courier"/>
      <w:snapToGrid w:val="0"/>
      <w:lang w:val="en-US" w:eastAsia="en-US"/>
    </w:rPr>
  </w:style>
  <w:style w:type="paragraph" w:styleId="Naslov5">
    <w:name w:val="heading 5"/>
    <w:basedOn w:val="Navaden"/>
    <w:next w:val="Navaden"/>
    <w:qFormat/>
    <w:pPr>
      <w:widowControl w:val="0"/>
      <w:outlineLvl w:val="4"/>
    </w:pPr>
    <w:rPr>
      <w:rFonts w:ascii="Courier" w:hAnsi="Courier"/>
      <w:snapToGrid w:val="0"/>
      <w:lang w:val="en-US" w:eastAsia="en-US"/>
    </w:rPr>
  </w:style>
  <w:style w:type="paragraph" w:styleId="Naslov6">
    <w:name w:val="heading 6"/>
    <w:basedOn w:val="Navaden"/>
    <w:next w:val="Navaden"/>
    <w:qFormat/>
    <w:pPr>
      <w:widowControl w:val="0"/>
      <w:outlineLvl w:val="5"/>
    </w:pPr>
    <w:rPr>
      <w:rFonts w:ascii="Courier" w:hAnsi="Courier"/>
      <w:snapToGrid w:val="0"/>
      <w:lang w:val="en-US" w:eastAsia="en-US"/>
    </w:rPr>
  </w:style>
  <w:style w:type="paragraph" w:styleId="Naslov7">
    <w:name w:val="heading 7"/>
    <w:basedOn w:val="Navaden"/>
    <w:next w:val="Navaden"/>
    <w:qFormat/>
    <w:pPr>
      <w:widowControl w:val="0"/>
      <w:outlineLvl w:val="6"/>
    </w:pPr>
    <w:rPr>
      <w:rFonts w:ascii="Courier" w:hAnsi="Courier"/>
      <w:snapToGrid w:val="0"/>
      <w:lang w:val="en-US" w:eastAsia="en-US"/>
    </w:rPr>
  </w:style>
  <w:style w:type="paragraph" w:styleId="Naslov8">
    <w:name w:val="heading 8"/>
    <w:basedOn w:val="Navaden"/>
    <w:next w:val="Navaden"/>
    <w:qFormat/>
    <w:pPr>
      <w:widowControl w:val="0"/>
      <w:outlineLvl w:val="7"/>
    </w:pPr>
    <w:rPr>
      <w:rFonts w:ascii="Courier" w:hAnsi="Courier"/>
      <w:snapToGrid w:val="0"/>
      <w:lang w:val="en-US" w:eastAsia="en-US"/>
    </w:rPr>
  </w:style>
  <w:style w:type="paragraph" w:styleId="Naslov9">
    <w:name w:val="heading 9"/>
    <w:basedOn w:val="Navaden"/>
    <w:next w:val="Navaden"/>
    <w:qFormat/>
    <w:pPr>
      <w:keepNext/>
      <w:tabs>
        <w:tab w:val="left" w:pos="-1440"/>
        <w:tab w:val="left" w:pos="-720"/>
        <w:tab w:val="left" w:pos="0"/>
        <w:tab w:val="left" w:pos="1056"/>
        <w:tab w:val="left" w:pos="1584"/>
        <w:tab w:val="left" w:pos="2112"/>
        <w:tab w:val="left" w:pos="2880"/>
      </w:tabs>
      <w:ind w:left="-306" w:right="-306"/>
      <w:jc w:val="both"/>
      <w:outlineLvl w:val="8"/>
    </w:pPr>
    <w:rPr>
      <w:i/>
      <w:spacing w:val="-2"/>
      <w:sz w:val="22"/>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customStyle="1" w:styleId="OpiHA">
    <w:name w:val="Opi_H_A"/>
    <w:basedOn w:val="JuHIRoman"/>
    <w:next w:val="OpiPara"/>
    <w:rsid w:val="00B74432"/>
    <w:pPr>
      <w:tabs>
        <w:tab w:val="clear" w:pos="357"/>
      </w:tabs>
    </w:pPr>
    <w:rPr>
      <w:b/>
    </w:rPr>
  </w:style>
  <w:style w:type="paragraph" w:customStyle="1" w:styleId="JuHIRoman">
    <w:name w:val="Ju_H_I_Roman"/>
    <w:basedOn w:val="JuHHead"/>
    <w:next w:val="JuPara"/>
    <w:link w:val="JuHIRomanChar"/>
    <w:rsid w:val="00B74432"/>
    <w:pPr>
      <w:tabs>
        <w:tab w:val="left" w:pos="357"/>
      </w:tabs>
      <w:spacing w:before="360"/>
      <w:ind w:left="357" w:hanging="357"/>
    </w:pPr>
    <w:rPr>
      <w:sz w:val="24"/>
    </w:rPr>
  </w:style>
  <w:style w:type="paragraph" w:customStyle="1" w:styleId="JuHHead">
    <w:name w:val="Ju_H_Head"/>
    <w:basedOn w:val="Navaden"/>
    <w:next w:val="JuPara"/>
    <w:rsid w:val="00B74432"/>
    <w:pPr>
      <w:keepNext/>
      <w:keepLines/>
      <w:spacing w:before="720" w:after="240"/>
      <w:jc w:val="both"/>
    </w:pPr>
    <w:rPr>
      <w:sz w:val="28"/>
    </w:rPr>
  </w:style>
  <w:style w:type="paragraph" w:customStyle="1" w:styleId="JuPara">
    <w:name w:val="Ju_Para"/>
    <w:basedOn w:val="Navaden"/>
    <w:link w:val="JuParaCar"/>
    <w:rsid w:val="00B74432"/>
    <w:pPr>
      <w:ind w:firstLine="284"/>
      <w:jc w:val="both"/>
    </w:pPr>
  </w:style>
  <w:style w:type="character" w:customStyle="1" w:styleId="JuParaCar">
    <w:name w:val="Ju_Para Car"/>
    <w:basedOn w:val="Privzetapisavaodstavka"/>
    <w:link w:val="JuPara"/>
    <w:rsid w:val="00943B61"/>
    <w:rPr>
      <w:sz w:val="24"/>
      <w:lang w:val="en-GB" w:eastAsia="fr-FR" w:bidi="ar-SA"/>
    </w:rPr>
  </w:style>
  <w:style w:type="character" w:customStyle="1" w:styleId="JuHIRomanChar">
    <w:name w:val="Ju_H_I_Roman Char"/>
    <w:basedOn w:val="Privzetapisavaodstavka"/>
    <w:link w:val="JuHIRoman"/>
    <w:rsid w:val="00CE67CB"/>
    <w:rPr>
      <w:sz w:val="24"/>
      <w:lang w:val="en-GB" w:eastAsia="fr-FR" w:bidi="ar-SA"/>
    </w:rPr>
  </w:style>
  <w:style w:type="paragraph" w:customStyle="1" w:styleId="OpiPara">
    <w:name w:val="Opi_Para"/>
    <w:basedOn w:val="JuPara"/>
    <w:rsid w:val="00B74432"/>
  </w:style>
  <w:style w:type="paragraph" w:customStyle="1" w:styleId="OpiH1">
    <w:name w:val="Opi_H_1."/>
    <w:basedOn w:val="OpiHA"/>
    <w:next w:val="OpiPara"/>
    <w:rsid w:val="00B74432"/>
    <w:pPr>
      <w:spacing w:before="240" w:after="120"/>
      <w:ind w:left="635"/>
    </w:pPr>
    <w:rPr>
      <w:b w:val="0"/>
      <w:i/>
    </w:rPr>
  </w:style>
  <w:style w:type="paragraph" w:customStyle="1" w:styleId="OpiHa0">
    <w:name w:val="Opi_H_a"/>
    <w:basedOn w:val="OpiH1"/>
    <w:next w:val="OpiPara"/>
    <w:rsid w:val="00B74432"/>
    <w:pPr>
      <w:ind w:left="834"/>
    </w:pPr>
    <w:rPr>
      <w:b/>
      <w:i w:val="0"/>
      <w:sz w:val="20"/>
    </w:rPr>
  </w:style>
  <w:style w:type="paragraph" w:customStyle="1" w:styleId="OpiHHead">
    <w:name w:val="Opi_H_Head"/>
    <w:basedOn w:val="JuHHead"/>
    <w:next w:val="OpiPara"/>
    <w:rsid w:val="00B74432"/>
    <w:pPr>
      <w:spacing w:before="0"/>
      <w:jc w:val="center"/>
    </w:pPr>
  </w:style>
  <w:style w:type="paragraph" w:customStyle="1" w:styleId="OpiHi">
    <w:name w:val="Opi_H_i"/>
    <w:basedOn w:val="OpiHa0"/>
    <w:next w:val="OpiPara"/>
    <w:rsid w:val="00B74432"/>
    <w:pPr>
      <w:ind w:left="1038"/>
    </w:pPr>
    <w:rPr>
      <w:b w:val="0"/>
      <w:i/>
    </w:rPr>
  </w:style>
  <w:style w:type="paragraph" w:styleId="Noga">
    <w:name w:val="footer"/>
    <w:basedOn w:val="Navaden"/>
    <w:rsid w:val="00B74432"/>
    <w:pPr>
      <w:tabs>
        <w:tab w:val="center" w:pos="3686"/>
        <w:tab w:val="right" w:pos="7371"/>
      </w:tabs>
    </w:pPr>
    <w:rPr>
      <w:sz w:val="18"/>
    </w:rPr>
  </w:style>
  <w:style w:type="paragraph" w:customStyle="1" w:styleId="JuJudges">
    <w:name w:val="Ju_Judges"/>
    <w:basedOn w:val="Navaden"/>
    <w:link w:val="JuJudgesChar"/>
    <w:rsid w:val="00B74432"/>
    <w:pPr>
      <w:tabs>
        <w:tab w:val="left" w:pos="567"/>
        <w:tab w:val="left" w:pos="1134"/>
      </w:tabs>
    </w:pPr>
  </w:style>
  <w:style w:type="character" w:customStyle="1" w:styleId="JuNames">
    <w:name w:val="Ju_Names"/>
    <w:basedOn w:val="Privzetapisavaodstavka"/>
    <w:rsid w:val="00B74432"/>
    <w:rPr>
      <w:smallCaps/>
    </w:rPr>
  </w:style>
  <w:style w:type="paragraph" w:customStyle="1" w:styleId="JuHA">
    <w:name w:val="Ju_H_A"/>
    <w:basedOn w:val="JuHIRoman"/>
    <w:next w:val="JuPara"/>
    <w:rsid w:val="00B74432"/>
    <w:pPr>
      <w:tabs>
        <w:tab w:val="clear" w:pos="357"/>
        <w:tab w:val="left" w:pos="584"/>
      </w:tabs>
      <w:ind w:left="584" w:hanging="352"/>
    </w:pPr>
    <w:rPr>
      <w:b/>
    </w:rPr>
  </w:style>
  <w:style w:type="paragraph" w:customStyle="1" w:styleId="JuQuot">
    <w:name w:val="Ju_Quot"/>
    <w:basedOn w:val="JuPara"/>
    <w:link w:val="JuQuotChar"/>
    <w:rsid w:val="00B74432"/>
    <w:pPr>
      <w:spacing w:before="120" w:after="120"/>
      <w:ind w:left="425" w:firstLine="142"/>
    </w:pPr>
    <w:rPr>
      <w:sz w:val="20"/>
    </w:rPr>
  </w:style>
  <w:style w:type="paragraph" w:customStyle="1" w:styleId="JuSigned">
    <w:name w:val="Ju_Signed"/>
    <w:basedOn w:val="Navaden"/>
    <w:next w:val="JuParaLast"/>
    <w:rsid w:val="008D417A"/>
    <w:pPr>
      <w:tabs>
        <w:tab w:val="center" w:pos="1219"/>
        <w:tab w:val="center" w:pos="6379"/>
      </w:tabs>
      <w:spacing w:before="720"/>
    </w:pPr>
  </w:style>
  <w:style w:type="paragraph" w:customStyle="1" w:styleId="JuParaLast">
    <w:name w:val="Ju_Para_Last"/>
    <w:basedOn w:val="JuPara"/>
    <w:next w:val="JuPara"/>
    <w:rsid w:val="00B74432"/>
    <w:pPr>
      <w:spacing w:before="240"/>
    </w:pPr>
  </w:style>
  <w:style w:type="paragraph" w:customStyle="1" w:styleId="JuCase">
    <w:name w:val="Ju_Case"/>
    <w:basedOn w:val="JuPara"/>
    <w:next w:val="JuPara"/>
    <w:rsid w:val="00B74432"/>
    <w:rPr>
      <w:b/>
    </w:rPr>
  </w:style>
  <w:style w:type="paragraph" w:customStyle="1" w:styleId="JuList">
    <w:name w:val="Ju_List"/>
    <w:basedOn w:val="JuPara"/>
    <w:rsid w:val="00B74432"/>
    <w:pPr>
      <w:ind w:left="340" w:hanging="340"/>
    </w:pPr>
  </w:style>
  <w:style w:type="paragraph" w:customStyle="1" w:styleId="JuHArticle">
    <w:name w:val="Ju_H_Article"/>
    <w:basedOn w:val="JuHa0"/>
    <w:next w:val="JuQuot"/>
    <w:rsid w:val="00B74432"/>
    <w:pPr>
      <w:ind w:left="0" w:firstLine="0"/>
      <w:jc w:val="center"/>
    </w:pPr>
  </w:style>
  <w:style w:type="paragraph" w:customStyle="1" w:styleId="JuHa0">
    <w:name w:val="Ju_H_a"/>
    <w:basedOn w:val="JuH1"/>
    <w:next w:val="JuPara"/>
    <w:rsid w:val="00B74432"/>
    <w:pPr>
      <w:tabs>
        <w:tab w:val="clear" w:pos="731"/>
        <w:tab w:val="left" w:pos="975"/>
      </w:tabs>
      <w:ind w:left="975" w:hanging="340"/>
    </w:pPr>
    <w:rPr>
      <w:b/>
      <w:i w:val="0"/>
      <w:sz w:val="20"/>
    </w:rPr>
  </w:style>
  <w:style w:type="paragraph" w:customStyle="1" w:styleId="JuH1">
    <w:name w:val="Ju_H_1."/>
    <w:basedOn w:val="JuHA"/>
    <w:next w:val="JuPara"/>
    <w:rsid w:val="00B74432"/>
    <w:pPr>
      <w:tabs>
        <w:tab w:val="clear" w:pos="584"/>
        <w:tab w:val="left" w:pos="731"/>
      </w:tabs>
      <w:spacing w:before="240" w:after="120"/>
      <w:ind w:left="732" w:hanging="301"/>
    </w:pPr>
    <w:rPr>
      <w:b w:val="0"/>
      <w:i/>
    </w:rPr>
  </w:style>
  <w:style w:type="paragraph" w:customStyle="1" w:styleId="JuQuotList">
    <w:name w:val="Ju_Quot_List"/>
    <w:basedOn w:val="JuQuot"/>
    <w:pPr>
      <w:tabs>
        <w:tab w:val="left" w:pos="1021"/>
      </w:tabs>
      <w:ind w:left="567" w:firstLine="0"/>
    </w:pPr>
  </w:style>
  <w:style w:type="paragraph" w:customStyle="1" w:styleId="JuCourt">
    <w:name w:val="Ju_Court"/>
    <w:basedOn w:val="JuJudges"/>
    <w:rsid w:val="00B74432"/>
    <w:pPr>
      <w:tabs>
        <w:tab w:val="clear" w:pos="567"/>
        <w:tab w:val="clear" w:pos="1134"/>
        <w:tab w:val="left" w:pos="907"/>
        <w:tab w:val="left" w:pos="1701"/>
        <w:tab w:val="right" w:pos="7371"/>
      </w:tabs>
      <w:spacing w:before="240"/>
      <w:ind w:left="397" w:hanging="397"/>
    </w:pPr>
  </w:style>
  <w:style w:type="paragraph" w:customStyle="1" w:styleId="OpiQuot">
    <w:name w:val="Opi_Quot"/>
    <w:basedOn w:val="JuQuot"/>
    <w:rsid w:val="00B74432"/>
  </w:style>
  <w:style w:type="paragraph" w:customStyle="1" w:styleId="OpiTranslation">
    <w:name w:val="Opi_Translation"/>
    <w:basedOn w:val="OpiHHead"/>
    <w:next w:val="OpiPara"/>
    <w:rsid w:val="00B74432"/>
    <w:rPr>
      <w:sz w:val="24"/>
    </w:rPr>
  </w:style>
  <w:style w:type="paragraph" w:styleId="Sprotnaopomba-besedilo">
    <w:name w:val="footnote text"/>
    <w:basedOn w:val="Navaden"/>
    <w:semiHidden/>
    <w:rsid w:val="00B74432"/>
    <w:pPr>
      <w:jc w:val="both"/>
    </w:pPr>
    <w:rPr>
      <w:sz w:val="20"/>
    </w:rPr>
  </w:style>
  <w:style w:type="character" w:styleId="Sprotnaopomba-sklic">
    <w:name w:val="footnote reference"/>
    <w:basedOn w:val="Privzetapisavaodstavka"/>
    <w:semiHidden/>
    <w:rsid w:val="00B74432"/>
    <w:rPr>
      <w:vertAlign w:val="superscript"/>
    </w:rPr>
  </w:style>
  <w:style w:type="paragraph" w:customStyle="1" w:styleId="JuHi">
    <w:name w:val="Ju_H_i"/>
    <w:basedOn w:val="JuHa0"/>
    <w:next w:val="JuPara"/>
    <w:rsid w:val="00B74432"/>
    <w:pPr>
      <w:tabs>
        <w:tab w:val="clear" w:pos="975"/>
        <w:tab w:val="left" w:pos="1191"/>
      </w:tabs>
      <w:ind w:left="1190" w:hanging="357"/>
    </w:pPr>
    <w:rPr>
      <w:b w:val="0"/>
      <w:i/>
    </w:rPr>
  </w:style>
  <w:style w:type="paragraph" w:styleId="Glava">
    <w:name w:val="header"/>
    <w:basedOn w:val="Navaden"/>
    <w:rsid w:val="00B74432"/>
    <w:pPr>
      <w:tabs>
        <w:tab w:val="center" w:pos="3686"/>
        <w:tab w:val="right" w:pos="7371"/>
      </w:tabs>
    </w:pPr>
    <w:rPr>
      <w:sz w:val="18"/>
    </w:rPr>
  </w:style>
  <w:style w:type="character" w:styleId="tevilkastrani">
    <w:name w:val="page number"/>
    <w:basedOn w:val="Privzetapisavaodstavka"/>
    <w:rsid w:val="00B74432"/>
    <w:rPr>
      <w:sz w:val="18"/>
    </w:rPr>
  </w:style>
  <w:style w:type="paragraph" w:customStyle="1" w:styleId="JuH">
    <w:name w:val="Ju_H_–"/>
    <w:basedOn w:val="JuHalpha"/>
    <w:next w:val="JuPara"/>
    <w:rsid w:val="00B74432"/>
    <w:pPr>
      <w:tabs>
        <w:tab w:val="clear" w:pos="1372"/>
      </w:tabs>
      <w:ind w:left="1236" w:firstLine="0"/>
    </w:pPr>
    <w:rPr>
      <w:i/>
    </w:rPr>
  </w:style>
  <w:style w:type="paragraph" w:customStyle="1" w:styleId="JuHalpha">
    <w:name w:val="Ju_H_alpha"/>
    <w:basedOn w:val="JuHi"/>
    <w:next w:val="JuPara"/>
    <w:rsid w:val="00B74432"/>
    <w:pPr>
      <w:tabs>
        <w:tab w:val="clear" w:pos="1191"/>
        <w:tab w:val="left" w:pos="1372"/>
      </w:tabs>
      <w:ind w:left="1373" w:hanging="335"/>
    </w:pPr>
    <w:rPr>
      <w:i w:val="0"/>
    </w:rPr>
  </w:style>
  <w:style w:type="paragraph" w:customStyle="1" w:styleId="JuLista">
    <w:name w:val="Ju_List_a"/>
    <w:basedOn w:val="JuList"/>
    <w:rsid w:val="00B74432"/>
    <w:pPr>
      <w:ind w:left="346" w:firstLine="0"/>
    </w:pPr>
  </w:style>
  <w:style w:type="paragraph" w:customStyle="1" w:styleId="JuListi">
    <w:name w:val="Ju_List_i"/>
    <w:basedOn w:val="JuLista"/>
    <w:rsid w:val="00B74432"/>
    <w:pPr>
      <w:ind w:left="794"/>
    </w:pPr>
  </w:style>
  <w:style w:type="character" w:styleId="Pripombasklic">
    <w:name w:val="annotation reference"/>
    <w:basedOn w:val="Privzetapisavaodstavka"/>
    <w:semiHidden/>
    <w:rPr>
      <w:sz w:val="16"/>
    </w:rPr>
  </w:style>
  <w:style w:type="paragraph" w:styleId="Pripombabesedilo">
    <w:name w:val="annotation text"/>
    <w:basedOn w:val="Navaden"/>
    <w:semiHidden/>
    <w:rPr>
      <w:sz w:val="20"/>
    </w:rPr>
  </w:style>
  <w:style w:type="paragraph" w:customStyle="1" w:styleId="JuInitialled">
    <w:name w:val="Ju_Initialled"/>
    <w:basedOn w:val="JuSigned"/>
    <w:rsid w:val="00B74432"/>
    <w:pPr>
      <w:jc w:val="right"/>
    </w:pPr>
  </w:style>
  <w:style w:type="paragraph" w:customStyle="1" w:styleId="JuHeader">
    <w:name w:val="Ju_Header"/>
    <w:basedOn w:val="Glava"/>
    <w:rsid w:val="00B74432"/>
  </w:style>
  <w:style w:type="paragraph" w:customStyle="1" w:styleId="DecHTitle">
    <w:name w:val="Dec_H_Title"/>
    <w:basedOn w:val="Navaden"/>
    <w:rsid w:val="00B74432"/>
    <w:pPr>
      <w:spacing w:after="240"/>
      <w:jc w:val="center"/>
    </w:pPr>
    <w:rPr>
      <w:sz w:val="28"/>
    </w:rPr>
  </w:style>
  <w:style w:type="paragraph" w:customStyle="1" w:styleId="DecHCase">
    <w:name w:val="Dec_H_Case"/>
    <w:basedOn w:val="DecHTitle"/>
    <w:next w:val="JuPara"/>
    <w:rsid w:val="00B74432"/>
    <w:rPr>
      <w:sz w:val="24"/>
    </w:rPr>
  </w:style>
  <w:style w:type="paragraph" w:customStyle="1" w:styleId="DecList">
    <w:name w:val="Dec_List"/>
    <w:basedOn w:val="Navaden"/>
    <w:rsid w:val="00B74432"/>
    <w:pPr>
      <w:spacing w:before="240"/>
      <w:ind w:left="284"/>
      <w:jc w:val="both"/>
    </w:pPr>
  </w:style>
  <w:style w:type="paragraph" w:customStyle="1" w:styleId="JuParaSub">
    <w:name w:val="Ju_Para_Sub"/>
    <w:basedOn w:val="JuPara"/>
    <w:rsid w:val="00B74432"/>
    <w:pPr>
      <w:ind w:left="284"/>
    </w:pPr>
    <w:rPr>
      <w:szCs w:val="24"/>
    </w:rPr>
  </w:style>
  <w:style w:type="paragraph" w:customStyle="1" w:styleId="JuQuotSub">
    <w:name w:val="Ju_Quot_Sub"/>
    <w:basedOn w:val="JuQuot"/>
    <w:rsid w:val="00B74432"/>
    <w:pPr>
      <w:ind w:left="567"/>
    </w:pPr>
  </w:style>
  <w:style w:type="paragraph" w:styleId="Besedilooblaka">
    <w:name w:val="Balloon Text"/>
    <w:basedOn w:val="Navaden"/>
    <w:semiHidden/>
    <w:rsid w:val="00246046"/>
    <w:rPr>
      <w:rFonts w:ascii="Tahoma" w:hAnsi="Tahoma" w:cs="Tahoma"/>
      <w:sz w:val="16"/>
      <w:szCs w:val="16"/>
    </w:rPr>
  </w:style>
  <w:style w:type="paragraph" w:styleId="Zadevapripombe">
    <w:name w:val="annotation subject"/>
    <w:basedOn w:val="Pripombabesedilo"/>
    <w:next w:val="Pripombabesedilo"/>
    <w:semiHidden/>
    <w:rsid w:val="00AF561D"/>
    <w:rPr>
      <w:b/>
      <w:bCs/>
    </w:rPr>
  </w:style>
  <w:style w:type="paragraph" w:customStyle="1" w:styleId="PJuPara">
    <w:name w:val="P_Ju_Para"/>
    <w:basedOn w:val="Navaden"/>
    <w:rsid w:val="00B74432"/>
    <w:pPr>
      <w:ind w:firstLine="284"/>
      <w:jc w:val="both"/>
    </w:pPr>
  </w:style>
  <w:style w:type="paragraph" w:customStyle="1" w:styleId="PJuQuot">
    <w:name w:val="P_Ju_Quot"/>
    <w:basedOn w:val="Navaden"/>
    <w:rsid w:val="00B74432"/>
    <w:pPr>
      <w:spacing w:before="120" w:after="120"/>
      <w:ind w:left="403" w:firstLine="176"/>
      <w:jc w:val="both"/>
    </w:pPr>
    <w:rPr>
      <w:sz w:val="20"/>
    </w:rPr>
  </w:style>
  <w:style w:type="paragraph" w:customStyle="1" w:styleId="PListArticleSubject">
    <w:name w:val="P_List_ArticleSubject"/>
    <w:basedOn w:val="Navaden"/>
    <w:rsid w:val="00B74432"/>
    <w:pPr>
      <w:tabs>
        <w:tab w:val="left" w:pos="2977"/>
      </w:tabs>
      <w:ind w:left="2977" w:hanging="2977"/>
    </w:pPr>
  </w:style>
  <w:style w:type="paragraph" w:customStyle="1" w:styleId="SuCoverTitle1">
    <w:name w:val="Su_Cover_Title1"/>
    <w:basedOn w:val="Navaden"/>
    <w:next w:val="SuCoverTitle2"/>
    <w:rsid w:val="00B74432"/>
    <w:pPr>
      <w:spacing w:before="2500"/>
      <w:jc w:val="center"/>
    </w:pPr>
    <w:rPr>
      <w:sz w:val="22"/>
    </w:rPr>
  </w:style>
  <w:style w:type="paragraph" w:customStyle="1" w:styleId="SuCoverTitle2">
    <w:name w:val="Su_Cover_Title2"/>
    <w:basedOn w:val="SuCoverTitle1"/>
    <w:next w:val="Navaden"/>
    <w:rsid w:val="00B74432"/>
    <w:pPr>
      <w:spacing w:before="240"/>
    </w:pPr>
    <w:rPr>
      <w:sz w:val="18"/>
    </w:rPr>
  </w:style>
  <w:style w:type="paragraph" w:customStyle="1" w:styleId="SuPara">
    <w:name w:val="Su_Para"/>
    <w:basedOn w:val="SuKeywords"/>
    <w:rsid w:val="00B74432"/>
    <w:pPr>
      <w:spacing w:before="0" w:after="0"/>
    </w:pPr>
    <w:rPr>
      <w:i w:val="0"/>
    </w:rPr>
  </w:style>
  <w:style w:type="paragraph" w:customStyle="1" w:styleId="SuKeywords">
    <w:name w:val="Su_Keywords"/>
    <w:basedOn w:val="SuHHead"/>
    <w:rsid w:val="00B74432"/>
    <w:pPr>
      <w:spacing w:before="120"/>
    </w:pPr>
    <w:rPr>
      <w:b w:val="0"/>
      <w:i/>
    </w:rPr>
  </w:style>
  <w:style w:type="paragraph" w:customStyle="1" w:styleId="SuHHead">
    <w:name w:val="Su_H_Head"/>
    <w:basedOn w:val="SuSubject"/>
    <w:rsid w:val="00B74432"/>
    <w:pPr>
      <w:spacing w:after="120"/>
    </w:pPr>
  </w:style>
  <w:style w:type="paragraph" w:customStyle="1" w:styleId="SuSubject">
    <w:name w:val="Su_Subject"/>
    <w:basedOn w:val="SuSummary"/>
    <w:rsid w:val="00B74432"/>
    <w:pPr>
      <w:spacing w:before="360"/>
      <w:jc w:val="both"/>
    </w:pPr>
    <w:rPr>
      <w:b/>
      <w:sz w:val="22"/>
    </w:rPr>
  </w:style>
  <w:style w:type="paragraph" w:customStyle="1" w:styleId="SuSummary">
    <w:name w:val="Su_Summary"/>
    <w:basedOn w:val="Navaden"/>
    <w:next w:val="SuSubject"/>
    <w:rsid w:val="00B74432"/>
    <w:pPr>
      <w:spacing w:after="240"/>
      <w:jc w:val="center"/>
    </w:pPr>
  </w:style>
  <w:style w:type="paragraph" w:customStyle="1" w:styleId="PListCaseNo">
    <w:name w:val="P_List_CaseNo"/>
    <w:basedOn w:val="Navaden"/>
    <w:rsid w:val="00B74432"/>
    <w:pPr>
      <w:tabs>
        <w:tab w:val="left" w:pos="1276"/>
      </w:tabs>
      <w:spacing w:line="288" w:lineRule="auto"/>
      <w:ind w:left="1276" w:hanging="1276"/>
    </w:pPr>
  </w:style>
  <w:style w:type="paragraph" w:customStyle="1" w:styleId="PListCases">
    <w:name w:val="P_List_Cases"/>
    <w:basedOn w:val="Navaden"/>
    <w:rsid w:val="00B74432"/>
    <w:pPr>
      <w:spacing w:line="288" w:lineRule="auto"/>
    </w:pPr>
  </w:style>
  <w:style w:type="paragraph" w:customStyle="1" w:styleId="PTextIntro">
    <w:name w:val="P_Text_Intro"/>
    <w:basedOn w:val="Navaden"/>
    <w:rsid w:val="00B74432"/>
    <w:pPr>
      <w:jc w:val="both"/>
    </w:pPr>
    <w:rPr>
      <w:i/>
      <w:sz w:val="20"/>
    </w:rPr>
  </w:style>
  <w:style w:type="paragraph" w:customStyle="1" w:styleId="PTitleCover">
    <w:name w:val="P_Title_Cover"/>
    <w:basedOn w:val="Navaden"/>
    <w:rsid w:val="00B74432"/>
    <w:pPr>
      <w:spacing w:before="2500"/>
      <w:jc w:val="center"/>
    </w:pPr>
    <w:rPr>
      <w:b/>
      <w:smallCaps/>
      <w:sz w:val="30"/>
    </w:rPr>
  </w:style>
  <w:style w:type="paragraph" w:customStyle="1" w:styleId="PTitle1Alpha">
    <w:name w:val="P_Title1_Alpha"/>
    <w:basedOn w:val="Navaden"/>
    <w:next w:val="Navaden"/>
    <w:rsid w:val="00B74432"/>
    <w:pPr>
      <w:spacing w:after="120"/>
      <w:jc w:val="center"/>
    </w:pPr>
    <w:rPr>
      <w:b/>
      <w:smallCaps/>
      <w:sz w:val="30"/>
    </w:rPr>
  </w:style>
  <w:style w:type="paragraph" w:customStyle="1" w:styleId="PTitle1IndexArticle">
    <w:name w:val="P_Title1_IndexArticle"/>
    <w:basedOn w:val="Navaden"/>
    <w:rsid w:val="00B74432"/>
    <w:pPr>
      <w:spacing w:after="120"/>
      <w:jc w:val="center"/>
    </w:pPr>
    <w:rPr>
      <w:b/>
      <w:smallCaps/>
      <w:sz w:val="30"/>
    </w:rPr>
  </w:style>
  <w:style w:type="paragraph" w:customStyle="1" w:styleId="PTitle1IndexKey">
    <w:name w:val="P_Title1_IndexKey"/>
    <w:basedOn w:val="Navaden"/>
    <w:rsid w:val="00B74432"/>
    <w:pPr>
      <w:spacing w:after="600"/>
      <w:jc w:val="center"/>
    </w:pPr>
    <w:rPr>
      <w:b/>
      <w:smallCaps/>
      <w:sz w:val="30"/>
    </w:rPr>
  </w:style>
  <w:style w:type="paragraph" w:customStyle="1" w:styleId="PTitle1Num">
    <w:name w:val="P_Title1_Num"/>
    <w:basedOn w:val="Navaden"/>
    <w:next w:val="PListCaseNo"/>
    <w:rsid w:val="00B74432"/>
    <w:pPr>
      <w:spacing w:after="720"/>
      <w:jc w:val="center"/>
    </w:pPr>
    <w:rPr>
      <w:b/>
      <w:smallCaps/>
      <w:sz w:val="30"/>
    </w:rPr>
  </w:style>
  <w:style w:type="paragraph" w:customStyle="1" w:styleId="PTitle2Country">
    <w:name w:val="P_Title2_Country"/>
    <w:basedOn w:val="Navaden"/>
    <w:next w:val="PListCases"/>
    <w:rsid w:val="00B74432"/>
    <w:pPr>
      <w:keepNext/>
      <w:keepLines/>
      <w:spacing w:before="600" w:after="360"/>
    </w:pPr>
    <w:rPr>
      <w:b/>
    </w:rPr>
  </w:style>
  <w:style w:type="paragraph" w:customStyle="1" w:styleId="PTitle2Letters">
    <w:name w:val="P_Title2_Letters"/>
    <w:basedOn w:val="Navaden"/>
    <w:next w:val="PListCases"/>
    <w:rsid w:val="00B74432"/>
    <w:pPr>
      <w:keepNext/>
      <w:keepLines/>
      <w:spacing w:before="600" w:after="360"/>
    </w:pPr>
    <w:rPr>
      <w:b/>
      <w:sz w:val="28"/>
    </w:rPr>
  </w:style>
  <w:style w:type="paragraph" w:customStyle="1" w:styleId="PTitle2Part">
    <w:name w:val="P_Title2_Part"/>
    <w:basedOn w:val="Navaden"/>
    <w:rsid w:val="00B74432"/>
    <w:pPr>
      <w:keepNext/>
      <w:keepLines/>
      <w:spacing w:before="600" w:after="240"/>
      <w:jc w:val="center"/>
    </w:pPr>
    <w:rPr>
      <w:b/>
      <w:caps/>
    </w:rPr>
  </w:style>
  <w:style w:type="paragraph" w:customStyle="1" w:styleId="PTitle3Article">
    <w:name w:val="P_Title3_Article"/>
    <w:basedOn w:val="Navaden"/>
    <w:rsid w:val="00B74432"/>
    <w:pPr>
      <w:keepNext/>
      <w:keepLines/>
      <w:spacing w:before="360" w:after="120"/>
      <w:jc w:val="center"/>
    </w:pPr>
    <w:rPr>
      <w:b/>
      <w:smallCaps/>
      <w:sz w:val="22"/>
    </w:rPr>
  </w:style>
  <w:style w:type="paragraph" w:customStyle="1" w:styleId="PTitle4ArticleSub">
    <w:name w:val="P_Title4_Article_Sub"/>
    <w:basedOn w:val="PTitle3Article"/>
    <w:rsid w:val="00B74432"/>
    <w:pPr>
      <w:spacing w:before="240"/>
    </w:pPr>
    <w:rPr>
      <w:smallCaps w:val="0"/>
      <w:sz w:val="20"/>
    </w:rPr>
  </w:style>
  <w:style w:type="paragraph" w:customStyle="1" w:styleId="PTitle5Subject">
    <w:name w:val="P_Title5_Subject"/>
    <w:basedOn w:val="Navaden"/>
    <w:rsid w:val="00B74432"/>
    <w:pPr>
      <w:keepNext/>
      <w:keepLines/>
      <w:spacing w:before="240" w:after="120"/>
      <w:jc w:val="both"/>
    </w:pPr>
    <w:rPr>
      <w:b/>
      <w:i/>
    </w:rPr>
  </w:style>
  <w:style w:type="paragraph" w:customStyle="1" w:styleId="PTitle6SubjectSub">
    <w:name w:val="P_Title6_Subject_Sub"/>
    <w:basedOn w:val="Navaden"/>
    <w:rsid w:val="00B74432"/>
    <w:pPr>
      <w:keepNext/>
      <w:keepLines/>
      <w:spacing w:before="240" w:after="120"/>
      <w:ind w:left="284"/>
      <w:jc w:val="both"/>
    </w:pPr>
    <w:rPr>
      <w:b/>
      <w:sz w:val="20"/>
    </w:rPr>
  </w:style>
  <w:style w:type="paragraph" w:customStyle="1" w:styleId="PTitle7CaseName">
    <w:name w:val="P_Title7_CaseName"/>
    <w:basedOn w:val="Navaden"/>
    <w:rsid w:val="00B74432"/>
    <w:pPr>
      <w:keepLines/>
      <w:spacing w:after="240"/>
      <w:jc w:val="right"/>
    </w:pPr>
    <w:rPr>
      <w:sz w:val="22"/>
    </w:rPr>
  </w:style>
  <w:style w:type="paragraph" w:customStyle="1" w:styleId="OpiParaSub">
    <w:name w:val="Opi_Para_Sub"/>
    <w:basedOn w:val="JuParaSub"/>
    <w:rsid w:val="00B74432"/>
  </w:style>
  <w:style w:type="paragraph" w:customStyle="1" w:styleId="OpiQuotSub">
    <w:name w:val="Opi_Quot_Sub"/>
    <w:basedOn w:val="JuQuotSub"/>
    <w:rsid w:val="00B74432"/>
  </w:style>
  <w:style w:type="character" w:customStyle="1" w:styleId="JuParaChar">
    <w:name w:val="Ju_Para Char"/>
    <w:basedOn w:val="Privzetapisavaodstavka"/>
    <w:rsid w:val="007A3E55"/>
    <w:rPr>
      <w:sz w:val="24"/>
      <w:lang w:val="en-GB" w:eastAsia="fr-FR" w:bidi="ar-SA"/>
    </w:rPr>
  </w:style>
  <w:style w:type="paragraph" w:customStyle="1" w:styleId="ju-005fpara">
    <w:name w:val="ju-005fpara"/>
    <w:basedOn w:val="Navaden"/>
    <w:rsid w:val="00A54B00"/>
    <w:pPr>
      <w:suppressAutoHyphens w:val="0"/>
      <w:spacing w:before="100" w:beforeAutospacing="1" w:after="100" w:afterAutospacing="1"/>
    </w:pPr>
    <w:rPr>
      <w:szCs w:val="24"/>
      <w:lang w:val="en-US" w:eastAsia="en-US"/>
    </w:rPr>
  </w:style>
  <w:style w:type="character" w:customStyle="1" w:styleId="JuQuotChar">
    <w:name w:val="Ju_Quot Char"/>
    <w:basedOn w:val="JuParaChar"/>
    <w:link w:val="JuQuot"/>
    <w:rsid w:val="00A54B00"/>
    <w:rPr>
      <w:sz w:val="24"/>
      <w:lang w:val="en-GB" w:eastAsia="fr-FR" w:bidi="ar-SA"/>
    </w:rPr>
  </w:style>
  <w:style w:type="character" w:styleId="Hiperpovezava">
    <w:name w:val="Hyperlink"/>
    <w:basedOn w:val="Privzetapisavaodstavka"/>
    <w:rsid w:val="00770E77"/>
    <w:rPr>
      <w:color w:val="0000FF"/>
      <w:u w:val="single"/>
    </w:rPr>
  </w:style>
  <w:style w:type="character" w:customStyle="1" w:styleId="ju-005fpara-0020char-0020char-0020char--char">
    <w:name w:val="ju-005fpara-0020char-0020char-0020char--char"/>
    <w:basedOn w:val="Privzetapisavaodstavka"/>
    <w:rsid w:val="006C7E1E"/>
  </w:style>
  <w:style w:type="character" w:customStyle="1" w:styleId="JuJudgesChar">
    <w:name w:val="Ju_Judges Char"/>
    <w:basedOn w:val="Privzetapisavaodstavka"/>
    <w:link w:val="JuJudges"/>
    <w:rsid w:val="002A4BB6"/>
    <w:rPr>
      <w:sz w:val="24"/>
      <w:lang w:val="en-GB" w:eastAsia="fr-FR"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eader" Target="header5.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header" Target="header4.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_rels/header2.xml.rels><?xml version="1.0" encoding="UTF-8" standalone="yes"?>
<Relationships xmlns="http://schemas.openxmlformats.org/package/2006/relationships"><Relationship Id="rId1" Type="http://schemas.openxmlformats.org/officeDocument/2006/relationships/image" Target="media/image1.w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558EB02BDB9E204AB350EDD385B68E10" ma:contentTypeVersion="0" ma:contentTypeDescription="Create a new document." ma:contentTypeScope="" ma:versionID="4c0f801ee557d5c8fba2c83aceb7a3a2">
  <xsd:schema xmlns:xsd="http://www.w3.org/2001/XMLSchema" xmlns:xs="http://www.w3.org/2001/XMLSchema" xmlns:p="http://schemas.microsoft.com/office/2006/metadata/properties" targetNamespace="http://schemas.microsoft.com/office/2006/metadata/properties" ma:root="true" ma:fieldsID="66a9e0779a85d62bb2248c31b91edb77">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F21E9C0B-2BAB-45F7-9F20-E899F6949C1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EE6B28A4-24C1-4837-8FB0-D41A1EAA0157}">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53EEF283-77D7-41F1-A5E0-825618DF0FC0}">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11</Pages>
  <Words>2984</Words>
  <Characters>17014</Characters>
  <Application>Microsoft Office Word</Application>
  <DocSecurity>0</DocSecurity>
  <Lines>141</Lines>
  <Paragraphs>39</Paragraphs>
  <ScaleCrop>false</ScaleCrop>
  <HeadingPairs>
    <vt:vector size="4" baseType="variant">
      <vt:variant>
        <vt:lpstr>Naslov</vt:lpstr>
      </vt:variant>
      <vt:variant>
        <vt:i4>1</vt:i4>
      </vt:variant>
      <vt:variant>
        <vt:lpstr>Title</vt:lpstr>
      </vt:variant>
      <vt:variant>
        <vt:i4>1</vt:i4>
      </vt:variant>
    </vt:vector>
  </HeadingPairs>
  <TitlesOfParts>
    <vt:vector size="2" baseType="lpstr">
      <vt:lpstr>ECHR</vt:lpstr>
      <vt:lpstr>ECHR</vt:lpstr>
    </vt:vector>
  </TitlesOfParts>
  <Manager/>
  <Company/>
  <LinksUpToDate>false</LinksUpToDate>
  <CharactersWithSpaces>19959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ECHR</dc:title>
  <dc:subject>DJ</dc:subject>
  <dc:creator/>
  <cp:keywords/>
  <dc:description/>
  <cp:lastModifiedBy/>
  <cp:revision>1</cp:revision>
  <cp:lastPrinted>2008-03-20T09:49:00Z</cp:lastPrinted>
  <dcterms:created xsi:type="dcterms:W3CDTF">2018-09-03T06:31:00Z</dcterms:created>
  <dcterms:modified xsi:type="dcterms:W3CDTF">2018-09-03T06:31:00Z</dcterms:modified>
  <cp:category>ECHR Template</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0x010100558EB02BDB9E204AB350EDD385B68E10</vt:lpwstr>
  </property>
</Properties>
</file>