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E3965" w:rsidRPr="001D3AE1" w:rsidRDefault="005E3965" w:rsidP="001D3AE1">
      <w:pPr>
        <w:pStyle w:val="ECHRDecisionBody"/>
      </w:pPr>
      <w:bookmarkStart w:id="0" w:name="_GoBack"/>
      <w:bookmarkEnd w:id="0"/>
    </w:p>
    <w:p w:rsidR="001D3AE1" w:rsidRPr="001D3AE1" w:rsidRDefault="001D3AE1" w:rsidP="001D3AE1">
      <w:pPr>
        <w:pStyle w:val="ECHRDecisionBody"/>
      </w:pPr>
    </w:p>
    <w:p w:rsidR="001D3AE1" w:rsidRPr="001D3AE1" w:rsidRDefault="001D3AE1" w:rsidP="001D3AE1">
      <w:pPr>
        <w:pStyle w:val="ECHRDecisionBody"/>
      </w:pPr>
    </w:p>
    <w:p w:rsidR="00014566" w:rsidRPr="001D3AE1" w:rsidRDefault="00011D3C" w:rsidP="001D3AE1">
      <w:pPr>
        <w:jc w:val="center"/>
      </w:pPr>
      <w:r>
        <w:rPr>
          <w:lang w:val="sl"/>
        </w:rPr>
        <w:t>ČETRTI ODDELEK</w:t>
      </w:r>
    </w:p>
    <w:p w:rsidR="00014566" w:rsidRPr="001D3AE1" w:rsidRDefault="00014566" w:rsidP="001D3AE1">
      <w:pPr>
        <w:jc w:val="center"/>
      </w:pPr>
    </w:p>
    <w:p w:rsidR="005E3965" w:rsidRPr="001D3AE1" w:rsidRDefault="005E3965" w:rsidP="001D3AE1">
      <w:pPr>
        <w:jc w:val="center"/>
      </w:pPr>
    </w:p>
    <w:p w:rsidR="005E3965" w:rsidRPr="001D3AE1" w:rsidRDefault="005E3965" w:rsidP="001D3AE1">
      <w:pPr>
        <w:jc w:val="center"/>
      </w:pPr>
    </w:p>
    <w:p w:rsidR="005E3965" w:rsidRPr="001D3AE1" w:rsidRDefault="005E3965" w:rsidP="001D3AE1">
      <w:pPr>
        <w:jc w:val="center"/>
      </w:pPr>
    </w:p>
    <w:p w:rsidR="005E3965" w:rsidRPr="001D3AE1" w:rsidRDefault="005E3965" w:rsidP="001D3AE1">
      <w:pPr>
        <w:jc w:val="center"/>
      </w:pPr>
    </w:p>
    <w:p w:rsidR="005E3965" w:rsidRPr="001D3AE1" w:rsidRDefault="005E3965" w:rsidP="001D3AE1">
      <w:pPr>
        <w:jc w:val="center"/>
      </w:pPr>
    </w:p>
    <w:p w:rsidR="00014566" w:rsidRPr="001D3AE1" w:rsidRDefault="00014566" w:rsidP="001D3AE1">
      <w:pPr>
        <w:jc w:val="center"/>
        <w:rPr>
          <w:b/>
        </w:rPr>
      </w:pPr>
      <w:bookmarkStart w:id="1" w:name="To"/>
      <w:r>
        <w:rPr>
          <w:b/>
          <w:bCs/>
          <w:lang w:val="sl"/>
        </w:rPr>
        <w:t>ZADEVA</w:t>
      </w:r>
      <w:bookmarkEnd w:id="1"/>
      <w:r>
        <w:rPr>
          <w:b/>
          <w:bCs/>
          <w:lang w:val="sl"/>
        </w:rPr>
        <w:t xml:space="preserve"> ŠMAJGL proti SLOVENIJI</w:t>
      </w:r>
    </w:p>
    <w:p w:rsidR="00014566" w:rsidRPr="001D3AE1" w:rsidRDefault="00014566" w:rsidP="001D3AE1">
      <w:pPr>
        <w:jc w:val="center"/>
      </w:pPr>
    </w:p>
    <w:p w:rsidR="00014566" w:rsidRPr="0039748E" w:rsidRDefault="00014566" w:rsidP="001D3AE1">
      <w:pPr>
        <w:jc w:val="center"/>
        <w:rPr>
          <w:i/>
          <w:lang w:val="de-DE"/>
        </w:rPr>
      </w:pPr>
      <w:r>
        <w:rPr>
          <w:i/>
          <w:iCs/>
          <w:lang w:val="sl"/>
        </w:rPr>
        <w:t>(pritožba št. 29187/10)</w:t>
      </w:r>
    </w:p>
    <w:p w:rsidR="00014566" w:rsidRPr="0039748E" w:rsidRDefault="00014566" w:rsidP="001D3AE1">
      <w:pPr>
        <w:jc w:val="center"/>
        <w:rPr>
          <w:lang w:val="de-DE"/>
        </w:rPr>
      </w:pPr>
    </w:p>
    <w:p w:rsidR="00014566" w:rsidRPr="0039748E" w:rsidRDefault="00014566" w:rsidP="001D3AE1">
      <w:pPr>
        <w:jc w:val="center"/>
        <w:rPr>
          <w:lang w:val="de-DE"/>
        </w:rPr>
      </w:pPr>
    </w:p>
    <w:p w:rsidR="00014566" w:rsidRPr="0039748E" w:rsidRDefault="00014566" w:rsidP="001D3AE1">
      <w:pPr>
        <w:jc w:val="center"/>
        <w:rPr>
          <w:lang w:val="de-DE"/>
        </w:rPr>
      </w:pPr>
    </w:p>
    <w:p w:rsidR="001D3AE1" w:rsidRPr="0039748E" w:rsidRDefault="001D3AE1" w:rsidP="001D3AE1">
      <w:pPr>
        <w:jc w:val="center"/>
        <w:rPr>
          <w:lang w:val="de-DE"/>
        </w:rPr>
      </w:pPr>
    </w:p>
    <w:p w:rsidR="00014566" w:rsidRPr="0039748E" w:rsidRDefault="00014566" w:rsidP="001D3AE1">
      <w:pPr>
        <w:jc w:val="center"/>
        <w:rPr>
          <w:lang w:val="de-DE"/>
        </w:rPr>
      </w:pPr>
    </w:p>
    <w:p w:rsidR="00014566" w:rsidRPr="0039748E" w:rsidRDefault="00014566" w:rsidP="001D3AE1">
      <w:pPr>
        <w:jc w:val="center"/>
        <w:rPr>
          <w:lang w:val="de-DE"/>
        </w:rPr>
      </w:pPr>
    </w:p>
    <w:p w:rsidR="00014566" w:rsidRPr="0039748E" w:rsidRDefault="00014566" w:rsidP="001D3AE1">
      <w:pPr>
        <w:jc w:val="center"/>
        <w:rPr>
          <w:lang w:val="de-DE"/>
        </w:rPr>
      </w:pPr>
    </w:p>
    <w:p w:rsidR="00014566" w:rsidRPr="0039748E" w:rsidRDefault="005E3965" w:rsidP="001D3AE1">
      <w:pPr>
        <w:jc w:val="center"/>
        <w:rPr>
          <w:szCs w:val="24"/>
          <w:lang w:val="de-DE"/>
        </w:rPr>
      </w:pPr>
      <w:r>
        <w:rPr>
          <w:szCs w:val="24"/>
          <w:lang w:val="sl"/>
        </w:rPr>
        <w:t>SODBA</w:t>
      </w:r>
    </w:p>
    <w:p w:rsidR="005E3965" w:rsidRPr="0039748E" w:rsidRDefault="005E3965" w:rsidP="001D3AE1">
      <w:pPr>
        <w:pStyle w:val="ECHRPara"/>
        <w:ind w:firstLine="0"/>
        <w:jc w:val="center"/>
        <w:rPr>
          <w:lang w:val="de-DE"/>
        </w:rPr>
      </w:pPr>
    </w:p>
    <w:p w:rsidR="005E3965" w:rsidRPr="0039748E" w:rsidRDefault="005E3965" w:rsidP="001D3AE1">
      <w:pPr>
        <w:pStyle w:val="ECHRPara"/>
        <w:ind w:firstLine="0"/>
        <w:jc w:val="center"/>
        <w:rPr>
          <w:lang w:val="de-DE"/>
        </w:rPr>
      </w:pPr>
    </w:p>
    <w:p w:rsidR="005E3965" w:rsidRPr="0039748E" w:rsidRDefault="005E3965" w:rsidP="001D3AE1">
      <w:pPr>
        <w:pStyle w:val="ECHRPara"/>
        <w:ind w:firstLine="0"/>
        <w:jc w:val="center"/>
        <w:rPr>
          <w:lang w:val="de-DE"/>
        </w:rPr>
      </w:pPr>
      <w:r>
        <w:rPr>
          <w:lang w:val="sl"/>
        </w:rPr>
        <w:t>STRASBOURG</w:t>
      </w:r>
    </w:p>
    <w:p w:rsidR="005E3965" w:rsidRPr="0039748E" w:rsidRDefault="005E3965" w:rsidP="001D3AE1">
      <w:pPr>
        <w:pStyle w:val="ECHRPara"/>
        <w:ind w:firstLine="0"/>
        <w:jc w:val="center"/>
        <w:rPr>
          <w:lang w:val="de-DE"/>
        </w:rPr>
      </w:pPr>
    </w:p>
    <w:p w:rsidR="005E3965" w:rsidRPr="0039748E" w:rsidRDefault="004B0AD4" w:rsidP="001D3AE1">
      <w:pPr>
        <w:pStyle w:val="ECHRPara"/>
        <w:ind w:firstLine="0"/>
        <w:jc w:val="center"/>
        <w:rPr>
          <w:lang w:val="de-DE"/>
        </w:rPr>
      </w:pPr>
      <w:r>
        <w:rPr>
          <w:lang w:val="sl"/>
        </w:rPr>
        <w:t>4. oktober 2016</w:t>
      </w:r>
    </w:p>
    <w:p w:rsidR="005E3965" w:rsidRPr="0039748E" w:rsidRDefault="005E3965" w:rsidP="001D3AE1">
      <w:pPr>
        <w:pStyle w:val="ECHRPara"/>
        <w:ind w:firstLine="0"/>
        <w:jc w:val="center"/>
        <w:rPr>
          <w:lang w:val="de-DE"/>
        </w:rPr>
      </w:pPr>
    </w:p>
    <w:p w:rsidR="005E3965" w:rsidRPr="0039748E" w:rsidRDefault="005E3965" w:rsidP="001D3AE1">
      <w:pPr>
        <w:pStyle w:val="ECHRPara"/>
        <w:ind w:firstLine="0"/>
        <w:jc w:val="center"/>
        <w:rPr>
          <w:lang w:val="de-DE"/>
        </w:rPr>
      </w:pPr>
    </w:p>
    <w:p w:rsidR="0036208A" w:rsidRPr="0039748E" w:rsidRDefault="0036208A" w:rsidP="001D3AE1">
      <w:pPr>
        <w:pStyle w:val="ECHRPara"/>
        <w:ind w:firstLine="0"/>
        <w:jc w:val="center"/>
        <w:rPr>
          <w:lang w:val="de-DE"/>
        </w:rPr>
      </w:pPr>
    </w:p>
    <w:p w:rsidR="0036208A" w:rsidRPr="0039748E" w:rsidRDefault="0036208A" w:rsidP="001D3AE1">
      <w:pPr>
        <w:pStyle w:val="ECHRPara"/>
        <w:ind w:firstLine="0"/>
        <w:jc w:val="center"/>
        <w:rPr>
          <w:lang w:val="de-DE"/>
        </w:rPr>
      </w:pPr>
    </w:p>
    <w:p w:rsidR="0036208A" w:rsidRPr="0039748E" w:rsidRDefault="0036208A" w:rsidP="001D3AE1">
      <w:pPr>
        <w:pStyle w:val="ECHRPara"/>
        <w:ind w:firstLine="0"/>
        <w:jc w:val="center"/>
        <w:rPr>
          <w:lang w:val="de-DE"/>
        </w:rPr>
      </w:pPr>
    </w:p>
    <w:p w:rsidR="00625C69" w:rsidRPr="0039748E" w:rsidRDefault="005E3965" w:rsidP="001D3AE1">
      <w:pPr>
        <w:pStyle w:val="ECHRPara"/>
        <w:ind w:firstLine="0"/>
        <w:rPr>
          <w:lang w:val="sl"/>
        </w:rPr>
      </w:pPr>
      <w:r>
        <w:rPr>
          <w:i/>
          <w:iCs/>
          <w:sz w:val="22"/>
          <w:lang w:val="sl"/>
        </w:rPr>
        <w:t>Ta sodba bo postala dokončna v okoliščinah, navedenih v drugem odstavku 44. člena konvencije. Mogoči so uredniški popravki.</w:t>
      </w:r>
    </w:p>
    <w:p w:rsidR="005E3965" w:rsidRPr="0039748E" w:rsidRDefault="005E3965" w:rsidP="001D3AE1">
      <w:pPr>
        <w:pStyle w:val="JuCase"/>
        <w:rPr>
          <w:lang w:val="sl"/>
        </w:rPr>
      </w:pPr>
    </w:p>
    <w:p w:rsidR="001D3AE1" w:rsidRPr="0039748E" w:rsidRDefault="001D3AE1" w:rsidP="001D3AE1">
      <w:pPr>
        <w:pStyle w:val="ECHRPara"/>
        <w:rPr>
          <w:lang w:val="sl"/>
        </w:rPr>
        <w:sectPr w:rsidR="001D3AE1" w:rsidRPr="0039748E" w:rsidSect="0036208A">
          <w:headerReference w:type="default" r:id="rId11"/>
          <w:headerReference w:type="first" r:id="rId12"/>
          <w:footerReference w:type="first" r:id="rId13"/>
          <w:footnotePr>
            <w:numRestart w:val="eachPage"/>
          </w:footnotePr>
          <w:pgSz w:w="11906" w:h="16838" w:code="9"/>
          <w:pgMar w:top="2274" w:right="2274" w:bottom="2274" w:left="2274" w:header="1701" w:footer="720" w:gutter="0"/>
          <w:pgNumType w:start="1"/>
          <w:cols w:space="720"/>
          <w:titlePg/>
          <w:docGrid w:linePitch="326"/>
        </w:sectPr>
      </w:pPr>
    </w:p>
    <w:p w:rsidR="00014566" w:rsidRPr="0039748E" w:rsidRDefault="00014566" w:rsidP="001D3AE1">
      <w:pPr>
        <w:pStyle w:val="JuCase"/>
        <w:rPr>
          <w:bCs/>
          <w:lang w:val="sl"/>
        </w:rPr>
      </w:pPr>
      <w:r>
        <w:rPr>
          <w:bCs/>
          <w:lang w:val="sl"/>
        </w:rPr>
        <w:lastRenderedPageBreak/>
        <w:t>V zadevi Šmajgl proti Sloveniji</w:t>
      </w:r>
    </w:p>
    <w:p w:rsidR="00014566" w:rsidRPr="0039748E" w:rsidRDefault="00014566" w:rsidP="001D3AE1">
      <w:pPr>
        <w:pStyle w:val="ECHRPara"/>
        <w:rPr>
          <w:lang w:val="sl"/>
        </w:rPr>
      </w:pPr>
      <w:r>
        <w:rPr>
          <w:lang w:val="sl"/>
        </w:rPr>
        <w:t>Evropsko sodišče za človekove pravice (četrti oddelek) kot senat v sestavi:</w:t>
      </w:r>
    </w:p>
    <w:p w:rsidR="00014566" w:rsidRPr="0039748E" w:rsidRDefault="005E3965" w:rsidP="001D3AE1">
      <w:pPr>
        <w:pStyle w:val="ECHRDecisionBody"/>
        <w:rPr>
          <w:lang w:val="sl"/>
        </w:rPr>
      </w:pPr>
      <w:r>
        <w:rPr>
          <w:lang w:val="sl"/>
        </w:rPr>
        <w:tab/>
        <w:t>András Sajó,</w:t>
      </w:r>
      <w:r>
        <w:rPr>
          <w:i/>
          <w:iCs/>
          <w:lang w:val="sl"/>
        </w:rPr>
        <w:t xml:space="preserve"> predsednik,</w:t>
      </w:r>
      <w:r>
        <w:rPr>
          <w:lang w:val="sl"/>
        </w:rPr>
        <w:br/>
      </w:r>
      <w:r>
        <w:rPr>
          <w:lang w:val="sl"/>
        </w:rPr>
        <w:tab/>
        <w:t>Vincent A. De Gaetano,</w:t>
      </w:r>
      <w:r>
        <w:rPr>
          <w:lang w:val="sl"/>
        </w:rPr>
        <w:br/>
      </w:r>
      <w:r>
        <w:rPr>
          <w:lang w:val="sl"/>
        </w:rPr>
        <w:tab/>
        <w:t>Nona Tsotsoria,</w:t>
      </w:r>
      <w:r>
        <w:rPr>
          <w:lang w:val="sl"/>
        </w:rPr>
        <w:br/>
      </w:r>
      <w:r>
        <w:rPr>
          <w:lang w:val="sl"/>
        </w:rPr>
        <w:tab/>
        <w:t>Egidijus Kūris,</w:t>
      </w:r>
      <w:r>
        <w:rPr>
          <w:lang w:val="sl"/>
        </w:rPr>
        <w:br/>
      </w:r>
      <w:r>
        <w:rPr>
          <w:lang w:val="sl"/>
        </w:rPr>
        <w:tab/>
        <w:t>Iulia Motoc,</w:t>
      </w:r>
      <w:r>
        <w:rPr>
          <w:lang w:val="sl"/>
        </w:rPr>
        <w:br/>
      </w:r>
      <w:r>
        <w:rPr>
          <w:lang w:val="sl"/>
        </w:rPr>
        <w:tab/>
        <w:t>Gabriele Kucsko-Stadlmayer,</w:t>
      </w:r>
      <w:r>
        <w:rPr>
          <w:lang w:val="sl"/>
        </w:rPr>
        <w:br/>
      </w:r>
      <w:r>
        <w:rPr>
          <w:lang w:val="sl"/>
        </w:rPr>
        <w:tab/>
        <w:t>Marko Bošnjak,</w:t>
      </w:r>
      <w:r>
        <w:rPr>
          <w:i/>
          <w:iCs/>
          <w:lang w:val="sl"/>
        </w:rPr>
        <w:t xml:space="preserve"> sodniki,</w:t>
      </w:r>
      <w:r>
        <w:rPr>
          <w:szCs w:val="24"/>
          <w:lang w:val="sl"/>
        </w:rPr>
        <w:br/>
      </w:r>
      <w:r>
        <w:rPr>
          <w:lang w:val="sl"/>
        </w:rPr>
        <w:t xml:space="preserve">in Andrea Tamietti, </w:t>
      </w:r>
      <w:r>
        <w:rPr>
          <w:i/>
          <w:iCs/>
          <w:lang w:val="sl"/>
        </w:rPr>
        <w:t>namestnik sodnega tajnika oddelka,</w:t>
      </w:r>
    </w:p>
    <w:p w:rsidR="00014566" w:rsidRPr="0039748E" w:rsidRDefault="00014566" w:rsidP="001D3AE1">
      <w:pPr>
        <w:pStyle w:val="ECHRPara"/>
        <w:rPr>
          <w:lang w:val="sl"/>
        </w:rPr>
      </w:pPr>
      <w:r>
        <w:rPr>
          <w:lang w:val="sl"/>
        </w:rPr>
        <w:t>po razpravi, zaprti za javnost, ki je bila 23. avgusta 2016,</w:t>
      </w:r>
    </w:p>
    <w:p w:rsidR="00014566" w:rsidRPr="001D3AE1" w:rsidRDefault="00014566" w:rsidP="001D3AE1">
      <w:pPr>
        <w:pStyle w:val="ECHRPara"/>
      </w:pPr>
      <w:r>
        <w:rPr>
          <w:lang w:val="sl"/>
        </w:rPr>
        <w:t>izreka to sodbo, sprejeto navedenega dne:</w:t>
      </w:r>
    </w:p>
    <w:p w:rsidR="00014566" w:rsidRPr="001D3AE1" w:rsidRDefault="00014566" w:rsidP="001D3AE1">
      <w:pPr>
        <w:pStyle w:val="ECHRTitle1"/>
      </w:pPr>
      <w:r>
        <w:rPr>
          <w:lang w:val="sl"/>
        </w:rPr>
        <w:t>POSTOPEK</w:t>
      </w:r>
    </w:p>
    <w:p w:rsidR="00D33657" w:rsidRPr="001D3AE1" w:rsidRDefault="00FE2740" w:rsidP="001D3AE1">
      <w:pPr>
        <w:pStyle w:val="ECHRPara"/>
      </w:pPr>
      <w:r>
        <w:rPr>
          <w:lang w:val="sl"/>
        </w:rPr>
        <w:fldChar w:fldCharType="begin"/>
      </w:r>
      <w:r>
        <w:rPr>
          <w:lang w:val="sl"/>
        </w:rPr>
        <w:instrText xml:space="preserve"> SEQ level0 \*arabic \r1</w:instrText>
      </w:r>
      <w:r>
        <w:rPr>
          <w:lang w:val="sl"/>
        </w:rPr>
        <w:fldChar w:fldCharType="begin"/>
      </w:r>
      <w:r>
        <w:rPr>
          <w:lang w:val="sl"/>
        </w:rPr>
        <w:instrText xml:space="preserve"> .  SEQ level0 \*arabic \r1</w:instrText>
      </w:r>
      <w:r>
        <w:rPr>
          <w:lang w:val="sl"/>
        </w:rPr>
        <w:fldChar w:fldCharType="begin"/>
      </w:r>
      <w:r>
        <w:rPr>
          <w:lang w:val="sl"/>
        </w:rPr>
        <w:instrText xml:space="preserve"> .  SEQ level0 \*arabic \r1</w:instrText>
      </w:r>
      <w:r>
        <w:rPr>
          <w:lang w:val="sl"/>
        </w:rPr>
        <w:fldChar w:fldCharType="begin"/>
      </w:r>
      <w:r>
        <w:rPr>
          <w:lang w:val="sl"/>
        </w:rPr>
        <w:instrText xml:space="preserve"> .  SEQ level0 \*arabic \r1</w:instrText>
      </w:r>
      <w:r>
        <w:rPr>
          <w:lang w:val="sl"/>
        </w:rPr>
        <w:fldChar w:fldCharType="begin"/>
      </w:r>
      <w:r>
        <w:rPr>
          <w:lang w:val="sl"/>
        </w:rPr>
        <w:instrText xml:space="preserve"> .  SEQ level0 \*arabic </w:instrText>
      </w:r>
      <w:r>
        <w:rPr>
          <w:lang w:val="sl"/>
        </w:rPr>
        <w:fldChar w:fldCharType="separate"/>
      </w:r>
      <w:r>
        <w:rPr>
          <w:noProof/>
          <w:lang w:val="sl"/>
        </w:rPr>
        <w:instrText>1</w:instrText>
      </w:r>
      <w:r>
        <w:rPr>
          <w:lang w:val="sl"/>
        </w:rPr>
        <w:fldChar w:fldCharType="end"/>
      </w:r>
      <w:r>
        <w:rPr>
          <w:lang w:val="sl"/>
        </w:rPr>
        <w:instrText xml:space="preserve"> </w:instrText>
      </w:r>
      <w:r>
        <w:rPr>
          <w:lang w:val="sl"/>
        </w:rPr>
        <w:fldChar w:fldCharType="separate"/>
      </w:r>
      <w:r>
        <w:rPr>
          <w:noProof/>
          <w:lang w:val="sl"/>
        </w:rPr>
        <w:instrText>1</w:instrText>
      </w:r>
      <w:r>
        <w:rPr>
          <w:lang w:val="sl"/>
        </w:rPr>
        <w:fldChar w:fldCharType="end"/>
      </w:r>
      <w:r>
        <w:rPr>
          <w:lang w:val="sl"/>
        </w:rPr>
        <w:instrText xml:space="preserve"> </w:instrText>
      </w:r>
      <w:r>
        <w:rPr>
          <w:lang w:val="sl"/>
        </w:rPr>
        <w:fldChar w:fldCharType="separate"/>
      </w:r>
      <w:r>
        <w:rPr>
          <w:noProof/>
          <w:lang w:val="sl"/>
        </w:rPr>
        <w:instrText>1</w:instrText>
      </w:r>
      <w:r>
        <w:rPr>
          <w:lang w:val="sl"/>
        </w:rPr>
        <w:fldChar w:fldCharType="end"/>
      </w:r>
      <w:r>
        <w:rPr>
          <w:lang w:val="sl"/>
        </w:rPr>
        <w:instrText xml:space="preserve"> </w:instrText>
      </w:r>
      <w:r>
        <w:rPr>
          <w:lang w:val="sl"/>
        </w:rPr>
        <w:fldChar w:fldCharType="separate"/>
      </w:r>
      <w:r>
        <w:rPr>
          <w:noProof/>
          <w:lang w:val="sl"/>
        </w:rPr>
        <w:instrText>1</w:instrText>
      </w:r>
      <w:r>
        <w:rPr>
          <w:lang w:val="sl"/>
        </w:rPr>
        <w:fldChar w:fldCharType="end"/>
      </w:r>
      <w:r>
        <w:rPr>
          <w:lang w:val="sl"/>
        </w:rPr>
        <w:instrText xml:space="preserve"> </w:instrText>
      </w:r>
      <w:r>
        <w:rPr>
          <w:lang w:val="sl"/>
        </w:rPr>
        <w:fldChar w:fldCharType="separate"/>
      </w:r>
      <w:r w:rsidR="00425DCA">
        <w:rPr>
          <w:noProof/>
          <w:lang w:val="sl"/>
        </w:rPr>
        <w:t>1</w:t>
      </w:r>
      <w:r>
        <w:rPr>
          <w:lang w:val="sl"/>
        </w:rPr>
        <w:fldChar w:fldCharType="end"/>
      </w:r>
      <w:r>
        <w:rPr>
          <w:lang w:val="sl"/>
        </w:rPr>
        <w:t>.  Zadeva se je začela s pritožbo (št. 29187/10) proti Republiki Sloveniji, ki jo je po 34. členu Konvencije o varstvu človekovih pravic in temeljnih svoboščin (v nadaljnjem besedilu: konvencija) pri Sodišču 6. maja 2010 vložil slovenski državljan Rudolf Šmajgl (v nadaljnjem besedilu: pritožnik).</w:t>
      </w:r>
    </w:p>
    <w:p w:rsidR="00D33657" w:rsidRPr="0039748E" w:rsidRDefault="00D33657" w:rsidP="001D3AE1">
      <w:pPr>
        <w:pStyle w:val="ECHRPara"/>
        <w:rPr>
          <w:lang w:val="sl"/>
        </w:rPr>
      </w:pPr>
      <w:r>
        <w:rPr>
          <w:lang w:val="sl"/>
        </w:rPr>
        <w:fldChar w:fldCharType="begin"/>
      </w:r>
      <w:r>
        <w:rPr>
          <w:lang w:val="sl"/>
        </w:rPr>
        <w:instrText xml:space="preserve"> SEQ level0 \*arabic </w:instrText>
      </w:r>
      <w:r>
        <w:rPr>
          <w:lang w:val="sl"/>
        </w:rPr>
        <w:fldChar w:fldCharType="separate"/>
      </w:r>
      <w:r w:rsidR="00425DCA">
        <w:rPr>
          <w:noProof/>
          <w:lang w:val="sl"/>
        </w:rPr>
        <w:t>2</w:t>
      </w:r>
      <w:r>
        <w:rPr>
          <w:lang w:val="sl"/>
        </w:rPr>
        <w:fldChar w:fldCharType="end"/>
      </w:r>
      <w:r>
        <w:rPr>
          <w:lang w:val="sl"/>
        </w:rPr>
        <w:t>.  Pritožnika je zastopal D. Medved, odvetnik iz Krškega. Slovensko vlado (v nadaljnjem besedilu: vlada) je zastopal L. Bembič, državni pravobranilec.</w:t>
      </w:r>
    </w:p>
    <w:p w:rsidR="00014566" w:rsidRPr="0039748E" w:rsidRDefault="00D33657" w:rsidP="001D3AE1">
      <w:pPr>
        <w:pStyle w:val="ECHRPara"/>
        <w:rPr>
          <w:lang w:val="sl"/>
        </w:rPr>
      </w:pPr>
      <w:r>
        <w:rPr>
          <w:lang w:val="sl"/>
        </w:rPr>
        <w:fldChar w:fldCharType="begin"/>
      </w:r>
      <w:r>
        <w:rPr>
          <w:lang w:val="sl"/>
        </w:rPr>
        <w:instrText xml:space="preserve"> SEQ level0 \*arabic </w:instrText>
      </w:r>
      <w:r>
        <w:rPr>
          <w:lang w:val="sl"/>
        </w:rPr>
        <w:fldChar w:fldCharType="separate"/>
      </w:r>
      <w:r w:rsidR="00425DCA">
        <w:rPr>
          <w:noProof/>
          <w:lang w:val="sl"/>
        </w:rPr>
        <w:t>3</w:t>
      </w:r>
      <w:r>
        <w:rPr>
          <w:lang w:val="sl"/>
        </w:rPr>
        <w:fldChar w:fldCharType="end"/>
      </w:r>
      <w:r>
        <w:rPr>
          <w:lang w:val="sl"/>
        </w:rPr>
        <w:t>.  Pritožnik je trdil, da je bil kazenski postopek proti njemu nepravičen, ker mu ni bilo omogočeno osebno zaslišati glavne obremenilne priče, katere pričevanje je bilo odločilno za njegovo obsodbo.</w:t>
      </w:r>
    </w:p>
    <w:p w:rsidR="00014566" w:rsidRPr="0039748E" w:rsidRDefault="00D33657" w:rsidP="001D3AE1">
      <w:pPr>
        <w:pStyle w:val="ECHRPara"/>
        <w:rPr>
          <w:lang w:val="fr-FR"/>
        </w:rPr>
      </w:pPr>
      <w:r>
        <w:rPr>
          <w:lang w:val="sl"/>
        </w:rPr>
        <w:fldChar w:fldCharType="begin"/>
      </w:r>
      <w:r>
        <w:rPr>
          <w:lang w:val="sl"/>
        </w:rPr>
        <w:instrText xml:space="preserve"> SEQ level0 \*arabic </w:instrText>
      </w:r>
      <w:r>
        <w:rPr>
          <w:lang w:val="sl"/>
        </w:rPr>
        <w:fldChar w:fldCharType="separate"/>
      </w:r>
      <w:r w:rsidR="00425DCA">
        <w:rPr>
          <w:noProof/>
          <w:lang w:val="sl"/>
        </w:rPr>
        <w:t>4</w:t>
      </w:r>
      <w:r>
        <w:rPr>
          <w:lang w:val="sl"/>
        </w:rPr>
        <w:fldChar w:fldCharType="end"/>
      </w:r>
      <w:r>
        <w:rPr>
          <w:lang w:val="sl"/>
        </w:rPr>
        <w:t xml:space="preserve">.  Vlada je bila o pritožbi obveščena </w:t>
      </w:r>
      <w:r>
        <w:rPr>
          <w:szCs w:val="24"/>
          <w:lang w:val="sl"/>
        </w:rPr>
        <w:t>3. julija 2012</w:t>
      </w:r>
      <w:r>
        <w:rPr>
          <w:lang w:val="sl"/>
        </w:rPr>
        <w:t>.</w:t>
      </w:r>
    </w:p>
    <w:p w:rsidR="00014566" w:rsidRPr="0039748E" w:rsidRDefault="00014566" w:rsidP="001D3AE1">
      <w:pPr>
        <w:pStyle w:val="ECHRTitle1"/>
        <w:rPr>
          <w:lang w:val="fr-FR"/>
        </w:rPr>
      </w:pPr>
      <w:r>
        <w:rPr>
          <w:lang w:val="sl"/>
        </w:rPr>
        <w:t>DEJSTVA</w:t>
      </w:r>
    </w:p>
    <w:p w:rsidR="00014566" w:rsidRPr="0039748E" w:rsidRDefault="00014566" w:rsidP="001D3AE1">
      <w:pPr>
        <w:pStyle w:val="ECHRHeading1"/>
        <w:rPr>
          <w:lang w:val="fr-FR"/>
        </w:rPr>
      </w:pPr>
      <w:r>
        <w:rPr>
          <w:bCs w:val="0"/>
          <w:lang w:val="sl"/>
        </w:rPr>
        <w:t>I. OKOLIŠČINE ZADEVE</w:t>
      </w:r>
    </w:p>
    <w:p w:rsidR="00AC031D" w:rsidRPr="001D3AE1" w:rsidRDefault="00581222" w:rsidP="001D3AE1">
      <w:pPr>
        <w:pStyle w:val="ECHRHeading2"/>
      </w:pPr>
      <w:r>
        <w:rPr>
          <w:lang w:val="sl"/>
        </w:rPr>
        <w:t>A.  Dejansko ozadje</w:t>
      </w:r>
    </w:p>
    <w:p w:rsidR="00581222" w:rsidRPr="001D3AE1" w:rsidRDefault="00581222" w:rsidP="001D3AE1">
      <w:pPr>
        <w:pStyle w:val="ECHRPara"/>
      </w:pPr>
      <w:r>
        <w:rPr>
          <w:lang w:val="sl"/>
        </w:rPr>
        <w:fldChar w:fldCharType="begin"/>
      </w:r>
      <w:r>
        <w:rPr>
          <w:lang w:val="sl"/>
        </w:rPr>
        <w:instrText xml:space="preserve"> SEQ level0 \*arabic </w:instrText>
      </w:r>
      <w:r>
        <w:rPr>
          <w:lang w:val="sl"/>
        </w:rPr>
        <w:fldChar w:fldCharType="separate"/>
      </w:r>
      <w:r w:rsidR="00425DCA">
        <w:rPr>
          <w:noProof/>
          <w:lang w:val="sl"/>
        </w:rPr>
        <w:t>5</w:t>
      </w:r>
      <w:r>
        <w:rPr>
          <w:lang w:val="sl"/>
        </w:rPr>
        <w:fldChar w:fldCharType="end"/>
      </w:r>
      <w:r>
        <w:rPr>
          <w:lang w:val="sl"/>
        </w:rPr>
        <w:t>.  Pritožnik je bil rojen leta 1959 in je danes v zaporu na Dobu.</w:t>
      </w:r>
    </w:p>
    <w:p w:rsidR="005E3965" w:rsidRPr="0039748E" w:rsidRDefault="00D33657" w:rsidP="001D3AE1">
      <w:pPr>
        <w:pStyle w:val="ECHRPara"/>
        <w:rPr>
          <w:lang w:val="sl"/>
        </w:rPr>
      </w:pPr>
      <w:r>
        <w:rPr>
          <w:lang w:val="sl"/>
        </w:rPr>
        <w:fldChar w:fldCharType="begin"/>
      </w:r>
      <w:r>
        <w:rPr>
          <w:lang w:val="sl"/>
        </w:rPr>
        <w:instrText xml:space="preserve"> SEQ level0 \*arabic </w:instrText>
      </w:r>
      <w:r>
        <w:rPr>
          <w:lang w:val="sl"/>
        </w:rPr>
        <w:fldChar w:fldCharType="separate"/>
      </w:r>
      <w:r w:rsidR="00425DCA">
        <w:rPr>
          <w:noProof/>
          <w:lang w:val="sl"/>
        </w:rPr>
        <w:t>6</w:t>
      </w:r>
      <w:r>
        <w:rPr>
          <w:lang w:val="sl"/>
        </w:rPr>
        <w:fldChar w:fldCharType="end"/>
      </w:r>
      <w:r>
        <w:rPr>
          <w:lang w:val="sl"/>
        </w:rPr>
        <w:t xml:space="preserve">.  Pritožnik se je ukvarjal z dejavnostjo ponujanja spletnih spolnih storitev, ki je bila registrirana v Všenoryju v Češki republiki. Sodeloval je z nekaterimi nizozemskimi in ameriškimi podjetji. Septembra 2001 se je sprl s svojimi nizozemskimi partnerji, med katerimi je bil H. C. Z., ki je želel prekiniti njuno sodelovanje. Po srečanju s H. C. Z. in njegovim telesnim stražarjem E. M. L., ki je tudi nizozemski državljan, v Pragi </w:t>
      </w:r>
      <w:r>
        <w:rPr>
          <w:lang w:val="sl"/>
        </w:rPr>
        <w:lastRenderedPageBreak/>
        <w:t>14. septembra 2001 je pritožnik povezal enega od studiev, vključenih v produkcijo, z omrežjem svojega ameriškega partnerja.</w:t>
      </w:r>
    </w:p>
    <w:p w:rsidR="005E3965" w:rsidRPr="0039748E" w:rsidRDefault="006A4BC5" w:rsidP="001D3AE1">
      <w:pPr>
        <w:pStyle w:val="ECHRPara"/>
        <w:rPr>
          <w:lang w:val="sl"/>
        </w:rPr>
      </w:pPr>
      <w:r>
        <w:rPr>
          <w:lang w:val="sl"/>
        </w:rPr>
        <w:fldChar w:fldCharType="begin"/>
      </w:r>
      <w:r>
        <w:rPr>
          <w:lang w:val="sl"/>
        </w:rPr>
        <w:instrText xml:space="preserve"> SEQ level0 \*arabic </w:instrText>
      </w:r>
      <w:r>
        <w:rPr>
          <w:lang w:val="sl"/>
        </w:rPr>
        <w:fldChar w:fldCharType="separate"/>
      </w:r>
      <w:r w:rsidR="00425DCA">
        <w:rPr>
          <w:noProof/>
          <w:lang w:val="sl"/>
        </w:rPr>
        <w:t>7</w:t>
      </w:r>
      <w:r>
        <w:rPr>
          <w:lang w:val="sl"/>
        </w:rPr>
        <w:fldChar w:fldCharType="end"/>
      </w:r>
      <w:r>
        <w:rPr>
          <w:lang w:val="sl"/>
        </w:rPr>
        <w:t xml:space="preserve">.  Pritožnik, njegov brat M. Š. in A. S., tudi slovenski državljan, so bili 18. septembra 2001 v vili v Všenoryju, kjer je imel pritožnik svoj studio. Pritožnik se je dogovoril za ponovni sestanek s H. C. Z., zato je </w:t>
      </w:r>
      <w:r w:rsidR="0039748E">
        <w:rPr>
          <w:lang w:val="sl"/>
        </w:rPr>
        <w:t>H. C. Z. z</w:t>
      </w:r>
      <w:r>
        <w:rPr>
          <w:lang w:val="sl"/>
        </w:rPr>
        <w:t>večer prišel k vili skupaj s svojim telesnim stražarjem E. M. L. V vili so bili tudi ga. M. S. in še tri osebe. Pritožnik, M. Š., H. C. Z. in E. M. L. so se nato sestali v spalnici, kjer je bil H. C. Z. ubit s strelnim orožjem.</w:t>
      </w:r>
    </w:p>
    <w:p w:rsidR="005928C8" w:rsidRPr="0039748E" w:rsidRDefault="005928C8" w:rsidP="001D3AE1">
      <w:pPr>
        <w:pStyle w:val="ECHRPara"/>
        <w:rPr>
          <w:lang w:val="sl"/>
        </w:rPr>
      </w:pPr>
      <w:r>
        <w:rPr>
          <w:lang w:val="sl"/>
        </w:rPr>
        <w:fldChar w:fldCharType="begin"/>
      </w:r>
      <w:r>
        <w:rPr>
          <w:lang w:val="sl"/>
        </w:rPr>
        <w:instrText xml:space="preserve"> SEQ level0 \*arabic </w:instrText>
      </w:r>
      <w:r>
        <w:rPr>
          <w:lang w:val="sl"/>
        </w:rPr>
        <w:fldChar w:fldCharType="separate"/>
      </w:r>
      <w:r w:rsidR="00425DCA">
        <w:rPr>
          <w:noProof/>
          <w:lang w:val="sl"/>
        </w:rPr>
        <w:t>8</w:t>
      </w:r>
      <w:r>
        <w:rPr>
          <w:lang w:val="sl"/>
        </w:rPr>
        <w:fldChar w:fldCharType="end"/>
      </w:r>
      <w:r>
        <w:rPr>
          <w:lang w:val="sl"/>
        </w:rPr>
        <w:t>.  Po streljanju so pritožnik, M. Š. in A. S. pobegnili s kraja storitve kaznivega dejanja in se pozneje vrnili v Slovenijo. Pozneje istega večera je policija našla E. M. L., ki se je potolčen in prestrašen skrival v bližnjem grmovju.</w:t>
      </w:r>
    </w:p>
    <w:p w:rsidR="00AC031D" w:rsidRPr="0039748E" w:rsidRDefault="00581222" w:rsidP="001D3AE1">
      <w:pPr>
        <w:pStyle w:val="ECHRHeading2"/>
        <w:rPr>
          <w:lang w:val="de-DE"/>
        </w:rPr>
      </w:pPr>
      <w:r>
        <w:rPr>
          <w:lang w:val="sl"/>
        </w:rPr>
        <w:t>B.   Kazenska preiskava v Češki republiki</w:t>
      </w:r>
    </w:p>
    <w:p w:rsidR="005E3965" w:rsidRPr="0039748E" w:rsidRDefault="001D4BB9" w:rsidP="001D3AE1">
      <w:pPr>
        <w:pStyle w:val="ECHRPara"/>
        <w:rPr>
          <w:lang w:val="de-DE"/>
        </w:rPr>
      </w:pPr>
      <w:r>
        <w:rPr>
          <w:lang w:val="sl"/>
        </w:rPr>
        <w:fldChar w:fldCharType="begin"/>
      </w:r>
      <w:r>
        <w:rPr>
          <w:lang w:val="sl"/>
        </w:rPr>
        <w:instrText xml:space="preserve"> SEQ level0 \*arabic </w:instrText>
      </w:r>
      <w:r>
        <w:rPr>
          <w:lang w:val="sl"/>
        </w:rPr>
        <w:fldChar w:fldCharType="separate"/>
      </w:r>
      <w:r w:rsidR="00425DCA">
        <w:rPr>
          <w:noProof/>
          <w:lang w:val="sl"/>
        </w:rPr>
        <w:t>9</w:t>
      </w:r>
      <w:r>
        <w:rPr>
          <w:lang w:val="sl"/>
        </w:rPr>
        <w:fldChar w:fldCharType="end"/>
      </w:r>
      <w:r>
        <w:rPr>
          <w:lang w:val="sl"/>
        </w:rPr>
        <w:t>.  Med predhodno preiskavo so češki organi 19. in 20. septembra 2001 zaslišali E. M. L., ki je izjavil, da je H. C. Z. ubil pritožnik. E. M. L. je podrobno opisal pritožnika in potek zadevnih dogodkov. Izjavil je, da je prišel v Prago skupaj s svojim šefom H. C. Z. in da je pritožnika spoznal nekaj dni pred streljanjem ter dodal, da se mu je zdel pritožnik na prvem srečanju sovražen. E. M. L. je pred sestankom 18. septembra še enkrat na kratko srečal pritožnika.</w:t>
      </w:r>
    </w:p>
    <w:p w:rsidR="005E3965" w:rsidRPr="0039748E" w:rsidRDefault="00831D85" w:rsidP="001D3AE1">
      <w:pPr>
        <w:pStyle w:val="ECHRPara"/>
        <w:rPr>
          <w:lang w:val="sl"/>
        </w:rPr>
      </w:pPr>
      <w:r>
        <w:rPr>
          <w:lang w:val="sl"/>
        </w:rPr>
        <w:fldChar w:fldCharType="begin"/>
      </w:r>
      <w:r>
        <w:rPr>
          <w:lang w:val="sl"/>
        </w:rPr>
        <w:instrText xml:space="preserve"> SEQ level0 \*arabic </w:instrText>
      </w:r>
      <w:r>
        <w:rPr>
          <w:lang w:val="sl"/>
        </w:rPr>
        <w:fldChar w:fldCharType="separate"/>
      </w:r>
      <w:r w:rsidR="00425DCA">
        <w:rPr>
          <w:noProof/>
          <w:lang w:val="sl"/>
        </w:rPr>
        <w:t>10</w:t>
      </w:r>
      <w:r>
        <w:rPr>
          <w:lang w:val="sl"/>
        </w:rPr>
        <w:fldChar w:fldCharType="end"/>
      </w:r>
      <w:r>
        <w:rPr>
          <w:lang w:val="sl"/>
        </w:rPr>
        <w:t>.  Po pričevanju E. M. L. je obravnavanega večera pritožnik prosil za sestanek s H. C. Z., zato sta se H. C. Z. in E. M. L. odpeljala do vile v Všenoryju. Vrata jima je odprl mlad moški, ki je bil pozneje prepoznan kot A. S. Ženska, ki sta jo prav tako že srečala pred tem večerom – M. S. – je sedela v dnevni sobi. H. C. Z. so poklicali v spalnico, E. M. L. pa je počakal pred odprtimi vrati spalnice. Pritožnik in moški, ki ga E. M. L. ni poznal, sta stala v sobi. E. M. L. je opisal drugega moškega kot zelo podobnega pritožniku, skoraj kot bi bil njegov dvojček, le starejši. Ta moški ni niti nič rekel niti nič storil, medtem ko je pritožnik takoj potegnil pištolo izza hrbta, jo uperil H. C. Z. v čelo in ustrelil vanj. Po prvem strelu se je E. M. L. obrnil in začel teči. Na hodniku je šel mimo A. S. in stekel skozi glavna vrata ven na cesto in v grmovje. E. M. L. je izjavil, da je pred pobegom iz vile slišal še en strel. Nato je videl, da sta mu pritožnik in A. S. sledila, vendar sta po desetminutnem iskanju odšla, kmalu zatem pa je slišal avto, ki je zelo hitro odpeljal proč od vile.</w:t>
      </w:r>
    </w:p>
    <w:p w:rsidR="005E3965" w:rsidRPr="0039748E" w:rsidRDefault="00C80214" w:rsidP="001D3AE1">
      <w:pPr>
        <w:pStyle w:val="ECHRPara"/>
        <w:rPr>
          <w:lang w:val="sl"/>
        </w:rPr>
      </w:pPr>
      <w:r>
        <w:rPr>
          <w:lang w:val="sl"/>
        </w:rPr>
        <w:fldChar w:fldCharType="begin"/>
      </w:r>
      <w:r>
        <w:rPr>
          <w:lang w:val="sl"/>
        </w:rPr>
        <w:instrText xml:space="preserve"> SEQ level0 \*arabic </w:instrText>
      </w:r>
      <w:r>
        <w:rPr>
          <w:lang w:val="sl"/>
        </w:rPr>
        <w:fldChar w:fldCharType="separate"/>
      </w:r>
      <w:r w:rsidR="00425DCA">
        <w:rPr>
          <w:noProof/>
          <w:lang w:val="sl"/>
        </w:rPr>
        <w:t>11</w:t>
      </w:r>
      <w:r>
        <w:rPr>
          <w:lang w:val="sl"/>
        </w:rPr>
        <w:fldChar w:fldCharType="end"/>
      </w:r>
      <w:r>
        <w:rPr>
          <w:lang w:val="sl"/>
        </w:rPr>
        <w:t xml:space="preserve">.  Preiskovalci so zaslišali tudi več drugih prič, vpletenih v pritožnikovo dejavnost, med drugimi M. S., ki je izjavila, da se je pritožnik še zlasti zanimal za strelno orožje. Na dan streljanja je bila M. S. v dnevni sobi skupaj s pritožnikom, A. S. in pritožnikovim bratom M. Š., ki ga je opisala kot moškega, ki je bil videti starejši od pritožnika. Ko je pozvonilo, je A. S. odprl vrata in v dnevno sobo sta stopila dva moška. Po pričevanju M. S. sta bila pritožnik in M. Š. v spalnici, ko sta H. C. Z. in E. M. L. vstopila v dnevno </w:t>
      </w:r>
      <w:r>
        <w:rPr>
          <w:lang w:val="sl"/>
        </w:rPr>
        <w:lastRenderedPageBreak/>
        <w:t>sobo. H. C. Z. je stopil naprej v spalnico, E. M. L. pa je stal pri spalničnih vratih. Takoj ko je H. C. Z. vstopil v spalnico, je M. S. zaslišala od štiri do pet strelov. E. M. L. je zbežal, pritožnik in A. S. pa sta mu sledila. Po pričevanju M. S. je M. Š. prav tako stekel za E. M. L. s pištolo v roki. V hiši so bili še dve ženski in en moški in so slišali strele, vendar niso videli streljanja. Izjavili so, da jim A. S. in pritožnik sprva nista dovolila, da bi poklicali policijo, ko pa so trije moški odšli, jo je poklicala ena od žensk.</w:t>
      </w:r>
    </w:p>
    <w:p w:rsidR="005E3965" w:rsidRPr="0039748E" w:rsidRDefault="00F5237C" w:rsidP="001D3AE1">
      <w:pPr>
        <w:pStyle w:val="ECHRPara"/>
        <w:rPr>
          <w:lang w:val="sl"/>
        </w:rPr>
      </w:pPr>
      <w:r>
        <w:rPr>
          <w:lang w:val="sl"/>
        </w:rPr>
        <w:fldChar w:fldCharType="begin"/>
      </w:r>
      <w:r>
        <w:rPr>
          <w:lang w:val="sl"/>
        </w:rPr>
        <w:instrText xml:space="preserve"> SEQ level0 \*arabic </w:instrText>
      </w:r>
      <w:r>
        <w:rPr>
          <w:lang w:val="sl"/>
        </w:rPr>
        <w:fldChar w:fldCharType="separate"/>
      </w:r>
      <w:r w:rsidR="00425DCA">
        <w:rPr>
          <w:noProof/>
          <w:lang w:val="sl"/>
        </w:rPr>
        <w:t>12</w:t>
      </w:r>
      <w:r>
        <w:rPr>
          <w:lang w:val="sl"/>
        </w:rPr>
        <w:fldChar w:fldCharType="end"/>
      </w:r>
      <w:r>
        <w:rPr>
          <w:lang w:val="sl"/>
        </w:rPr>
        <w:t>.  Poleg pridobivanja izjav prič so češki organi preiskali kraj storitve kaznivega dejanja in sestavili zapisnik ogleda ter opravili sodno obdukcijo trupla H. C. Z. in balistično preiskavo krogel in tulcev, najdenih na kraju streljanja. Po zaključku preiskave je pristojni tožilec obtožil pritožnika za umor H. C. Z. Obtožnica je bila 10. oktobra 2001 vročena njegovemu zagovorniku, ki ga je postavilo sodišče. Ker je bilo pozneje ugotovljeno, da se je pritožnik vrnil v Slovenijo in prostovoljno začel prestajati zaporno kazen za nepovezano kaznivo dejanje, so češki organi prosili slovenske organe, da prevzamejo postopek proti pritožniku.</w:t>
      </w:r>
    </w:p>
    <w:p w:rsidR="00AC031D" w:rsidRPr="0039748E" w:rsidRDefault="00581222" w:rsidP="001D3AE1">
      <w:pPr>
        <w:pStyle w:val="ECHRHeading2"/>
        <w:rPr>
          <w:lang w:val="fr-FR"/>
        </w:rPr>
      </w:pPr>
      <w:r>
        <w:rPr>
          <w:lang w:val="sl"/>
        </w:rPr>
        <w:t>C. Sodna preiskava v Sloveniji</w:t>
      </w:r>
    </w:p>
    <w:p w:rsidR="000C36B1" w:rsidRPr="0039748E" w:rsidRDefault="001D4BB9" w:rsidP="001D3AE1">
      <w:pPr>
        <w:pStyle w:val="ECHRPara"/>
        <w:rPr>
          <w:lang w:val="sl"/>
        </w:rPr>
      </w:pPr>
      <w:r>
        <w:rPr>
          <w:lang w:val="sl"/>
        </w:rPr>
        <w:fldChar w:fldCharType="begin"/>
      </w:r>
      <w:r>
        <w:rPr>
          <w:lang w:val="sl"/>
        </w:rPr>
        <w:instrText xml:space="preserve"> SEQ level0 \*arabic </w:instrText>
      </w:r>
      <w:r>
        <w:rPr>
          <w:lang w:val="sl"/>
        </w:rPr>
        <w:fldChar w:fldCharType="separate"/>
      </w:r>
      <w:r w:rsidR="00425DCA">
        <w:rPr>
          <w:noProof/>
          <w:lang w:val="sl"/>
        </w:rPr>
        <w:t>13</w:t>
      </w:r>
      <w:r>
        <w:rPr>
          <w:lang w:val="sl"/>
        </w:rPr>
        <w:fldChar w:fldCharType="end"/>
      </w:r>
      <w:r>
        <w:rPr>
          <w:lang w:val="sl"/>
        </w:rPr>
        <w:t>.  V januarju 2002 se je pristojnost za zadevo prenesla na Okrožno sodišče v Novem mestu. Ko je 2. avgusta 2002 pritožnika zaslišal preiskovalni sodnik, je pritožnik izjavil, da sta jim H. C. Z. in E. M. L. ob prihodu v vilo grozila. E. M. L. je imel pištolo in je prisilil pritožnika, da se je ulegel na tla, H. C. Z. pa je stekel v spalnico. Pritožnik je slišal vpitje in nato je bilo izstreljenih nekaj strelov. Nekaj trenutkov zatem je E. M. L. zapustil vilo. Pritožnik mu je sledil in videl neznanega moškega, ki je stal zunaj pri avtu. Pritožnik je razumel, da je E. M. L. ukazal temu moškemu, naj pripelje okrepitve in ubije ljudi v vili. E. M. L. je nato odšel proti bližnjemu gozdu. Pritožnik je šel nazaj v vilo in videl truplo H. C. Z. v spalnici. Pritožnik, M. Š. in A. S. so se nato odpeljali s svojim avtom, vendar niso šli na policijo, ker so se bali, da bi bili ubiti.</w:t>
      </w:r>
    </w:p>
    <w:p w:rsidR="005E3965" w:rsidRPr="0039748E" w:rsidRDefault="003B315B" w:rsidP="001D3AE1">
      <w:pPr>
        <w:pStyle w:val="ECHRPara"/>
        <w:rPr>
          <w:lang w:val="sl"/>
        </w:rPr>
      </w:pPr>
      <w:r>
        <w:rPr>
          <w:lang w:val="sl"/>
        </w:rPr>
        <w:fldChar w:fldCharType="begin"/>
      </w:r>
      <w:r>
        <w:rPr>
          <w:lang w:val="sl"/>
        </w:rPr>
        <w:instrText xml:space="preserve"> SEQ level0 \*arabic </w:instrText>
      </w:r>
      <w:r>
        <w:rPr>
          <w:lang w:val="sl"/>
        </w:rPr>
        <w:fldChar w:fldCharType="separate"/>
      </w:r>
      <w:r w:rsidR="00425DCA">
        <w:rPr>
          <w:noProof/>
          <w:lang w:val="sl"/>
        </w:rPr>
        <w:t>14</w:t>
      </w:r>
      <w:r>
        <w:rPr>
          <w:lang w:val="sl"/>
        </w:rPr>
        <w:fldChar w:fldCharType="end"/>
      </w:r>
      <w:r>
        <w:rPr>
          <w:lang w:val="sl"/>
        </w:rPr>
        <w:t xml:space="preserve">.  Pritožnikov brat M. Š. je v izjavi, ki jo je dal 26. junija 2002, priznal umor H. C. Z. Preiskovalni sodnik ga je zaslišal 21. avgusta 2002 in M. Š. je izjavil, da ga je prihod H. C. Z. in E. M. L. zbudil. Da bi se zavaroval pred pritožnikovimi poslovnimi konkurenti, je prejšnji dan kupil pištolo, ki jo je dal pod blazino. Ko je zaslišal obiskovalce, si je M. Š. zataknil pištolo za pas in vstal iz postelje. Vrata v spalnico so se nenadoma odprla in v sobo je vstopil H. C. Z., pri vratih pa je stal moški temnejše polti (E. M. L.), ki je nekaj držal v roki. M. Š. je slišal nekoga reči "pištolo ima", kar je razumel tako, da je E. M. L. tisti, ki drži pištolo. M. Š. je potegnil svojo pištolo in jo uperil v H. C. Z., da bi pokazal, da se bo branil, če bo napaden. Vendar se je H. C. Z. zasmejal in se mu približal, zato je M. Š. izstrelil opozorilni strel v tla. H. C. Z. je kljub temu prišel čisto k njemu in ga udaril po obrazu. M. Š. je nato ustrelil proti njemu v samoobrambi; H. C. Z. ga je kljub temu napadel </w:t>
      </w:r>
      <w:r>
        <w:rPr>
          <w:lang w:val="sl"/>
        </w:rPr>
        <w:lastRenderedPageBreak/>
        <w:t>in ga poskušal poriniti na tla. Ko se je M. Š. uspelo iztrgati iz prijema H. C. Z., je spet ustrelil in tokrat zadel H. C. Z., ki se je opotekel proč in padel na posteljo. M. Š. je izjavil, da je držal pištolo v višini pasu in se hkrati skušal iztrgati iz prijema H. C. Z. ter da so bili streli izstreljeni iz tega položaja.</w:t>
      </w:r>
    </w:p>
    <w:p w:rsidR="005E3965" w:rsidRPr="0039748E" w:rsidRDefault="00E96122" w:rsidP="001D3AE1">
      <w:pPr>
        <w:pStyle w:val="ECHRPara"/>
        <w:rPr>
          <w:lang w:val="sl"/>
        </w:rPr>
      </w:pPr>
      <w:r>
        <w:rPr>
          <w:lang w:val="sl"/>
        </w:rPr>
        <w:fldChar w:fldCharType="begin"/>
      </w:r>
      <w:r>
        <w:rPr>
          <w:lang w:val="sl"/>
        </w:rPr>
        <w:instrText xml:space="preserve"> SEQ level0 \*arabic </w:instrText>
      </w:r>
      <w:r>
        <w:rPr>
          <w:lang w:val="sl"/>
        </w:rPr>
        <w:fldChar w:fldCharType="separate"/>
      </w:r>
      <w:r w:rsidR="00425DCA">
        <w:rPr>
          <w:noProof/>
          <w:lang w:val="sl"/>
        </w:rPr>
        <w:t>15</w:t>
      </w:r>
      <w:r>
        <w:rPr>
          <w:lang w:val="sl"/>
        </w:rPr>
        <w:fldChar w:fldCharType="end"/>
      </w:r>
      <w:r>
        <w:rPr>
          <w:lang w:val="sl"/>
        </w:rPr>
        <w:t>.  Po pričevanju M. Š. sta bila v spalnici le on in H. C. Z., pritožnika in A. S. pa je E. M. L. prisili</w:t>
      </w:r>
      <w:r w:rsidR="00BC3B50">
        <w:rPr>
          <w:lang w:val="sl"/>
        </w:rPr>
        <w:t>l</w:t>
      </w:r>
      <w:r>
        <w:rPr>
          <w:lang w:val="sl"/>
        </w:rPr>
        <w:t>, da sta se ulegla na tla. Ko je M. Š. pogledal v drugo sobo, sta ravno vstajala. Pritožnik in A. S. sta povedala M. Š., da pred vilo stoji še ena oseba. Vsi so bili prestrašeni, zato so pospravili svoje stvari in se odpeljali. M. Š. je še dodal, da je pištolo vrgel proč, ko so se prvič ustavili na avtocesti še v Češki republiki.</w:t>
      </w:r>
    </w:p>
    <w:p w:rsidR="005E3965" w:rsidRPr="0039748E" w:rsidRDefault="006A62C6" w:rsidP="001D3AE1">
      <w:pPr>
        <w:pStyle w:val="ECHRPara"/>
        <w:rPr>
          <w:lang w:val="sl"/>
        </w:rPr>
      </w:pPr>
      <w:r>
        <w:rPr>
          <w:lang w:val="sl"/>
        </w:rPr>
        <w:fldChar w:fldCharType="begin"/>
      </w:r>
      <w:r>
        <w:rPr>
          <w:lang w:val="sl"/>
        </w:rPr>
        <w:instrText xml:space="preserve"> SEQ level0 \*arabic </w:instrText>
      </w:r>
      <w:r>
        <w:rPr>
          <w:lang w:val="sl"/>
        </w:rPr>
        <w:fldChar w:fldCharType="separate"/>
      </w:r>
      <w:r w:rsidR="00425DCA">
        <w:rPr>
          <w:noProof/>
          <w:lang w:val="sl"/>
        </w:rPr>
        <w:t>16</w:t>
      </w:r>
      <w:r>
        <w:rPr>
          <w:lang w:val="sl"/>
        </w:rPr>
        <w:fldChar w:fldCharType="end"/>
      </w:r>
      <w:r>
        <w:rPr>
          <w:lang w:val="sl"/>
        </w:rPr>
        <w:t>.  Preiskovalni sodnik je 20. septembra 2002 zaslišal A. S., ki je izjavil, da je odprl vrata, ko je pozvonilo. Pritožnik je prav tako prišel iz spalnice. H. C. Z. in E. M. L. sta vstopila v vilo in E. M. L. je ukazal A. S. in pritožniku, naj ležeta na tla na hodniku. E. M. L. je imel v rokah pištolo. H. C. Z. je šel naprej v dnevno sobo. A. S. je nato slišal dva ali tri strele, ki so bili izstreljeni v vili. Počakal je nekaj trenutkov in ko je dvignil glavo, E. M. L. ni bilo več. M. Š. je prišel na hodnik s pištolo v roki. Pritožnik, A. S. in M. Š. so šli nato v spalnico, da bi preverili, kako je s H. C. Z., in ga našli mrtvega.</w:t>
      </w:r>
    </w:p>
    <w:p w:rsidR="00AC031D" w:rsidRPr="0039748E" w:rsidRDefault="00581222" w:rsidP="001D3AE1">
      <w:pPr>
        <w:pStyle w:val="ECHRHeading2"/>
        <w:rPr>
          <w:lang w:val="de-DE"/>
        </w:rPr>
      </w:pPr>
      <w:r>
        <w:rPr>
          <w:lang w:val="sl"/>
        </w:rPr>
        <w:t>D. Prvi del kazenskega postopka</w:t>
      </w:r>
    </w:p>
    <w:p w:rsidR="005E3965" w:rsidRPr="0039748E" w:rsidRDefault="00252B6D" w:rsidP="001D3AE1">
      <w:pPr>
        <w:pStyle w:val="ECHRPara"/>
        <w:rPr>
          <w:lang w:val="sl"/>
        </w:rPr>
      </w:pPr>
      <w:r>
        <w:rPr>
          <w:lang w:val="sl"/>
        </w:rPr>
        <w:fldChar w:fldCharType="begin"/>
      </w:r>
      <w:r>
        <w:rPr>
          <w:lang w:val="sl"/>
        </w:rPr>
        <w:instrText xml:space="preserve"> SEQ level0 \*arabic </w:instrText>
      </w:r>
      <w:r>
        <w:rPr>
          <w:lang w:val="sl"/>
        </w:rPr>
        <w:fldChar w:fldCharType="separate"/>
      </w:r>
      <w:r w:rsidR="00425DCA">
        <w:rPr>
          <w:noProof/>
          <w:lang w:val="sl"/>
        </w:rPr>
        <w:t>17</w:t>
      </w:r>
      <w:r>
        <w:rPr>
          <w:lang w:val="sl"/>
        </w:rPr>
        <w:fldChar w:fldCharType="end"/>
      </w:r>
      <w:r>
        <w:rPr>
          <w:lang w:val="sl"/>
        </w:rPr>
        <w:t>.  Okrožno državno tožilstvo je 1. oktobra 2002 proti pritožniku vložilo obtožnico za umor. Na glavni obravnavi pred Okrožnim sodiščem v Novem mestu je pritožnik spremenil svojo izjavo in trdil, da je bil takrat, ko je pozvonilo, v spalnici, kjer je zbiral z dejavnostjo povezane dokumente, njegov brat M. Š. pa je ležal na postelji. Slišal je sikajoče glasove iz druge sobe in šel pogledat, kaj se dogaja, vendar ga je pri spalničnih vratih ustavil H. C. Z., ki ga je z eno roko zgrabil za prsni koš, z drugo pa je dal znak E. M. L. H. C. Z. je zvlekel pritožnika iz spalnice in skozi dnevno sobo, nato pa šel nazaj v spalnico. Pritožnik je videl svojega brata, ko je vstal iz postelje in uperil svojo pištolo v H. C. Z. Medtem je E. M. L., ki je imel v roki pištolo, ukazal pritožniku, naj leže na tla. Pritožnik je pokleknil in videl H. C. Z. udariti M. Š. v spalnici ter da M. Š. drži pištolo. Nato je slišal štiri strele. Ko je streljanje prenehalo, je E. M. L. zbežal kričeč, da je z vsemi konec. Pritožnik, ki mu je sledil ven, je videl silhueto drugega moškega, ki je stal poleg zunaj parkiranega avtomobila. Pritožnik, M. Š. in A. S. so se bali maščevanja za smrt H. C. Z., zato so hitro pobegnili.</w:t>
      </w:r>
    </w:p>
    <w:p w:rsidR="000B359B" w:rsidRPr="0039748E" w:rsidRDefault="0036364A" w:rsidP="001D3AE1">
      <w:pPr>
        <w:pStyle w:val="ECHRPara"/>
        <w:rPr>
          <w:lang w:val="sl"/>
        </w:rPr>
      </w:pPr>
      <w:r>
        <w:rPr>
          <w:lang w:val="sl"/>
        </w:rPr>
        <w:fldChar w:fldCharType="begin"/>
      </w:r>
      <w:r>
        <w:rPr>
          <w:lang w:val="sl"/>
        </w:rPr>
        <w:instrText xml:space="preserve"> SEQ level0 \*arabic </w:instrText>
      </w:r>
      <w:r>
        <w:rPr>
          <w:lang w:val="sl"/>
        </w:rPr>
        <w:fldChar w:fldCharType="separate"/>
      </w:r>
      <w:r w:rsidR="00425DCA">
        <w:rPr>
          <w:noProof/>
          <w:lang w:val="sl"/>
        </w:rPr>
        <w:t>18</w:t>
      </w:r>
      <w:r>
        <w:rPr>
          <w:lang w:val="sl"/>
        </w:rPr>
        <w:fldChar w:fldCharType="end"/>
      </w:r>
      <w:r>
        <w:rPr>
          <w:lang w:val="sl"/>
        </w:rPr>
        <w:t>.  Ko je bil pritožnik opozorjen na neskladnosti med svojo prejšnjo izjavo, ki jo je dal med preiskavo, in opisom poteka dogodkov, ki ga je dal na glavni obravnavi, je pritožnik pojasnil, da ni želel svojega brata vplesti v smrt H. C. Z. in da je bil slabega zdravja, ko je dal prejšnjo izjavo.</w:t>
      </w:r>
    </w:p>
    <w:p w:rsidR="005E3965" w:rsidRPr="0039748E" w:rsidRDefault="00492317" w:rsidP="001D3AE1">
      <w:pPr>
        <w:pStyle w:val="ECHRPara"/>
        <w:rPr>
          <w:lang w:val="sl"/>
        </w:rPr>
      </w:pPr>
      <w:r>
        <w:rPr>
          <w:lang w:val="sl"/>
        </w:rPr>
        <w:fldChar w:fldCharType="begin"/>
      </w:r>
      <w:r>
        <w:rPr>
          <w:lang w:val="sl"/>
        </w:rPr>
        <w:instrText xml:space="preserve"> SEQ level0 \*arabic </w:instrText>
      </w:r>
      <w:r>
        <w:rPr>
          <w:lang w:val="sl"/>
        </w:rPr>
        <w:fldChar w:fldCharType="separate"/>
      </w:r>
      <w:r w:rsidR="00425DCA">
        <w:rPr>
          <w:noProof/>
          <w:lang w:val="sl"/>
        </w:rPr>
        <w:t>19</w:t>
      </w:r>
      <w:r>
        <w:rPr>
          <w:lang w:val="sl"/>
        </w:rPr>
        <w:fldChar w:fldCharType="end"/>
      </w:r>
      <w:r>
        <w:rPr>
          <w:lang w:val="sl"/>
        </w:rPr>
        <w:t xml:space="preserve">.  Pritožnikov brat M. Š. je ponovno trdil, da je pištolo, s katero je ustrelil H. C. Z., vrgel proč, ko so prišli do avtoceste in so se počutili bolj varne. M. Š. je tudi trdil, da ni menil, da bi ga lahko zamenjali za njegovega </w:t>
      </w:r>
      <w:r>
        <w:rPr>
          <w:lang w:val="sl"/>
        </w:rPr>
        <w:lastRenderedPageBreak/>
        <w:t>brata, saj je pritožnik močneje grajene postave in je bil oblečen v boljša oblačila.</w:t>
      </w:r>
    </w:p>
    <w:p w:rsidR="00BE2A07" w:rsidRPr="0039748E" w:rsidRDefault="00000C7E" w:rsidP="001D3AE1">
      <w:pPr>
        <w:pStyle w:val="ECHRPara"/>
        <w:rPr>
          <w:lang w:val="sl"/>
        </w:rPr>
      </w:pPr>
      <w:r>
        <w:rPr>
          <w:lang w:val="sl"/>
        </w:rPr>
        <w:fldChar w:fldCharType="begin"/>
      </w:r>
      <w:r>
        <w:rPr>
          <w:lang w:val="sl"/>
        </w:rPr>
        <w:instrText xml:space="preserve"> SEQ level0 \*arabic </w:instrText>
      </w:r>
      <w:r>
        <w:rPr>
          <w:lang w:val="sl"/>
        </w:rPr>
        <w:fldChar w:fldCharType="separate"/>
      </w:r>
      <w:r w:rsidR="00425DCA">
        <w:rPr>
          <w:noProof/>
          <w:lang w:val="sl"/>
        </w:rPr>
        <w:t>20</w:t>
      </w:r>
      <w:r>
        <w:rPr>
          <w:lang w:val="sl"/>
        </w:rPr>
        <w:fldChar w:fldCharType="end"/>
      </w:r>
      <w:r>
        <w:rPr>
          <w:lang w:val="sl"/>
        </w:rPr>
        <w:t>.  Na podlagi forenzične analize kraja storitve kaznivega dejanja in spisa zadeve, ki so ga češki organi predložili slovenskim, je izvedenec za balistiko F. S. pripravil forenzično balistično poročilo. Ugotovil je, da je imel H. C. Z. tri strelne rane, en strel ga je od spredaj zadel v prsi, drugi v desno stran trebuha in tretji v levo roko. Izvedenec je ugotovil, da je bil H. C. Z. ustreljen v trebuh z razdalje manj kot 10 cm; vendar se ob zadetku cev pištole ni dotikala njegovega telesa. Krogli, ki sta H. C. Z. zadeli v levo roko in prsi, sta bili izstreljeni z razdalje več kot 50 cm. Glede na to, da so bili na kraju storitve kaznivega dejanja najdeni dve krogli in trije tulci, je F. S. domneval, da je en strel zadel steno bodisi neposredno ali po tem, ko je ranil levo roko H. C. Z., ter da je sila zadetka povzročila zdrobitev krogle. Še eno kroglo so našli v prsih H. C. Z., tista pa, ki je vstopila v njegov trebuh, je izstopila iz njegovega telesa pod lopatico. Po mnenju izvedenca je H. C. Z. med streljanjem vstopal v sobo, strelec pa je bil v sobi in je vse tri strele izstrelil stoje. Glede na to je F. menil, da je potek dogodkov, kakor ga je opisal E. M. L., mogoč in verjetnejši od poteka dogodkov, kakor ga je opisal M. Š., ki sploh ni možen. Noben strel ni bil izstreljen v tla, prav tako noben strel ni bil izstreljen, ko sta bila strelec in H. C. Z. v neposrednem stiku, kakor je opisal M. Š.</w:t>
      </w:r>
    </w:p>
    <w:p w:rsidR="005E3965" w:rsidRPr="0039748E" w:rsidRDefault="0097369D" w:rsidP="001D3AE1">
      <w:pPr>
        <w:pStyle w:val="ECHRPara"/>
        <w:rPr>
          <w:lang w:val="sl"/>
        </w:rPr>
      </w:pPr>
      <w:r>
        <w:rPr>
          <w:lang w:val="sl"/>
        </w:rPr>
        <w:fldChar w:fldCharType="begin"/>
      </w:r>
      <w:r>
        <w:rPr>
          <w:lang w:val="sl"/>
        </w:rPr>
        <w:instrText xml:space="preserve"> SEQ level0 \*arabic </w:instrText>
      </w:r>
      <w:r>
        <w:rPr>
          <w:lang w:val="sl"/>
        </w:rPr>
        <w:fldChar w:fldCharType="separate"/>
      </w:r>
      <w:r w:rsidR="00425DCA">
        <w:rPr>
          <w:noProof/>
          <w:lang w:val="sl"/>
        </w:rPr>
        <w:t>21</w:t>
      </w:r>
      <w:r>
        <w:rPr>
          <w:lang w:val="sl"/>
        </w:rPr>
        <w:fldChar w:fldCharType="end"/>
      </w:r>
      <w:r>
        <w:rPr>
          <w:lang w:val="sl"/>
        </w:rPr>
        <w:t>.  Pripravljeno je bilo zdravniško poročilo o vzroku smrti H. C. Z., prav tako na podlagi češkega spisa zadeve. Medicinski izvedenec A. Š. je ugotovil, da je H. C. Z. umrl zaradi notranje krvavitve, ki jo je povzročila poškodba zaradi strelnih ran v telesu. Zadeli sta ga dve ali so ga zadele tri krogle, dvakrat z razdalje več kot 50 cm in enkrat z razdalje manj kot 10 cm. Glede na smer krogel in kot njihovega vstopa v telo H. C. Z. je A. Š. sklepal, da sta strelec in žrtev stala obrnjena drug proti drugemu in da je bila žrtev približno 20 cm višja od strelca. A. Š. je tudi potrdil, da se poškodbe telesa H. C. Z. skladajo s potekom dogodkov po opisu E, M. L., medtem ko se potek dogodkov po opisu M. Š. ne ujema s forenzičnimi ugotovitvami.</w:t>
      </w:r>
    </w:p>
    <w:p w:rsidR="005E3965" w:rsidRPr="0039748E" w:rsidRDefault="0066693C" w:rsidP="001D3AE1">
      <w:pPr>
        <w:pStyle w:val="ECHRPara"/>
        <w:rPr>
          <w:lang w:val="sl"/>
        </w:rPr>
      </w:pPr>
      <w:r>
        <w:rPr>
          <w:lang w:val="sl"/>
        </w:rPr>
        <w:fldChar w:fldCharType="begin"/>
      </w:r>
      <w:r>
        <w:rPr>
          <w:lang w:val="sl"/>
        </w:rPr>
        <w:instrText xml:space="preserve"> SEQ level0 \*arabic </w:instrText>
      </w:r>
      <w:r>
        <w:rPr>
          <w:lang w:val="sl"/>
        </w:rPr>
        <w:fldChar w:fldCharType="separate"/>
      </w:r>
      <w:r w:rsidR="00425DCA">
        <w:rPr>
          <w:noProof/>
          <w:lang w:val="sl"/>
        </w:rPr>
        <w:t>22</w:t>
      </w:r>
      <w:r>
        <w:rPr>
          <w:lang w:val="sl"/>
        </w:rPr>
        <w:fldChar w:fldCharType="end"/>
      </w:r>
      <w:r>
        <w:rPr>
          <w:lang w:val="sl"/>
        </w:rPr>
        <w:t>.  E. M. L. je bil povabljen na glavno obravnavo, vendar ni prišel. Pritožnik je kljub temu zahteval, da se mu omogoči njegovo zaslišanje zaradi razjasnitve okoliščin streljanja in natančnega položaja vseh, ki so bili v spalnici v času dogodka. M. S. in dve drugi priči prav tako niso bili na glavni obravnavi. Prvostopenjsko sodišče je odločilo, da se preberejo izjave, ki so jih dali med preiskavo.</w:t>
      </w:r>
    </w:p>
    <w:p w:rsidR="005E3965" w:rsidRPr="0039748E" w:rsidRDefault="00D805CC" w:rsidP="001D3AE1">
      <w:pPr>
        <w:pStyle w:val="ECHRPara"/>
        <w:rPr>
          <w:lang w:val="sl"/>
        </w:rPr>
      </w:pPr>
      <w:r>
        <w:rPr>
          <w:lang w:val="sl"/>
        </w:rPr>
        <w:fldChar w:fldCharType="begin"/>
      </w:r>
      <w:r>
        <w:rPr>
          <w:lang w:val="sl"/>
        </w:rPr>
        <w:instrText xml:space="preserve"> SEQ level0 \*arabic </w:instrText>
      </w:r>
      <w:r>
        <w:rPr>
          <w:lang w:val="sl"/>
        </w:rPr>
        <w:fldChar w:fldCharType="separate"/>
      </w:r>
      <w:r w:rsidR="00425DCA">
        <w:rPr>
          <w:noProof/>
          <w:lang w:val="sl"/>
        </w:rPr>
        <w:t>23</w:t>
      </w:r>
      <w:r>
        <w:rPr>
          <w:lang w:val="sl"/>
        </w:rPr>
        <w:fldChar w:fldCharType="end"/>
      </w:r>
      <w:r>
        <w:rPr>
          <w:lang w:val="sl"/>
        </w:rPr>
        <w:t>.  Okrožno sodišče v Novem mestu je 17. januarja 2003 spoznalo pritožnika za krivega umora H. C. Z. in ga obsodilo na trinajst let zapora.</w:t>
      </w:r>
    </w:p>
    <w:p w:rsidR="00D805CC" w:rsidRPr="0039748E" w:rsidRDefault="00D805CC" w:rsidP="001D3AE1">
      <w:pPr>
        <w:pStyle w:val="ECHRPara"/>
        <w:rPr>
          <w:lang w:val="sl"/>
        </w:rPr>
      </w:pPr>
      <w:r>
        <w:rPr>
          <w:lang w:val="sl"/>
        </w:rPr>
        <w:fldChar w:fldCharType="begin"/>
      </w:r>
      <w:r>
        <w:rPr>
          <w:lang w:val="sl"/>
        </w:rPr>
        <w:instrText xml:space="preserve"> SEQ level0 \*arabic </w:instrText>
      </w:r>
      <w:r>
        <w:rPr>
          <w:lang w:val="sl"/>
        </w:rPr>
        <w:fldChar w:fldCharType="separate"/>
      </w:r>
      <w:r w:rsidR="00425DCA">
        <w:rPr>
          <w:noProof/>
          <w:lang w:val="sl"/>
        </w:rPr>
        <w:t>24</w:t>
      </w:r>
      <w:r>
        <w:rPr>
          <w:lang w:val="sl"/>
        </w:rPr>
        <w:fldChar w:fldCharType="end"/>
      </w:r>
      <w:r>
        <w:rPr>
          <w:lang w:val="sl"/>
        </w:rPr>
        <w:t>.  Okrožni tožilec in pritožnik sta se pritožila na sodbo in 12. junija 2003 je Višje sodišče v Ljubljani ugodilo tožilčevi pritožbi in podaljšalo pritožnikovo zaporno kazen na petnajst let.</w:t>
      </w:r>
    </w:p>
    <w:p w:rsidR="005E3965" w:rsidRPr="0039748E" w:rsidRDefault="00D805CC" w:rsidP="001D3AE1">
      <w:pPr>
        <w:pStyle w:val="ECHRPara"/>
        <w:rPr>
          <w:lang w:val="sl"/>
        </w:rPr>
      </w:pPr>
      <w:r>
        <w:rPr>
          <w:lang w:val="sl"/>
        </w:rPr>
        <w:fldChar w:fldCharType="begin"/>
      </w:r>
      <w:r>
        <w:rPr>
          <w:lang w:val="sl"/>
        </w:rPr>
        <w:instrText xml:space="preserve"> SEQ level0 \*arabic </w:instrText>
      </w:r>
      <w:r>
        <w:rPr>
          <w:lang w:val="sl"/>
        </w:rPr>
        <w:fldChar w:fldCharType="separate"/>
      </w:r>
      <w:r w:rsidR="00425DCA">
        <w:rPr>
          <w:noProof/>
          <w:lang w:val="sl"/>
        </w:rPr>
        <w:t>25</w:t>
      </w:r>
      <w:r>
        <w:rPr>
          <w:lang w:val="sl"/>
        </w:rPr>
        <w:fldChar w:fldCharType="end"/>
      </w:r>
      <w:r>
        <w:rPr>
          <w:lang w:val="sl"/>
        </w:rPr>
        <w:t xml:space="preserve">.  Pritožnik je nato pri vrhovnem sodišču vložil zahtevo za varstvo zakonitosti (predlog za revizijo, izredno pravno sredstvo), ki ji je bilo </w:t>
      </w:r>
      <w:r>
        <w:rPr>
          <w:lang w:val="sl"/>
        </w:rPr>
        <w:lastRenderedPageBreak/>
        <w:t>ugodeno 19. maja 2005. Ugotovljeno je bilo, da je pritožnikova pritožba, da bi mu moralo biti omogočeno zaslišati E. M. L. in druge tuje priče, utemeljena, in zadeva je bila vrnjena okrožnemu sodišču v ponovno obravnavo z navodilom, da se pritožniku omogoči zaslišanje E. M. L., ki je veljal za ključno pričo v postopku proti njemu.</w:t>
      </w:r>
    </w:p>
    <w:p w:rsidR="005E3965" w:rsidRPr="0039748E" w:rsidRDefault="00581222" w:rsidP="001D3AE1">
      <w:pPr>
        <w:pStyle w:val="ECHRHeading2"/>
        <w:rPr>
          <w:lang w:val="de-DE"/>
        </w:rPr>
      </w:pPr>
      <w:r>
        <w:rPr>
          <w:lang w:val="sl"/>
        </w:rPr>
        <w:t>E.  Drugi del kazenskega postopka</w:t>
      </w:r>
    </w:p>
    <w:p w:rsidR="002A708F" w:rsidRPr="0039748E" w:rsidRDefault="00F76B6F" w:rsidP="001D3AE1">
      <w:pPr>
        <w:pStyle w:val="ECHRPara"/>
        <w:rPr>
          <w:lang w:val="sl"/>
        </w:rPr>
      </w:pPr>
      <w:r>
        <w:rPr>
          <w:lang w:val="sl"/>
        </w:rPr>
        <w:fldChar w:fldCharType="begin"/>
      </w:r>
      <w:r>
        <w:rPr>
          <w:lang w:val="sl"/>
        </w:rPr>
        <w:instrText xml:space="preserve"> SEQ level0 \*arabic </w:instrText>
      </w:r>
      <w:r>
        <w:rPr>
          <w:lang w:val="sl"/>
        </w:rPr>
        <w:fldChar w:fldCharType="separate"/>
      </w:r>
      <w:r w:rsidR="00425DCA">
        <w:rPr>
          <w:noProof/>
          <w:lang w:val="sl"/>
        </w:rPr>
        <w:t>26</w:t>
      </w:r>
      <w:r>
        <w:rPr>
          <w:lang w:val="sl"/>
        </w:rPr>
        <w:fldChar w:fldCharType="end"/>
      </w:r>
      <w:r>
        <w:rPr>
          <w:lang w:val="sl"/>
        </w:rPr>
        <w:t>.  Med ponovnim sojenjem je Okrožno sodišče v Novem mestu pridobilo balistično poročilo čeških izvedencev, ki se je ujemalo s sklepi slovenskega izvedenca F. S. glede števila strelov in poti krogel. Pritožnik, ki je bil takrat spet na prostosti, je pridobil poročilo drugega izvedenca za balistiko V. M., ki je kritiziral nekatere točke poročila izvedenca F. S. V. M. je zlasti menil, da bi bili streli lahko izstreljeni s krajše razdalje, kakor jo je določil F. S., in da razpoložljivi stvarni dokazi ne podpirajo sklepa F. S., da je H. C. Z. v času zadetka stal. Glede na to je pritožnik zahteval, da okrožno sodišče imenuje novega izvedenca za balistiko in pripravi posebno tridimenzionalno rekonstrukcijo kraja storitve kaznivega dejanja.</w:t>
      </w:r>
    </w:p>
    <w:p w:rsidR="005E3965" w:rsidRPr="0039748E" w:rsidRDefault="008559F1" w:rsidP="001D3AE1">
      <w:pPr>
        <w:pStyle w:val="ECHRPara"/>
        <w:rPr>
          <w:lang w:val="sl"/>
        </w:rPr>
      </w:pPr>
      <w:r>
        <w:rPr>
          <w:lang w:val="sl"/>
        </w:rPr>
        <w:fldChar w:fldCharType="begin"/>
      </w:r>
      <w:r>
        <w:rPr>
          <w:lang w:val="sl"/>
        </w:rPr>
        <w:instrText xml:space="preserve"> SEQ level0 \*arabic </w:instrText>
      </w:r>
      <w:r>
        <w:rPr>
          <w:lang w:val="sl"/>
        </w:rPr>
        <w:fldChar w:fldCharType="separate"/>
      </w:r>
      <w:r w:rsidR="00425DCA">
        <w:rPr>
          <w:noProof/>
          <w:lang w:val="sl"/>
        </w:rPr>
        <w:t>27</w:t>
      </w:r>
      <w:r>
        <w:rPr>
          <w:lang w:val="sl"/>
        </w:rPr>
        <w:fldChar w:fldCharType="end"/>
      </w:r>
      <w:r>
        <w:rPr>
          <w:lang w:val="sl"/>
        </w:rPr>
        <w:t>.  Okrožno sodišče je povabilo E. M. L., M. S. in A. B., ki je bil prav tako vpleten v ponujanje internetnih storitev z interaktivno spolno vsebino, da pričajo na obravnavi, razpisani za 15. november 2005. Vendar na ta dan nobena od prič ni prišla na sodišče, zato je okrožno sodišče zahtevalo pravno pomoč od čeških in nizozemskih sodnih organov ter jih prosilo, da zaslišijo te tri priče v prisotnosti pritožnika.</w:t>
      </w:r>
    </w:p>
    <w:p w:rsidR="002A708F" w:rsidRPr="0039748E" w:rsidRDefault="006709BB" w:rsidP="001D3AE1">
      <w:pPr>
        <w:pStyle w:val="ECHRPara"/>
        <w:rPr>
          <w:lang w:val="fr-FR"/>
        </w:rPr>
      </w:pPr>
      <w:r>
        <w:rPr>
          <w:lang w:val="sl"/>
        </w:rPr>
        <w:fldChar w:fldCharType="begin"/>
      </w:r>
      <w:r>
        <w:rPr>
          <w:lang w:val="sl"/>
        </w:rPr>
        <w:instrText xml:space="preserve"> SEQ level0 \*arabic </w:instrText>
      </w:r>
      <w:r>
        <w:rPr>
          <w:lang w:val="sl"/>
        </w:rPr>
        <w:fldChar w:fldCharType="separate"/>
      </w:r>
      <w:r w:rsidR="00425DCA">
        <w:rPr>
          <w:noProof/>
          <w:lang w:val="sl"/>
        </w:rPr>
        <w:t>28</w:t>
      </w:r>
      <w:r>
        <w:rPr>
          <w:lang w:val="sl"/>
        </w:rPr>
        <w:fldChar w:fldCharType="end"/>
      </w:r>
      <w:r>
        <w:rPr>
          <w:lang w:val="sl"/>
        </w:rPr>
        <w:t>.  Okrajno sodišče v Hradcu Královu v Češki republiki je 13. januarja 2006 zaslišalo M. S. v prisotnosti pritožnika in njegove zagovornice. M. S. je ponovno izjavila, da sta na večer obravnavanih dogodkov H.</w:t>
      </w:r>
      <w:r w:rsidR="00BC3B50">
        <w:rPr>
          <w:lang w:val="sl"/>
        </w:rPr>
        <w:t xml:space="preserve"> </w:t>
      </w:r>
      <w:r>
        <w:rPr>
          <w:lang w:val="sl"/>
        </w:rPr>
        <w:t xml:space="preserve">C. Z. in E. M. L. prišla v dnevno sobo in vprašala po pritožniku. Nato je šel H. C. Z. v spalnico, E. M. L. pa se je ustavil pri vratih. M. S. se ni spomnila, da bi slišala kakšne glasove, a takoj ko je H. C. Z. stopil v spalnico, je slišala od štiri </w:t>
      </w:r>
      <w:r w:rsidR="00CE48F9">
        <w:rPr>
          <w:lang w:val="sl"/>
        </w:rPr>
        <w:t xml:space="preserve">do </w:t>
      </w:r>
      <w:r>
        <w:rPr>
          <w:lang w:val="sl"/>
        </w:rPr>
        <w:t>pet strelov, ki so bili izstreljeni v spalnici. M. S. je prestrašena odšla v kot sobe in videla E. M. L., kako teče skozi sobo, sledili pa so mu pritožnik, A. S. in M. Š., ki je držal pištolo. Vendar je M. S. poudarila, da ni videla v spalnico in ne more reči, kdo je izstrelil strele.</w:t>
      </w:r>
    </w:p>
    <w:p w:rsidR="00454DFE" w:rsidRPr="0039748E" w:rsidRDefault="003500DD" w:rsidP="001D3AE1">
      <w:pPr>
        <w:pStyle w:val="ECHRPara"/>
        <w:rPr>
          <w:lang w:val="sl"/>
        </w:rPr>
      </w:pPr>
      <w:r>
        <w:rPr>
          <w:lang w:val="sl"/>
        </w:rPr>
        <w:fldChar w:fldCharType="begin"/>
      </w:r>
      <w:r>
        <w:rPr>
          <w:lang w:val="sl"/>
        </w:rPr>
        <w:instrText xml:space="preserve"> SEQ level0 \*arabic </w:instrText>
      </w:r>
      <w:r>
        <w:rPr>
          <w:lang w:val="sl"/>
        </w:rPr>
        <w:fldChar w:fldCharType="separate"/>
      </w:r>
      <w:r w:rsidR="00425DCA">
        <w:rPr>
          <w:noProof/>
          <w:lang w:val="sl"/>
        </w:rPr>
        <w:t>29</w:t>
      </w:r>
      <w:r>
        <w:rPr>
          <w:lang w:val="sl"/>
        </w:rPr>
        <w:fldChar w:fldCharType="end"/>
      </w:r>
      <w:r>
        <w:rPr>
          <w:lang w:val="sl"/>
        </w:rPr>
        <w:t>.  Preiskovalni sodnik Regionalnega sodišča v Haagu je 28. marca 2006 zaslišal E. M. L., ki je dogodke v glavnem opisal enako kakor med preiskavo, pri tem pa ponovil, da je povsem prepričan, da je pritožnik tisti, ki je ustrelil H. C. Z., medtem ko je bil drugi moški, ki je bil zelo podoben pritožniku, prav tako v spalnici, kjer so bili izstreljeni streli. E. M. L. je izjavil, da ni pripravljen priti na sojenje v Slovenijo ali Češko republiko, ker se boji za svoje življenje, in dodal, da je pripravljen sodelovati, vendar le na Nizozemskem.</w:t>
      </w:r>
    </w:p>
    <w:p w:rsidR="005E3965" w:rsidRPr="0039748E" w:rsidRDefault="008E40D3" w:rsidP="001D3AE1">
      <w:pPr>
        <w:pStyle w:val="ECHRPara"/>
        <w:rPr>
          <w:lang w:val="fr-FR"/>
        </w:rPr>
      </w:pPr>
      <w:r>
        <w:rPr>
          <w:lang w:val="sl"/>
        </w:rPr>
        <w:t xml:space="preserve"> </w:t>
      </w:r>
      <w:r>
        <w:rPr>
          <w:lang w:val="sl"/>
        </w:rPr>
        <w:fldChar w:fldCharType="begin"/>
      </w:r>
      <w:r>
        <w:rPr>
          <w:lang w:val="sl"/>
        </w:rPr>
        <w:instrText xml:space="preserve"> SEQ level0 \*arabic </w:instrText>
      </w:r>
      <w:r>
        <w:rPr>
          <w:lang w:val="sl"/>
        </w:rPr>
        <w:fldChar w:fldCharType="separate"/>
      </w:r>
      <w:r w:rsidR="00425DCA">
        <w:rPr>
          <w:noProof/>
          <w:lang w:val="sl"/>
        </w:rPr>
        <w:t>30</w:t>
      </w:r>
      <w:r>
        <w:rPr>
          <w:lang w:val="sl"/>
        </w:rPr>
        <w:fldChar w:fldCharType="end"/>
      </w:r>
      <w:r>
        <w:rPr>
          <w:lang w:val="sl"/>
        </w:rPr>
        <w:t xml:space="preserve">.  Preiskovalni sodnik je zaslišal tudi A. B., ki je pričal, da je pritožnik delal zanj v Češki republiki, vendar je nato poskušal prevzeti njegovo </w:t>
      </w:r>
      <w:r>
        <w:rPr>
          <w:lang w:val="sl"/>
        </w:rPr>
        <w:lastRenderedPageBreak/>
        <w:t>dejavnost in mu večkrat grozil, tudi s pištolo. A. B. je tudi izjavil, da je posvaril H. C. Z. pred pritožnikom, vendar se H. C. Z. ni dal ustrahovati in je kljub temu odšel v Prago.</w:t>
      </w:r>
    </w:p>
    <w:p w:rsidR="00A55932" w:rsidRPr="0039748E" w:rsidRDefault="00D50173" w:rsidP="001D3AE1">
      <w:pPr>
        <w:pStyle w:val="ECHRPara"/>
        <w:rPr>
          <w:lang w:val="sl"/>
        </w:rPr>
      </w:pPr>
      <w:r>
        <w:rPr>
          <w:lang w:val="sl"/>
        </w:rPr>
        <w:fldChar w:fldCharType="begin"/>
      </w:r>
      <w:r>
        <w:rPr>
          <w:lang w:val="sl"/>
        </w:rPr>
        <w:instrText xml:space="preserve"> SEQ level0 \*arabic </w:instrText>
      </w:r>
      <w:r>
        <w:rPr>
          <w:lang w:val="sl"/>
        </w:rPr>
        <w:fldChar w:fldCharType="separate"/>
      </w:r>
      <w:r w:rsidR="00425DCA">
        <w:rPr>
          <w:noProof/>
          <w:lang w:val="sl"/>
        </w:rPr>
        <w:t>31</w:t>
      </w:r>
      <w:r>
        <w:rPr>
          <w:lang w:val="sl"/>
        </w:rPr>
        <w:fldChar w:fldCharType="end"/>
      </w:r>
      <w:r>
        <w:rPr>
          <w:lang w:val="sl"/>
        </w:rPr>
        <w:t>.  Na obravnavi 12. aprila 2006 je Okrožno sodišče v Novem mestu ugotovilo, da pritožnik in njegova zagovornica nista bila obveščena o zaslišanju E. M. L. in A. B. zaradi nujnosti zadeve. Sodišče se je odločilo zaprositi nizozemske organe, da pritožniku omogočijo zaslišanje teh prič; vendar preiskovalni sodnik Regionalnega sodišča v Haagu ni dovolil pritožniku, da se osebno udeleži zaslišanja, ker je presodil, da je varnost prič ogrožena in morda ne bosta želeli dati izjav. Ko je bil pritožnik obveščen o odločitvi nizozemskega preiskovalnega sodnika, je na obravnavi 16. junija 2006 vztrajal, da bi mu moralo biti omogočeno osebno soočenje z E. M. L., sicer bi bilo treba njegovo izjavo izločiti iz dokazov.</w:t>
      </w:r>
    </w:p>
    <w:p w:rsidR="00AC7801" w:rsidRPr="0039748E" w:rsidRDefault="00B757A5" w:rsidP="001D3AE1">
      <w:pPr>
        <w:pStyle w:val="ECHRPara"/>
        <w:rPr>
          <w:lang w:val="sl"/>
        </w:rPr>
      </w:pPr>
      <w:r>
        <w:rPr>
          <w:lang w:val="sl"/>
        </w:rPr>
        <w:fldChar w:fldCharType="begin"/>
      </w:r>
      <w:r>
        <w:rPr>
          <w:lang w:val="sl"/>
        </w:rPr>
        <w:instrText xml:space="preserve"> SEQ level0 \*arabic </w:instrText>
      </w:r>
      <w:r>
        <w:rPr>
          <w:lang w:val="sl"/>
        </w:rPr>
        <w:fldChar w:fldCharType="separate"/>
      </w:r>
      <w:r w:rsidR="00425DCA">
        <w:rPr>
          <w:noProof/>
          <w:lang w:val="sl"/>
        </w:rPr>
        <w:t>32</w:t>
      </w:r>
      <w:r>
        <w:rPr>
          <w:lang w:val="sl"/>
        </w:rPr>
        <w:fldChar w:fldCharType="end"/>
      </w:r>
      <w:r>
        <w:rPr>
          <w:lang w:val="sl"/>
        </w:rPr>
        <w:t>.  Drugo zaslišanje E. M. L. in A. B. 4. julija 2006 je bilo opravljeno v prisotnosti pritožnikove zagovornice, ki jima je postavila številna vprašanja, od katerih jih je nekaj prej pripravil pritožnik. Pričevanje A. B. se je nanašalo predvsem na njegovo in pritožnikovo vlogo v dejavnosti, v katero so bili vpleteni v Češki republiki. Pričevanje E. M. L. o ustrelitvi H. C. Z. je bilo večinoma v skladu z njegovimi prejšnjimi izjavami; vendar ko je bil pozvan, naj na tlorisu spalnice, v kateri se je zgodilo streljanje, pokaže, kje sta stala pritožnik in njegov brat M. Š., je pokazal prav nasprotna položaja kakor takrat, ko ga je zaslišala češka policija leta 2001 in ko ga je prvič zaslišal nizozemski preiskovalni sodnik. Ko je bil opozorjen na podobnost med pritožnikom in njegovim bratom, je odvrnil, da je v obravnavanem času zagotovo prepoznal pritožnika. Ko je bil E. M. L. vprašan, ali bi še vedno prepoznal in razlikoval pritožnika in M. Š., je odgovoril, da je pritožnika videl le dvakrat, vendar meni, da bi ga lahko prepoznal, čeprav ne more tega reči zagotovo. Priznal pa je, da ni prepričan, če bi ju še vedno lahko razlikoval, ker je pritožnikovega brata M. Š. videl le enkrat in za zelo kratek čas. Nazadnje je E. M. L. ponovno poudaril, da se ni pripravljen udeležiti sojenja v Sloveniji in dodal, da tudi ne bi pristal na zaslišanje prek video povezave, če bi to pomenilo, da bi ga pritožnik lahko videl.</w:t>
      </w:r>
    </w:p>
    <w:p w:rsidR="005E3965" w:rsidRPr="0039748E" w:rsidRDefault="007222E3" w:rsidP="001D3AE1">
      <w:pPr>
        <w:pStyle w:val="ECHRPara"/>
        <w:rPr>
          <w:lang w:val="sl"/>
        </w:rPr>
      </w:pPr>
      <w:r>
        <w:rPr>
          <w:lang w:val="sl"/>
        </w:rPr>
        <w:fldChar w:fldCharType="begin"/>
      </w:r>
      <w:r>
        <w:rPr>
          <w:lang w:val="sl"/>
        </w:rPr>
        <w:instrText xml:space="preserve"> SEQ level0 \*arabic </w:instrText>
      </w:r>
      <w:r>
        <w:rPr>
          <w:lang w:val="sl"/>
        </w:rPr>
        <w:fldChar w:fldCharType="separate"/>
      </w:r>
      <w:r w:rsidR="00425DCA">
        <w:rPr>
          <w:noProof/>
          <w:lang w:val="sl"/>
        </w:rPr>
        <w:t>33</w:t>
      </w:r>
      <w:r>
        <w:rPr>
          <w:lang w:val="sl"/>
        </w:rPr>
        <w:fldChar w:fldCharType="end"/>
      </w:r>
      <w:r>
        <w:rPr>
          <w:lang w:val="sl"/>
        </w:rPr>
        <w:t>.  Izjavi E. M. L. in A. B. sta bili pozneje prebrani na obravnavi pred Okrožnim sodiščem v Novem mestu v skladu s pravili domačega kazenskega postopka (prvi odstavek 340. člena Zakona o kazenskem postopku), ki predpisuje, da se izjava priče lahko prebere, če priča živi v tujini in ne pride na obravnavo, čeprav je bila nanjo pravilno povabljena. Potem ko je pritožnik slišal pričevanje E. M. L., je pripomnil, da je E. M. L. zamenjal položaja pritožnika in njegovega brata med streljanjem, kar pomeni, da je brata zamenjal enega z drugim.</w:t>
      </w:r>
    </w:p>
    <w:p w:rsidR="005E3965" w:rsidRPr="0039748E" w:rsidRDefault="0018667D" w:rsidP="001D3AE1">
      <w:pPr>
        <w:pStyle w:val="ECHRPara"/>
        <w:rPr>
          <w:lang w:val="sl"/>
        </w:rPr>
      </w:pPr>
      <w:r>
        <w:rPr>
          <w:lang w:val="sl"/>
        </w:rPr>
        <w:fldChar w:fldCharType="begin"/>
      </w:r>
      <w:r>
        <w:rPr>
          <w:lang w:val="sl"/>
        </w:rPr>
        <w:instrText xml:space="preserve"> SEQ level0 \*arabic </w:instrText>
      </w:r>
      <w:r>
        <w:rPr>
          <w:lang w:val="sl"/>
        </w:rPr>
        <w:fldChar w:fldCharType="separate"/>
      </w:r>
      <w:r w:rsidR="00425DCA">
        <w:rPr>
          <w:noProof/>
          <w:lang w:val="sl"/>
        </w:rPr>
        <w:t>34</w:t>
      </w:r>
      <w:r>
        <w:rPr>
          <w:lang w:val="sl"/>
        </w:rPr>
        <w:fldChar w:fldCharType="end"/>
      </w:r>
      <w:r>
        <w:rPr>
          <w:lang w:val="sl"/>
        </w:rPr>
        <w:t xml:space="preserve">.  Medtem je 24. aprila 2006 prometna policija v Šmarju pri Jelšah ustavila pritožnika in v njegovem avtu našla pištolo. Pritožnik je policistom povedal, da je bila pištola uporabljena pri umoru v Češki republiki leta 2001. Na sojenju je tudi trdil, da mu je brat M. Š. povedal, kje je leta 2001 odvrgel </w:t>
      </w:r>
      <w:r>
        <w:rPr>
          <w:lang w:val="sl"/>
        </w:rPr>
        <w:lastRenderedPageBreak/>
        <w:t>pištolo. Ko se je vračal iz Češke republike, kjer je bil na zaslišanju M. S., je pritožnik poiskal pištolo. M. Š. je podprl pritožnikov opis dogodkov, saj je povedal, da pištole ni vrgel proč, kakor je izjavil prej. V resnici jo je skril pod betonsko ploščo in pozneje narisal zemljevid, ki je prikazoval približno lokacijo pištole, da bi jo pritožnik lahko našel. Izvedenec za balistiko F. S. je ugotovil, da se pištola ujema z modelom in kalibrom orožja, uporabljenega pri umoru H. C. Z. Pištola je bila čista in naoljena, brez sledi rje ali kakršnih koli drugih nepravilnosti. F. S. je tako sklepal, da pištola ni mogla biti več let na prostem. Češki izvedenci za balistiko so potrdili, da se krogle in tulci, ki so jih dobili od slovenskih organov, ujemajo s kroglami in tulci, najdenimi na kraju storitve kaznivega dejanja in v telesu H. C. Z., ter so bili nedvomno izstreljeni iz istega orožja.</w:t>
      </w:r>
    </w:p>
    <w:p w:rsidR="005E3965" w:rsidRPr="0039748E" w:rsidRDefault="00504FD6" w:rsidP="001D3AE1">
      <w:pPr>
        <w:pStyle w:val="ECHRPara"/>
        <w:rPr>
          <w:lang w:val="sl"/>
        </w:rPr>
      </w:pPr>
      <w:r>
        <w:rPr>
          <w:lang w:val="sl"/>
        </w:rPr>
        <w:fldChar w:fldCharType="begin"/>
      </w:r>
      <w:r>
        <w:rPr>
          <w:lang w:val="sl"/>
        </w:rPr>
        <w:instrText xml:space="preserve"> SEQ level0 \*arabic </w:instrText>
      </w:r>
      <w:r>
        <w:rPr>
          <w:lang w:val="sl"/>
        </w:rPr>
        <w:fldChar w:fldCharType="separate"/>
      </w:r>
      <w:r w:rsidR="00425DCA">
        <w:rPr>
          <w:noProof/>
          <w:lang w:val="sl"/>
        </w:rPr>
        <w:t>35</w:t>
      </w:r>
      <w:r>
        <w:rPr>
          <w:lang w:val="sl"/>
        </w:rPr>
        <w:fldChar w:fldCharType="end"/>
      </w:r>
      <w:r>
        <w:rPr>
          <w:lang w:val="sl"/>
        </w:rPr>
        <w:t>.  Okrožno sodišče v Novem mestu je zaslišalo izvedenca za balistiko F. S. in medicinskega izvedenca A. Š., ki sta razložila sklepe iz svojih poročil. Pritožnik, ki ga njuni izjavi nista prepričali, je ponovno zahteval dodatno balistično analizo in tridimenzionalno rekonstrukcijo kraja storitve kaznivega dejanja, vendar je okrožno sodišče njegovo zahtevo zavrnilo.</w:t>
      </w:r>
    </w:p>
    <w:p w:rsidR="005E3965" w:rsidRPr="0039748E" w:rsidRDefault="002A233B" w:rsidP="001D3AE1">
      <w:pPr>
        <w:pStyle w:val="ECHRPara"/>
        <w:rPr>
          <w:lang w:val="sl"/>
        </w:rPr>
      </w:pPr>
      <w:r>
        <w:rPr>
          <w:lang w:val="sl"/>
        </w:rPr>
        <w:fldChar w:fldCharType="begin"/>
      </w:r>
      <w:r>
        <w:rPr>
          <w:lang w:val="sl"/>
        </w:rPr>
        <w:instrText xml:space="preserve"> SEQ level0 \*arabic </w:instrText>
      </w:r>
      <w:r>
        <w:rPr>
          <w:lang w:val="sl"/>
        </w:rPr>
        <w:fldChar w:fldCharType="separate"/>
      </w:r>
      <w:r w:rsidR="00425DCA">
        <w:rPr>
          <w:noProof/>
          <w:lang w:val="sl"/>
        </w:rPr>
        <w:t>36</w:t>
      </w:r>
      <w:r>
        <w:rPr>
          <w:lang w:val="sl"/>
        </w:rPr>
        <w:fldChar w:fldCharType="end"/>
      </w:r>
      <w:r>
        <w:rPr>
          <w:lang w:val="sl"/>
        </w:rPr>
        <w:t>.  Okrožno sodišče v Novem mestu je 12. septembra 2006 izreklo sodbo, s katero je pritožnika spoznalo za krivega umora H. C. Z. in ga obsodilo na petnajst let zapora. Ob ugotovitvi, da pritožnik ni mogel biti prisoten pri zaslišanju E. M. L. in A. B. na Nizozemskem zaradi odločitve nizozemskega preiskovalnega sodnika, kar presega pristojnosti slovenskih sodišč, je okrožno sodišče vendarle sklenilo, da pritožnikove pravice obrambe niso bile kršene, ker je bila na zaslišanju prisotna pritožnikova zagovornica, ki je obema pričama postavila tudi vprašanja, ki jih je napisal pritožnik.</w:t>
      </w:r>
    </w:p>
    <w:p w:rsidR="00921BB8" w:rsidRPr="0039748E" w:rsidRDefault="00921BB8" w:rsidP="001D3AE1">
      <w:pPr>
        <w:pStyle w:val="ECHRPara"/>
        <w:rPr>
          <w:lang w:val="sl"/>
        </w:rPr>
      </w:pPr>
      <w:r>
        <w:rPr>
          <w:lang w:val="sl"/>
        </w:rPr>
        <w:fldChar w:fldCharType="begin"/>
      </w:r>
      <w:r>
        <w:rPr>
          <w:lang w:val="sl"/>
        </w:rPr>
        <w:instrText xml:space="preserve"> SEQ level0 \*arabic </w:instrText>
      </w:r>
      <w:r>
        <w:rPr>
          <w:lang w:val="sl"/>
        </w:rPr>
        <w:fldChar w:fldCharType="separate"/>
      </w:r>
      <w:r w:rsidR="00425DCA">
        <w:rPr>
          <w:noProof/>
          <w:lang w:val="sl"/>
        </w:rPr>
        <w:t>37</w:t>
      </w:r>
      <w:r>
        <w:rPr>
          <w:lang w:val="sl"/>
        </w:rPr>
        <w:fldChar w:fldCharType="end"/>
      </w:r>
      <w:r>
        <w:rPr>
          <w:lang w:val="sl"/>
        </w:rPr>
        <w:t>.  Okrožno sodišče je tudi razložilo, da je zavrnilo pritožnikovo zahtevo za tridimenzionalno forenzično rekonstrukcijo, ker je izvedenec za balistiko F. S. pojasnil, da ta metoda v okoliščinah zadeve ne bi bila zanesljiva. Glede pritožnikove zahteve za imenovanje drugega izvedenca za balistiko pa je okrožno sodišče opozorilo, da so bili vsi dvomi, ki jih je v svojem balističnem poročilu izrazil izvedenec obrambe V. M., odpravljeni z zaslišanjem izvedencev F. S. in A. Š. na obravnavi.</w:t>
      </w:r>
    </w:p>
    <w:p w:rsidR="005E3965" w:rsidRPr="0039748E" w:rsidRDefault="007667C6" w:rsidP="001D3AE1">
      <w:pPr>
        <w:pStyle w:val="ECHRPara"/>
        <w:rPr>
          <w:lang w:val="sl"/>
        </w:rPr>
      </w:pPr>
      <w:r>
        <w:fldChar w:fldCharType="begin"/>
      </w:r>
      <w:r w:rsidRPr="0039748E">
        <w:rPr>
          <w:lang w:val="sl"/>
        </w:rPr>
        <w:instrText xml:space="preserve"> SEQ level0 \*arabic </w:instrText>
      </w:r>
      <w:r>
        <w:fldChar w:fldCharType="separate"/>
      </w:r>
      <w:r w:rsidR="00425DCA">
        <w:rPr>
          <w:noProof/>
          <w:lang w:val="sl"/>
        </w:rPr>
        <w:t>38</w:t>
      </w:r>
      <w:r>
        <w:rPr>
          <w:noProof/>
          <w:lang w:val="sl"/>
        </w:rPr>
        <w:fldChar w:fldCharType="end"/>
      </w:r>
      <w:r w:rsidR="00E35303">
        <w:rPr>
          <w:lang w:val="sl"/>
        </w:rPr>
        <w:t>.  Sodišče se je pri svojem sklepu, da je H. C. Z. ustrelil pritožnik, zanašalo na pričevanje E. M. L. Sodišče je upoštevalo, da je E. M. L., ko ga je zaslišala pritožnikova zagovornica, zamešal položaja pritožnika in M. Š. na tlorisu spalnice, vendar je kljub temu ugotovilo, da je bila njegova izjava glede identitete strelca prepričljiva, saj je poznal pritožnika in je ves čas postopka zatrjeval, da ga je videl potegniti pištolo in ustreliti v H. C. Z. Potek dogodkov po opisu E. M. L. so dodatno potrdili forenzični dokazi in pričevanje M. S. o zaporedju dogodkov. Ugotovljeno je bilo tudi, da M. S. ni videla E. M. L. nositi pištole, kar so zatrjevali pritožnik, M. Š. in A. S.</w:t>
      </w:r>
    </w:p>
    <w:p w:rsidR="00257BE8" w:rsidRPr="0039748E" w:rsidRDefault="00CF6119" w:rsidP="001D3AE1">
      <w:pPr>
        <w:pStyle w:val="ECHRPara"/>
        <w:rPr>
          <w:lang w:val="sl"/>
        </w:rPr>
      </w:pPr>
      <w:r>
        <w:rPr>
          <w:lang w:val="sl"/>
        </w:rPr>
        <w:fldChar w:fldCharType="begin"/>
      </w:r>
      <w:r>
        <w:rPr>
          <w:lang w:val="sl"/>
        </w:rPr>
        <w:instrText xml:space="preserve"> SEQ level0 \*arabic </w:instrText>
      </w:r>
      <w:r>
        <w:rPr>
          <w:lang w:val="sl"/>
        </w:rPr>
        <w:fldChar w:fldCharType="separate"/>
      </w:r>
      <w:r w:rsidR="00425DCA">
        <w:rPr>
          <w:noProof/>
          <w:lang w:val="sl"/>
        </w:rPr>
        <w:t>39</w:t>
      </w:r>
      <w:r>
        <w:rPr>
          <w:lang w:val="sl"/>
        </w:rPr>
        <w:fldChar w:fldCharType="end"/>
      </w:r>
      <w:r>
        <w:rPr>
          <w:lang w:val="sl"/>
        </w:rPr>
        <w:t xml:space="preserve">.  Glede pritožnikovega motiva za ustrelitev H. C. Z. pa je okrožno sodišče zelo podrobno preučilo njegovo vlogo v dejavnosti, v katero je bil </w:t>
      </w:r>
      <w:r>
        <w:rPr>
          <w:lang w:val="sl"/>
        </w:rPr>
        <w:lastRenderedPageBreak/>
        <w:t>vpleten, in se sklicevalo na njegov domnevni spor z nizozemskimi partnerji. Nazadnje je sodišče opozorilo na številne neskladnosti med pritožnikovimi izjavami, ki jih je dal med preiskavo in sojenjem, ter na dejstvo, da je bila pištola, s katero je bil ubit H. C. Z., najdena v posesti pritožnika. Okrožno sodišče ni verjelo izjavama pritožnika in M. Š., da je bila pištola skrita pod betonsko ploščo na češki avtocesti in da jo je pritožnik našel leta pozneje, nepoškodovano in naoljeno. Sodišče je ugotovilo, da je pričevanje M. Š. nezanesljivo. Zlasti je ugotovilo, da poteka streljanja po opisu M. Š. niso podprli forenzični dokazi, dobljeni na kraju storitve kaznivega dejanja, niti vstopne in izstopne rane, najdene na telesu H. C. Z.</w:t>
      </w:r>
    </w:p>
    <w:p w:rsidR="00EA089B" w:rsidRPr="0039748E" w:rsidRDefault="00CF6119" w:rsidP="001D3AE1">
      <w:pPr>
        <w:pStyle w:val="ECHRPara"/>
        <w:rPr>
          <w:lang w:val="sl"/>
        </w:rPr>
      </w:pPr>
      <w:r>
        <w:rPr>
          <w:lang w:val="sl"/>
        </w:rPr>
        <w:fldChar w:fldCharType="begin"/>
      </w:r>
      <w:r>
        <w:rPr>
          <w:lang w:val="sl"/>
        </w:rPr>
        <w:instrText xml:space="preserve"> SEQ level0 \*arabic </w:instrText>
      </w:r>
      <w:r>
        <w:rPr>
          <w:lang w:val="sl"/>
        </w:rPr>
        <w:fldChar w:fldCharType="separate"/>
      </w:r>
      <w:r w:rsidR="00425DCA">
        <w:rPr>
          <w:noProof/>
          <w:lang w:val="sl"/>
        </w:rPr>
        <w:t>40</w:t>
      </w:r>
      <w:r>
        <w:rPr>
          <w:lang w:val="sl"/>
        </w:rPr>
        <w:fldChar w:fldCharType="end"/>
      </w:r>
      <w:r>
        <w:rPr>
          <w:lang w:val="sl"/>
        </w:rPr>
        <w:t>.  Pritožnik se je na sodbo pritožil, pri čemer je med drugim zatrjeval, da bi mu moralo biti omogočeno osebno zaslišanje E. M. L., bodisi v sodni dvorani ali po video povezavi.</w:t>
      </w:r>
    </w:p>
    <w:p w:rsidR="00E565F2" w:rsidRPr="0039748E" w:rsidRDefault="002A233B" w:rsidP="001D3AE1">
      <w:pPr>
        <w:pStyle w:val="ECHRPara"/>
        <w:rPr>
          <w:lang w:val="sl"/>
        </w:rPr>
      </w:pPr>
      <w:r>
        <w:rPr>
          <w:lang w:val="sl"/>
        </w:rPr>
        <w:fldChar w:fldCharType="begin"/>
      </w:r>
      <w:r>
        <w:rPr>
          <w:lang w:val="sl"/>
        </w:rPr>
        <w:instrText xml:space="preserve"> SEQ level0 \*arabic </w:instrText>
      </w:r>
      <w:r>
        <w:rPr>
          <w:lang w:val="sl"/>
        </w:rPr>
        <w:fldChar w:fldCharType="separate"/>
      </w:r>
      <w:r w:rsidR="00425DCA">
        <w:rPr>
          <w:noProof/>
          <w:lang w:val="sl"/>
        </w:rPr>
        <w:t>41</w:t>
      </w:r>
      <w:r>
        <w:rPr>
          <w:lang w:val="sl"/>
        </w:rPr>
        <w:fldChar w:fldCharType="end"/>
      </w:r>
      <w:r>
        <w:rPr>
          <w:lang w:val="sl"/>
        </w:rPr>
        <w:t>.  Višje sodišče v Ljubljani je 1. februarja 2007 pritožbo zavrnilo. Ugotovilo je, da je okrožno sodišče pravilno presodilo dokaze in da pritožnikove pravice obrambe niso bile kršene, ker ni mogel osebno zaslišati E. M. L. Ugotovilo je, da so razlogi, zaradi katerih preiskovalni sodnik v Haagu ni dovolil pritožnikove prisotnosti na zaslišanju, enaki tistim iz četrtega odstavka 178. člena slovenskega zakona o kazenskem postopku. Ugotovilo je, da so bile pritožnikove pravice obrambe zavarovane s tem, da se je zaslišanja E. M. L. udeležila pritožnikova zagovornica. Navedlo je tudi, da je bilo pričevanje E. M. L. verodostojno in dosledno in ga ni izpodbijalo nobeno od izvedenskih poročil; poleg tega je njegov opis dogodkov, ki so privedli do streljanja in njegovega pobega iz vile, potrdila M. S.</w:t>
      </w:r>
    </w:p>
    <w:p w:rsidR="00241542" w:rsidRPr="0039748E" w:rsidRDefault="002A233B" w:rsidP="001D3AE1">
      <w:pPr>
        <w:pStyle w:val="ECHRPara"/>
        <w:rPr>
          <w:lang w:val="sl"/>
        </w:rPr>
      </w:pPr>
      <w:r>
        <w:rPr>
          <w:lang w:val="sl"/>
        </w:rPr>
        <w:fldChar w:fldCharType="begin"/>
      </w:r>
      <w:r>
        <w:rPr>
          <w:lang w:val="sl"/>
        </w:rPr>
        <w:instrText xml:space="preserve"> SEQ level0 \*arabic </w:instrText>
      </w:r>
      <w:r>
        <w:rPr>
          <w:lang w:val="sl"/>
        </w:rPr>
        <w:fldChar w:fldCharType="separate"/>
      </w:r>
      <w:r w:rsidR="00425DCA">
        <w:rPr>
          <w:noProof/>
          <w:lang w:val="sl"/>
        </w:rPr>
        <w:t>42</w:t>
      </w:r>
      <w:r>
        <w:rPr>
          <w:lang w:val="sl"/>
        </w:rPr>
        <w:fldChar w:fldCharType="end"/>
      </w:r>
      <w:r>
        <w:rPr>
          <w:lang w:val="sl"/>
        </w:rPr>
        <w:t>.  Vrhovno sodišče Republike Slovenije je 24. januarja 2008 odločilo o pritožnikovi zahtevi za varstvo zakonitosti. Zavrnilo je pritožnikovo pritožbo, da so bile kršene njegove pravice obrambe, ker mu ni bilo omogočeno zaslišati glavne obremenilne priče, in ugotovilo, da je bil pritožnik seznanjen s pričevanjem E. M. L. in je imel dovolj ustreznih priložnosti, da ga učinkovito izpodbija ob pomoči svoje zagovornice. V odgovor pritožnikovi trditvi, da ga je E. M. L. zamenjal z njegovim bratom, je vrhovno sodišče pripomnilo, da so nižja sodišča štela E. M. L. za zanesljivo in verodostojno pričo, saj je bilo njegovo pričevanje dosledno ves čas postopka, vključno z identifikacijo pritožnika kot strelca. Poleg tega so izjavo E. M. L. potrdili drugi dokazi, zlasti pričevanje M. S. Vrhovno sodišče je poudarilo, da je bila obramba seznanjena s prvo izjavo, ki jo je E. M. L. dal češkim organom, torej je imela možnost izpodbijati zanesljivost in resničnost njegovega prič</w:t>
      </w:r>
      <w:r w:rsidR="00911BEA">
        <w:rPr>
          <w:lang w:val="sl"/>
        </w:rPr>
        <w:t>ev</w:t>
      </w:r>
      <w:r>
        <w:rPr>
          <w:lang w:val="sl"/>
        </w:rPr>
        <w:t>anja. Po mnenju vrhovnega sodišča je pritožnikova zagovornica izrabila to priložnost na zaslišanju E. M. L. v Haagu, kjer je med drugim E. M. L. postavila več vprašanj, ki so se nanašala na zanesljivost njegove identifikacije strelca. Zato je bilo vrhovno sodišče prepričano, da pritožnikove pravice obrambe niso bile kršene, čeprav ni bil prisoten na zaslišanju E. M. L.</w:t>
      </w:r>
    </w:p>
    <w:p w:rsidR="005E3965" w:rsidRPr="0039748E" w:rsidRDefault="002D225D" w:rsidP="001D3AE1">
      <w:pPr>
        <w:pStyle w:val="ECHRPara"/>
        <w:rPr>
          <w:lang w:val="sl"/>
        </w:rPr>
      </w:pPr>
      <w:r>
        <w:rPr>
          <w:lang w:val="sl"/>
        </w:rPr>
        <w:lastRenderedPageBreak/>
        <w:fldChar w:fldCharType="begin"/>
      </w:r>
      <w:r>
        <w:rPr>
          <w:lang w:val="sl"/>
        </w:rPr>
        <w:instrText xml:space="preserve"> SEQ level0 \*arabic </w:instrText>
      </w:r>
      <w:r>
        <w:rPr>
          <w:lang w:val="sl"/>
        </w:rPr>
        <w:fldChar w:fldCharType="separate"/>
      </w:r>
      <w:r w:rsidR="00425DCA">
        <w:rPr>
          <w:noProof/>
          <w:lang w:val="sl"/>
        </w:rPr>
        <w:t>43</w:t>
      </w:r>
      <w:r>
        <w:rPr>
          <w:noProof/>
          <w:lang w:val="sl"/>
        </w:rPr>
        <w:fldChar w:fldCharType="end"/>
      </w:r>
      <w:r>
        <w:rPr>
          <w:lang w:val="sl"/>
        </w:rPr>
        <w:t>.  Pritožnik se je pozneje pritožil na ustavno sodišče, ki je 6. aprila 2010 njegovo ustavno pritožbo razglasilo za nedopustno.</w:t>
      </w:r>
    </w:p>
    <w:p w:rsidR="00014566" w:rsidRPr="0039748E" w:rsidRDefault="00014566" w:rsidP="001D3AE1">
      <w:pPr>
        <w:pStyle w:val="ECHRHeading1"/>
        <w:rPr>
          <w:lang w:val="sl"/>
        </w:rPr>
      </w:pPr>
      <w:r>
        <w:rPr>
          <w:bCs w:val="0"/>
          <w:lang w:val="sl"/>
        </w:rPr>
        <w:t>II. UPOŠTEVANI DOMAČA ZAKONODAJA IN PRAKSA</w:t>
      </w:r>
    </w:p>
    <w:p w:rsidR="00605C2D" w:rsidRPr="0039748E" w:rsidRDefault="00605C2D" w:rsidP="001D3AE1">
      <w:pPr>
        <w:pStyle w:val="ECHRHeading2"/>
        <w:rPr>
          <w:lang w:val="sl"/>
        </w:rPr>
      </w:pPr>
      <w:r>
        <w:rPr>
          <w:lang w:val="sl"/>
        </w:rPr>
        <w:t>A.  Zakon o kazenskem postopku</w:t>
      </w:r>
    </w:p>
    <w:p w:rsidR="00605C2D" w:rsidRPr="0039748E" w:rsidRDefault="00D33657" w:rsidP="001D3AE1">
      <w:pPr>
        <w:pStyle w:val="ECHRPara"/>
        <w:rPr>
          <w:lang w:val="sl"/>
        </w:rPr>
      </w:pPr>
      <w:r>
        <w:rPr>
          <w:lang w:val="sl"/>
        </w:rPr>
        <w:fldChar w:fldCharType="begin"/>
      </w:r>
      <w:r>
        <w:rPr>
          <w:lang w:val="sl"/>
        </w:rPr>
        <w:instrText xml:space="preserve"> SEQ level0 \*arabic </w:instrText>
      </w:r>
      <w:r>
        <w:rPr>
          <w:lang w:val="sl"/>
        </w:rPr>
        <w:fldChar w:fldCharType="separate"/>
      </w:r>
      <w:r w:rsidR="00425DCA">
        <w:rPr>
          <w:noProof/>
          <w:lang w:val="sl"/>
        </w:rPr>
        <w:t>44</w:t>
      </w:r>
      <w:r>
        <w:rPr>
          <w:lang w:val="sl"/>
        </w:rPr>
        <w:fldChar w:fldCharType="end"/>
      </w:r>
      <w:r>
        <w:rPr>
          <w:lang w:val="sl"/>
        </w:rPr>
        <w:t>.  Ustrezne določbe Zakona o kazenskem postopku, kakor je veljal v tistem času, določajo:</w:t>
      </w:r>
    </w:p>
    <w:p w:rsidR="00B36E8D" w:rsidRPr="0039748E" w:rsidRDefault="00B36E8D" w:rsidP="001D3AE1">
      <w:pPr>
        <w:pStyle w:val="ECHRTitleCentre3"/>
        <w:rPr>
          <w:lang w:val="sl"/>
        </w:rPr>
      </w:pPr>
      <w:r>
        <w:rPr>
          <w:bCs/>
          <w:lang w:val="sl"/>
        </w:rPr>
        <w:t>167. člen</w:t>
      </w:r>
    </w:p>
    <w:p w:rsidR="00B36E8D" w:rsidRPr="0039748E" w:rsidRDefault="00B36E8D" w:rsidP="001D3AE1">
      <w:pPr>
        <w:pStyle w:val="ECHRParaQuote"/>
        <w:rPr>
          <w:lang w:val="sl"/>
        </w:rPr>
      </w:pPr>
      <w:r>
        <w:rPr>
          <w:lang w:val="sl"/>
        </w:rPr>
        <w:t xml:space="preserve">"... (2) V preiskavi se zberejo dokazi in podatki, ki so potrebni za odločitev, ali naj se vloži obtožnica ali ustavi postopek, dokazi, za katere je nevarnost, da jih na glavni obravnavi ne bo mogoče ponoviti ali da bila njihova izvedba </w:t>
      </w:r>
      <w:r w:rsidR="0025538E">
        <w:rPr>
          <w:lang w:val="sl"/>
        </w:rPr>
        <w:t>po</w:t>
      </w:r>
      <w:r>
        <w:rPr>
          <w:lang w:val="sl"/>
        </w:rPr>
        <w:t>vezana s težavami, kot tudi drugi dokazi, ki utegnejo biti koristni za postopek in je glede na okoliščine primera smotrno, da se izvedejo."</w:t>
      </w:r>
    </w:p>
    <w:p w:rsidR="00B36E8D" w:rsidRPr="0039748E" w:rsidRDefault="00B36E8D" w:rsidP="001D3AE1">
      <w:pPr>
        <w:pStyle w:val="ECHRTitleCentre3"/>
        <w:rPr>
          <w:lang w:val="sl"/>
        </w:rPr>
      </w:pPr>
      <w:r>
        <w:rPr>
          <w:bCs/>
          <w:lang w:val="sl"/>
        </w:rPr>
        <w:t>178. člen</w:t>
      </w:r>
    </w:p>
    <w:p w:rsidR="00B36E8D" w:rsidRPr="0039748E" w:rsidRDefault="00B36E8D" w:rsidP="001D3AE1">
      <w:pPr>
        <w:pStyle w:val="ECHRParaQuote"/>
        <w:rPr>
          <w:lang w:val="sl"/>
        </w:rPr>
      </w:pPr>
      <w:r>
        <w:rPr>
          <w:lang w:val="sl"/>
        </w:rPr>
        <w:t xml:space="preserve">"... (4) Državni tožilec, obdolženec in njegov zagovornik so lahko navzoči pri zaslišanju priče. Preiskovalni sodnik lahko odredi, da se obdolženec odstrani z zaslišanja, če priča v njegovi navzočnosti ne želi izpovedati ali če okoliščine kažejo, da v njegovi navzočnosti ne bo govorila resnice ali v primeru, če bo po zaslišanju priče </w:t>
      </w:r>
      <w:r w:rsidR="00E535CB">
        <w:rPr>
          <w:lang w:val="sl"/>
        </w:rPr>
        <w:t>treba</w:t>
      </w:r>
      <w:r>
        <w:rPr>
          <w:lang w:val="sl"/>
        </w:rPr>
        <w:t xml:space="preserve"> opraviti sodno prepoznavo. Obdolženec ne sme biti navzoč pri zaslišanju priče, mlajše od 15 let, ki je žrtev katerega izmed kaznivih dejanj iz tretjega odstavka 65. člena tega zakona. Oškodovanec sme biti navzoč pri zaslišanju priče samo, če je verjetno, da priča ne bo prišla na glavno obravnavo </w:t>
      </w:r>
    </w:p>
    <w:p w:rsidR="00B36E8D" w:rsidRPr="0039748E" w:rsidRDefault="00B36E8D" w:rsidP="001D3AE1">
      <w:pPr>
        <w:pStyle w:val="ECHRParaQuote"/>
        <w:rPr>
          <w:lang w:val="sl"/>
        </w:rPr>
      </w:pPr>
      <w:r>
        <w:rPr>
          <w:lang w:val="sl"/>
        </w:rPr>
        <w:t xml:space="preserve">(6) Če tisti, ki mu je bilo poslano obvestilo o preiskovalnem dejanju, ne pride, se dejanje lahko opravi tudi v njegovi </w:t>
      </w:r>
      <w:r w:rsidR="00E535CB">
        <w:rPr>
          <w:lang w:val="sl"/>
        </w:rPr>
        <w:t>odsotnosti.</w:t>
      </w:r>
    </w:p>
    <w:p w:rsidR="002D30AB" w:rsidRPr="0039748E" w:rsidRDefault="00B36E8D" w:rsidP="001D3AE1">
      <w:pPr>
        <w:pStyle w:val="ECHRParaQuote"/>
        <w:rPr>
          <w:lang w:val="sl"/>
        </w:rPr>
      </w:pPr>
      <w:r>
        <w:rPr>
          <w:lang w:val="sl"/>
        </w:rPr>
        <w:t>(7) Stranke in zagovornik, ki so navzoči pri preiskovanih dejanjih, lahko za razjasnitev stvari postavljajo obdolžencu, priči ali izvedencu posamezna vprašanja. Vprašanja praviloma postavlja najprej državni tožilec, nato obdolženec in zagovornik in na koncu preiskovalni sodnik. Preiskovalni sodnik prepove vprašanje ali odgovor na postavljeno vprašanje, če ni dovoljen</w:t>
      </w:r>
      <w:r w:rsidR="00425DCA">
        <w:rPr>
          <w:lang w:val="sl"/>
        </w:rPr>
        <w:t>o ali če ni v zvezi z zadevo.</w:t>
      </w:r>
      <w:r>
        <w:rPr>
          <w:lang w:val="sl"/>
        </w:rPr>
        <w:t xml:space="preserve"> </w:t>
      </w:r>
      <w:r w:rsidR="000571E9">
        <w:rPr>
          <w:lang w:val="sl"/>
        </w:rPr>
        <w:t>N</w:t>
      </w:r>
      <w:r>
        <w:rPr>
          <w:lang w:val="sl"/>
        </w:rPr>
        <w:t>avzoči pri preiskovalnih dejanjih imajo pravico zahtevati, naj se v zapisnik vpišejo njihove pripombe glede izvršitve posameznih dejanj, lahko pa predlagajo tudi izvedbo posameznih dokazov ..."</w:t>
      </w:r>
    </w:p>
    <w:p w:rsidR="002D30AB" w:rsidRPr="0039748E" w:rsidRDefault="002D30AB" w:rsidP="001D3AE1">
      <w:pPr>
        <w:pStyle w:val="ECHRTitleCentre3"/>
        <w:rPr>
          <w:lang w:val="sl"/>
        </w:rPr>
      </w:pPr>
      <w:r>
        <w:rPr>
          <w:bCs/>
          <w:lang w:val="sl"/>
        </w:rPr>
        <w:t>242. člen</w:t>
      </w:r>
    </w:p>
    <w:p w:rsidR="002D30AB" w:rsidRPr="0039748E" w:rsidRDefault="002D30AB" w:rsidP="001D3AE1">
      <w:pPr>
        <w:pStyle w:val="ECHRParaQuote"/>
        <w:rPr>
          <w:lang w:val="sl"/>
        </w:rPr>
      </w:pPr>
      <w:r>
        <w:rPr>
          <w:lang w:val="sl"/>
        </w:rPr>
        <w:t xml:space="preserve">"(1) Če je potrebno, da se ugotovi, ali priča pozna osebo ali predmete, se od nje najprej zahteva, </w:t>
      </w:r>
      <w:r w:rsidR="00340F18">
        <w:rPr>
          <w:lang w:val="sl"/>
        </w:rPr>
        <w:t>da</w:t>
      </w:r>
      <w:r>
        <w:rPr>
          <w:lang w:val="sl"/>
        </w:rPr>
        <w:t xml:space="preserve"> jih opiše in navede znake, po katerih se razlikujejo; šele potem se ji pokaže oseba ali predmet, in sicer skupaj z drugimi, njej neznanimi osebami</w:t>
      </w:r>
      <w:r w:rsidR="00FC1078">
        <w:rPr>
          <w:lang w:val="sl"/>
        </w:rPr>
        <w:t>,</w:t>
      </w:r>
      <w:r>
        <w:rPr>
          <w:lang w:val="sl"/>
        </w:rPr>
        <w:t xml:space="preserve"> oziroma po možnosti skupaj s predmeti iste vrste. Na smiselno enak način je treba ravnati tudi pri prepoznavanju s pomočjo drugih čutil (sluh, tip, voh in drugo).</w:t>
      </w:r>
    </w:p>
    <w:p w:rsidR="002D30AB" w:rsidRPr="0039748E" w:rsidRDefault="002D30AB" w:rsidP="001D3AE1">
      <w:pPr>
        <w:pStyle w:val="ECHRParaQuote"/>
        <w:rPr>
          <w:lang w:val="sl"/>
        </w:rPr>
      </w:pPr>
      <w:r>
        <w:rPr>
          <w:lang w:val="sl"/>
        </w:rPr>
        <w:t>(2) Pred prepoznavo se pričo opozori po drugem odstavku 240. člena tega zakona.</w:t>
      </w:r>
    </w:p>
    <w:p w:rsidR="002D30AB" w:rsidRPr="0039748E" w:rsidRDefault="002D30AB" w:rsidP="001D3AE1">
      <w:pPr>
        <w:pStyle w:val="ECHRParaQuote"/>
        <w:rPr>
          <w:lang w:val="sl"/>
        </w:rPr>
      </w:pPr>
      <w:r>
        <w:rPr>
          <w:lang w:val="sl"/>
        </w:rPr>
        <w:t>(3) Preiskovalni sodnik, ki vodi prepoznavo, mora zagotoviti, da priča pred začetkom prepoznave ne vidi oseb ali predmetov, ki jih bo prepoznavala.</w:t>
      </w:r>
    </w:p>
    <w:p w:rsidR="002D30AB" w:rsidRPr="0039748E" w:rsidRDefault="002D30AB" w:rsidP="001D3AE1">
      <w:pPr>
        <w:pStyle w:val="ECHRParaQuote"/>
        <w:rPr>
          <w:lang w:val="sl"/>
        </w:rPr>
      </w:pPr>
      <w:r>
        <w:rPr>
          <w:lang w:val="sl"/>
        </w:rPr>
        <w:lastRenderedPageBreak/>
        <w:t xml:space="preserve">(4) O prepoznavi obdolženca se sestavi zapisnik, </w:t>
      </w:r>
      <w:r w:rsidR="00FC1078">
        <w:rPr>
          <w:lang w:val="sl"/>
        </w:rPr>
        <w:t>h kateremu</w:t>
      </w:r>
      <w:r>
        <w:rPr>
          <w:lang w:val="sl"/>
        </w:rPr>
        <w:t xml:space="preserve"> se priloži skupni posnetek vseh oseb, ki so bile prepoznavane."</w:t>
      </w:r>
    </w:p>
    <w:p w:rsidR="002D30AB" w:rsidRPr="0039748E" w:rsidRDefault="00152E72" w:rsidP="001D3AE1">
      <w:pPr>
        <w:pStyle w:val="ECHRTitleCentre3"/>
        <w:rPr>
          <w:lang w:val="sl"/>
        </w:rPr>
      </w:pPr>
      <w:r>
        <w:rPr>
          <w:bCs/>
          <w:lang w:val="sl"/>
        </w:rPr>
        <w:t>242. a člen</w:t>
      </w:r>
    </w:p>
    <w:p w:rsidR="00CE5433" w:rsidRPr="0039748E" w:rsidRDefault="002D30AB" w:rsidP="001D3AE1">
      <w:pPr>
        <w:pStyle w:val="ECHRParaQuote"/>
        <w:rPr>
          <w:lang w:val="sl"/>
        </w:rPr>
      </w:pPr>
      <w:r>
        <w:rPr>
          <w:lang w:val="sl"/>
        </w:rPr>
        <w:t>"Če obstaja resna nevarnost za življenje ali telo osebe, ki opravlja prepoznavo, oziroma njenih bližnjih sorodnikov (1. do 3. točka prvega odstavka 236. člena) ali če je podana verjetnost, da bo oseba, ki se prepoznava, vplivala na potek prepoznave, se mora prepoznava opraviti tako, da oseba, ki se prepoznava, ne more videti osebe, ki opravlja prepoznavo."</w:t>
      </w:r>
    </w:p>
    <w:p w:rsidR="00B36E8D" w:rsidRPr="0039748E" w:rsidRDefault="00B36E8D" w:rsidP="001D3AE1">
      <w:pPr>
        <w:pStyle w:val="ECHRTitleCentre3"/>
        <w:rPr>
          <w:lang w:val="sl"/>
        </w:rPr>
      </w:pPr>
      <w:r>
        <w:rPr>
          <w:bCs/>
          <w:lang w:val="sl"/>
        </w:rPr>
        <w:t>288. člen</w:t>
      </w:r>
    </w:p>
    <w:p w:rsidR="00B36E8D" w:rsidRPr="0039748E" w:rsidRDefault="00B36E8D" w:rsidP="001D3AE1">
      <w:pPr>
        <w:pStyle w:val="ECHRParaQuote"/>
        <w:rPr>
          <w:lang w:val="sl"/>
        </w:rPr>
      </w:pPr>
      <w:r>
        <w:rPr>
          <w:lang w:val="sl"/>
        </w:rPr>
        <w:t xml:space="preserve">“(1) ... Prav tako se na glavno obravnavo povabijo priče in izvedenci, ki sta jih predlagala tožilec v obtožnici in obdolženec v ugovoru zoper obtožnico, razen tistih, za katere predsednik senata </w:t>
      </w:r>
      <w:r w:rsidR="00BF112E">
        <w:rPr>
          <w:lang w:val="sl"/>
        </w:rPr>
        <w:t>men</w:t>
      </w:r>
      <w:r>
        <w:rPr>
          <w:lang w:val="sl"/>
        </w:rPr>
        <w:t>i, da njihovo zaslišanje na glavni obravnavi ni potrebno.</w:t>
      </w:r>
    </w:p>
    <w:p w:rsidR="00B36E8D" w:rsidRPr="0039748E" w:rsidRDefault="00B36E8D" w:rsidP="001D3AE1">
      <w:pPr>
        <w:pStyle w:val="ECHRTitleCentre3"/>
        <w:rPr>
          <w:lang w:val="sl"/>
        </w:rPr>
      </w:pPr>
      <w:r>
        <w:rPr>
          <w:bCs/>
          <w:lang w:val="sl"/>
        </w:rPr>
        <w:t>337. člen</w:t>
      </w:r>
    </w:p>
    <w:p w:rsidR="00B36E8D" w:rsidRPr="0039748E" w:rsidRDefault="00B36E8D" w:rsidP="001D3AE1">
      <w:pPr>
        <w:pStyle w:val="ECHRParaQuote"/>
        <w:rPr>
          <w:lang w:val="sl"/>
        </w:rPr>
      </w:pPr>
      <w:r>
        <w:rPr>
          <w:lang w:val="sl"/>
        </w:rPr>
        <w:t xml:space="preserve">"(1) Če se na glavni obravnavi </w:t>
      </w:r>
      <w:r w:rsidR="009073B7">
        <w:rPr>
          <w:lang w:val="sl"/>
        </w:rPr>
        <w:t>i</w:t>
      </w:r>
      <w:r>
        <w:rPr>
          <w:lang w:val="sl"/>
        </w:rPr>
        <w:t xml:space="preserve">zve, da priča ali izvedenec ne more priti ali zelo težko pride </w:t>
      </w:r>
      <w:r w:rsidR="00092C2B">
        <w:rPr>
          <w:lang w:val="sl"/>
        </w:rPr>
        <w:t>na</w:t>
      </w:r>
      <w:r>
        <w:rPr>
          <w:lang w:val="sl"/>
        </w:rPr>
        <w:t xml:space="preserve"> sodišč</w:t>
      </w:r>
      <w:r w:rsidR="00A70281">
        <w:rPr>
          <w:lang w:val="sl"/>
        </w:rPr>
        <w:t>e</w:t>
      </w:r>
      <w:r>
        <w:rPr>
          <w:lang w:val="sl"/>
        </w:rPr>
        <w:t>, sme senat, če je po njegovem mnenju izpovedba pomembna, odrediti, naj ga zunaj glavne obravnave zasliši predsednik senata ali sodnik, ki je član senata, ali naj ga zasliši preiskovalni sodnik sodišča, na katerega območju priča oziroma izvedenec živi ...</w:t>
      </w:r>
    </w:p>
    <w:p w:rsidR="00B36E8D" w:rsidRPr="0039748E" w:rsidRDefault="00B36E8D" w:rsidP="001D3AE1">
      <w:pPr>
        <w:pStyle w:val="ECHRParaQuote"/>
        <w:rPr>
          <w:lang w:val="sl"/>
        </w:rPr>
      </w:pPr>
      <w:r>
        <w:rPr>
          <w:lang w:val="sl"/>
        </w:rPr>
        <w:t xml:space="preserve">(3) Strankam in oškodovancu se vselej sporoči, kdaj in kje bo zaslišana priča oziroma kdaj in kje bo ogled ali rekonstrukcija dogodka, in se </w:t>
      </w:r>
      <w:r w:rsidR="009073B7">
        <w:rPr>
          <w:lang w:val="sl"/>
        </w:rPr>
        <w:t xml:space="preserve">jih </w:t>
      </w:r>
      <w:r>
        <w:rPr>
          <w:lang w:val="sl"/>
        </w:rPr>
        <w:t>pouči, da smejo biti pri teh dejanjih navzoči. Če je obtoženec v priporu, odloči senat, ali je potrebna njegova navzočnost pri teh dejanjih ..."</w:t>
      </w:r>
    </w:p>
    <w:p w:rsidR="00B36E8D" w:rsidRPr="0039748E" w:rsidRDefault="00B36E8D" w:rsidP="001D3AE1">
      <w:pPr>
        <w:pStyle w:val="ECHRTitleCentre3"/>
        <w:rPr>
          <w:lang w:val="sl"/>
        </w:rPr>
      </w:pPr>
      <w:r>
        <w:rPr>
          <w:bCs/>
          <w:lang w:val="sl"/>
        </w:rPr>
        <w:t>340. člen</w:t>
      </w:r>
    </w:p>
    <w:p w:rsidR="00B36E8D" w:rsidRPr="0039748E" w:rsidRDefault="00B36E8D" w:rsidP="001D3AE1">
      <w:pPr>
        <w:pStyle w:val="ECHRParaQuote"/>
        <w:rPr>
          <w:lang w:val="sl"/>
        </w:rPr>
      </w:pPr>
      <w:r>
        <w:rPr>
          <w:lang w:val="sl"/>
        </w:rPr>
        <w:t>"(1) Poleg primerov, ki so posebej določeni v tem zakonu, se smejo zapisniki o izpovedbah prič, soobtožencev ali že obsojenih udeležencev pri kaznivem dejanju ter zapisniki ali drugi zapisi o izvidu in mnenju izvedencev prebrati po odločbi senata samo v tehle primerih:</w:t>
      </w:r>
    </w:p>
    <w:p w:rsidR="00B36E8D" w:rsidRPr="0039748E" w:rsidRDefault="00B36E8D" w:rsidP="001D3AE1">
      <w:pPr>
        <w:pStyle w:val="ECHRParaQuote"/>
        <w:rPr>
          <w:lang w:val="sl"/>
        </w:rPr>
      </w:pPr>
      <w:r>
        <w:rPr>
          <w:lang w:val="sl"/>
        </w:rPr>
        <w:t xml:space="preserve">(i) če so zaslišane osebe umrle, duševno zbolele ali jih ni mogoče najti ali če zaradi starosti, bolezni ali iz drugih tehtnih vzrokov ne morejo priti ali zelo težko pridejo </w:t>
      </w:r>
      <w:r w:rsidR="009073B7">
        <w:rPr>
          <w:lang w:val="sl"/>
        </w:rPr>
        <w:t>na</w:t>
      </w:r>
      <w:r>
        <w:rPr>
          <w:lang w:val="sl"/>
        </w:rPr>
        <w:t xml:space="preserve"> sodišč</w:t>
      </w:r>
      <w:r w:rsidR="009073B7">
        <w:rPr>
          <w:lang w:val="sl"/>
        </w:rPr>
        <w:t>e</w:t>
      </w:r>
      <w:r>
        <w:rPr>
          <w:lang w:val="sl"/>
        </w:rPr>
        <w:t xml:space="preserve"> ali če prebivajo v tujini in na glavno obravnavo ne pridejo, kljub temu, da so bile nanjo pravilno povabljene;</w:t>
      </w:r>
    </w:p>
    <w:p w:rsidR="00B36E8D" w:rsidRPr="0039748E" w:rsidRDefault="00B36E8D" w:rsidP="001D3AE1">
      <w:pPr>
        <w:pStyle w:val="ECHRParaQuote"/>
        <w:rPr>
          <w:lang w:val="sl"/>
        </w:rPr>
      </w:pPr>
      <w:r>
        <w:rPr>
          <w:lang w:val="sl"/>
        </w:rPr>
        <w:t>(ii) če priče ali izvedenci brez zakonskega razloga nočejo izpovedati na glavni obravnavi.</w:t>
      </w:r>
    </w:p>
    <w:p w:rsidR="00B36E8D" w:rsidRPr="0039748E" w:rsidRDefault="00B36E8D" w:rsidP="001D3AE1">
      <w:pPr>
        <w:pStyle w:val="ECHRParaQuote"/>
        <w:rPr>
          <w:lang w:val="sl"/>
        </w:rPr>
      </w:pPr>
      <w:r>
        <w:rPr>
          <w:lang w:val="sl"/>
        </w:rPr>
        <w:t xml:space="preserve">(2) Senat sme s soglasjem strank odločiti, </w:t>
      </w:r>
      <w:r w:rsidR="00AA7850">
        <w:rPr>
          <w:lang w:val="sl"/>
        </w:rPr>
        <w:t xml:space="preserve">da </w:t>
      </w:r>
      <w:r>
        <w:rPr>
          <w:lang w:val="sl"/>
        </w:rPr>
        <w:t>se zapisnik o prejšnjem zaslišanju priče ali izvedenca oziroma njegov pisni izvid in mnenje prebereta tudi, če priča oziroma izvedenec nista navzoča, ne glede na to, ali sta bila povabljena na glavno obravnavo ali ne.</w:t>
      </w:r>
    </w:p>
    <w:p w:rsidR="00B36E8D" w:rsidRPr="0039748E" w:rsidRDefault="00B36E8D" w:rsidP="001D3AE1">
      <w:pPr>
        <w:pStyle w:val="ECHRParaQuote"/>
        <w:rPr>
          <w:lang w:val="sl"/>
        </w:rPr>
      </w:pPr>
      <w:r>
        <w:rPr>
          <w:lang w:val="sl"/>
        </w:rPr>
        <w:t>(4) Razlogi, zakaj se bere zapisnik, se navedejo v zapisniku o glavni obravnavi ..."</w:t>
      </w:r>
    </w:p>
    <w:p w:rsidR="00B36E8D" w:rsidRPr="0039748E" w:rsidRDefault="00B36E8D" w:rsidP="001D3AE1">
      <w:pPr>
        <w:pStyle w:val="ECHRTitleCentre3"/>
        <w:rPr>
          <w:lang w:val="sl"/>
        </w:rPr>
      </w:pPr>
      <w:r>
        <w:rPr>
          <w:bCs/>
          <w:lang w:val="sl"/>
        </w:rPr>
        <w:t>342. člen</w:t>
      </w:r>
    </w:p>
    <w:p w:rsidR="00014566" w:rsidRPr="0039748E" w:rsidRDefault="00B36E8D" w:rsidP="001D3AE1">
      <w:pPr>
        <w:pStyle w:val="ECHRParaQuote"/>
        <w:rPr>
          <w:lang w:val="sl"/>
        </w:rPr>
      </w:pPr>
      <w:r>
        <w:rPr>
          <w:lang w:val="sl"/>
        </w:rPr>
        <w:t>"Po končanem zaslišanju vsake priče ali izvedenca in po branju vsakega zapisnika ali drugega pisanja vpraša predsednik senata stranke in oškodovanca, ali imajo kaj pripomniti."</w:t>
      </w:r>
    </w:p>
    <w:p w:rsidR="00D701FD" w:rsidRPr="0039748E" w:rsidRDefault="00255A1F" w:rsidP="001D3AE1">
      <w:pPr>
        <w:pStyle w:val="ECHRHeading2"/>
        <w:rPr>
          <w:lang w:val="sl"/>
        </w:rPr>
      </w:pPr>
      <w:r>
        <w:rPr>
          <w:lang w:val="sl"/>
        </w:rPr>
        <w:lastRenderedPageBreak/>
        <w:t>B.  Domača sodna praksa</w:t>
      </w:r>
    </w:p>
    <w:p w:rsidR="00D701FD" w:rsidRPr="0039748E" w:rsidRDefault="00D701FD" w:rsidP="001D3AE1">
      <w:pPr>
        <w:pStyle w:val="ECHRPara"/>
        <w:rPr>
          <w:lang w:val="sl"/>
        </w:rPr>
      </w:pPr>
      <w:r>
        <w:rPr>
          <w:lang w:val="sl"/>
        </w:rPr>
        <w:fldChar w:fldCharType="begin"/>
      </w:r>
      <w:r>
        <w:rPr>
          <w:lang w:val="sl"/>
        </w:rPr>
        <w:instrText xml:space="preserve"> SEQ level0 \*arabic </w:instrText>
      </w:r>
      <w:r>
        <w:rPr>
          <w:lang w:val="sl"/>
        </w:rPr>
        <w:fldChar w:fldCharType="separate"/>
      </w:r>
      <w:r w:rsidR="00425DCA">
        <w:rPr>
          <w:noProof/>
          <w:lang w:val="sl"/>
        </w:rPr>
        <w:t>45</w:t>
      </w:r>
      <w:r>
        <w:rPr>
          <w:lang w:val="sl"/>
        </w:rPr>
        <w:fldChar w:fldCharType="end"/>
      </w:r>
      <w:r>
        <w:rPr>
          <w:lang w:val="sl"/>
        </w:rPr>
        <w:t>.  Po mnenju ustavnega sodišča je bilo "zelo slabo zdravstveno stanje" dveh prič (domnevnih žrtev kaznivega dejanja) "utemeljen in neizogiben odstop" od načela neposrednega zaslišanja prič. Ne glede na to bi bilo treba obtožencu dati možnost zaslišati žrtvi in glede tega je bilo dovolj, da je bil med preiskavo povabljen, da je navzoč na njunem zaslišanju, ki ga je vodil preiskovalni sodnik (odločba Up-207/99 z dne 4. julija 2002). V odločbi z dne 18. oktobra 2007 (Up-849/05), je ustavno sodišče menilo, da ni mogoče govoriti o kršitvi pravice do zaslišanja obremenilnih prič, kadar so organi ravnali z ustrezno skrbnostjo pri svojih naporih, da bi obdolžencu zagotovili uresničevanje te pravice (treba je poudariti, da v tem primeru po mnenju ustavnega sodišča izjave žrtev niso bile edini in ključni dokaz proti obtožencu).</w:t>
      </w:r>
    </w:p>
    <w:p w:rsidR="00D701FD" w:rsidRPr="0039748E" w:rsidRDefault="0002257F" w:rsidP="001D3AE1">
      <w:pPr>
        <w:pStyle w:val="ECHRPara"/>
        <w:rPr>
          <w:lang w:val="sl"/>
        </w:rPr>
      </w:pPr>
      <w:r>
        <w:rPr>
          <w:lang w:val="sl"/>
        </w:rPr>
        <w:fldChar w:fldCharType="begin"/>
      </w:r>
      <w:r>
        <w:rPr>
          <w:lang w:val="sl"/>
        </w:rPr>
        <w:instrText xml:space="preserve"> SEQ level0 \*arabic </w:instrText>
      </w:r>
      <w:r>
        <w:rPr>
          <w:lang w:val="sl"/>
        </w:rPr>
        <w:fldChar w:fldCharType="separate"/>
      </w:r>
      <w:r w:rsidR="00425DCA">
        <w:rPr>
          <w:noProof/>
          <w:lang w:val="sl"/>
        </w:rPr>
        <w:t>46</w:t>
      </w:r>
      <w:r>
        <w:rPr>
          <w:noProof/>
          <w:lang w:val="sl"/>
        </w:rPr>
        <w:fldChar w:fldCharType="end"/>
      </w:r>
      <w:r>
        <w:rPr>
          <w:lang w:val="sl"/>
        </w:rPr>
        <w:t>.  V sodbi z dne 21. maja 2009 (št. I Ips 14/2009) je vrhovno sodišče na podlagi prvega odstavka 340. člena Zakona o kazenskem postopku (glej 22. odstavek) ugotovilo, da se smejo na obravnavi prebrati zapisi izjav prič, če prič ni mogoče najti. Če je bila obtožencu omogočena "navzočnost pri izvedbi tega dokaza", so izjave lahko prebrane tudi brez njegovega soglasja. Prav tako ni bilo nobene kršitve procesnih pravic obtoženca, če sta bila on in njegov zagovornik vabljena, da se udeležita zaslišanja priče, ki ni mogla pričati na obravnavi (glej sodbo št. I Ips 507/2008 z dne 9. aprila 2009 in sodbo št. I Ips 190/2006 z dne 17. maja 2007). Nasprotno, taka kršitev bi nastala, če ne bi bilo ovir za tako dejanje, če preiskovalni sodnik ne bi obvestil obtoženca o zaslišanju priče, katere izjave so bile pozneje prebrane na obravnavi (glej sodbo št. I Ips 88/2008 z dne 16. oktobra 2008).</w:t>
      </w:r>
    </w:p>
    <w:p w:rsidR="008924AE" w:rsidRPr="0039748E" w:rsidRDefault="0002257F" w:rsidP="001D3AE1">
      <w:pPr>
        <w:pStyle w:val="ECHRPara"/>
        <w:rPr>
          <w:lang w:val="sl"/>
        </w:rPr>
      </w:pPr>
      <w:r>
        <w:rPr>
          <w:lang w:val="sl"/>
        </w:rPr>
        <w:fldChar w:fldCharType="begin"/>
      </w:r>
      <w:r>
        <w:rPr>
          <w:lang w:val="sl"/>
        </w:rPr>
        <w:instrText xml:space="preserve"> SEQ level0 \*arabic </w:instrText>
      </w:r>
      <w:r>
        <w:rPr>
          <w:lang w:val="sl"/>
        </w:rPr>
        <w:fldChar w:fldCharType="separate"/>
      </w:r>
      <w:r w:rsidR="00425DCA">
        <w:rPr>
          <w:noProof/>
          <w:lang w:val="sl"/>
        </w:rPr>
        <w:t>47</w:t>
      </w:r>
      <w:r>
        <w:rPr>
          <w:noProof/>
          <w:lang w:val="sl"/>
        </w:rPr>
        <w:fldChar w:fldCharType="end"/>
      </w:r>
      <w:r>
        <w:rPr>
          <w:lang w:val="sl"/>
        </w:rPr>
        <w:t>.  Vrhovno sodišče je v sodbah z dne 11. aprila 2002 (št. I Ips 249/1999) in z dne 24. aprila 2008 (št. I Ips 330/2006) ponovilo, da pravice obrambe, da zasliši obremenilne priče, ni mogoče razlagati tako, da zahteva zagotovitev možnosti soočenja obdolženca s pričo na glavni obravnavi. Čeprav je treba praviloma na glavni obravnavi predložiti vse dokaze, so v nekaterih primerih, navedenih v 340. členu Zakona o kazenskem postopku, dovoljene izjeme.</w:t>
      </w:r>
    </w:p>
    <w:p w:rsidR="00FE0109" w:rsidRPr="0039748E" w:rsidRDefault="0002257F" w:rsidP="001D3AE1">
      <w:pPr>
        <w:pStyle w:val="ECHRPara"/>
        <w:rPr>
          <w:lang w:val="sl"/>
        </w:rPr>
      </w:pPr>
      <w:r>
        <w:rPr>
          <w:lang w:val="sl"/>
        </w:rPr>
        <w:fldChar w:fldCharType="begin"/>
      </w:r>
      <w:r>
        <w:rPr>
          <w:lang w:val="sl"/>
        </w:rPr>
        <w:instrText xml:space="preserve"> SEQ level0 \*arabic </w:instrText>
      </w:r>
      <w:r>
        <w:rPr>
          <w:lang w:val="sl"/>
        </w:rPr>
        <w:fldChar w:fldCharType="separate"/>
      </w:r>
      <w:r w:rsidR="00425DCA">
        <w:rPr>
          <w:noProof/>
          <w:lang w:val="sl"/>
        </w:rPr>
        <w:t>48</w:t>
      </w:r>
      <w:r>
        <w:rPr>
          <w:noProof/>
          <w:lang w:val="sl"/>
        </w:rPr>
        <w:fldChar w:fldCharType="end"/>
      </w:r>
      <w:r>
        <w:rPr>
          <w:lang w:val="sl"/>
        </w:rPr>
        <w:t>.  Glede uporabe dokazov, ki so jih pridobili tuji pristojni organi, v domačem kazenskem postopku je vrhovno sodišče v sodbi št. I Ips 41/2000 z dne 28. marca 2002 opozorilo, da se izjave, pridobljene z mednarodno pravno pomočjo, lahko uporabijo, če niso bile pridobljene s kršitvijo posameznikovih z ustavo zagotovljenih pravic ali svoboščin; to pomeni z izsiljenim priznanjem ali v nasprotju s pravili tuje države ali v postopku, ki ni v skladu s temeljnimi načeli slovenskega pravnega sistema.</w:t>
      </w:r>
    </w:p>
    <w:p w:rsidR="00FE0109" w:rsidRPr="0039748E" w:rsidRDefault="003A185B" w:rsidP="001D3AE1">
      <w:pPr>
        <w:pStyle w:val="ECHRPara"/>
        <w:rPr>
          <w:lang w:val="sl"/>
        </w:rPr>
      </w:pPr>
      <w:r>
        <w:rPr>
          <w:rFonts w:ascii="Times New Roman" w:hAnsi="Times New Roman" w:cs="Times New Roman"/>
          <w:color w:val="000000"/>
          <w:szCs w:val="24"/>
          <w:lang w:val="sl"/>
        </w:rPr>
        <w:fldChar w:fldCharType="begin"/>
      </w:r>
      <w:r>
        <w:rPr>
          <w:rFonts w:ascii="Times New Roman" w:hAnsi="Times New Roman" w:cs="Times New Roman"/>
          <w:color w:val="000000"/>
          <w:szCs w:val="24"/>
          <w:lang w:val="sl"/>
        </w:rPr>
        <w:instrText xml:space="preserve"> SEQ level0 \*arabic </w:instrText>
      </w:r>
      <w:r>
        <w:rPr>
          <w:rFonts w:ascii="Times New Roman" w:hAnsi="Times New Roman" w:cs="Times New Roman"/>
          <w:color w:val="000000"/>
          <w:szCs w:val="24"/>
          <w:lang w:val="sl"/>
        </w:rPr>
        <w:fldChar w:fldCharType="separate"/>
      </w:r>
      <w:r w:rsidR="00425DCA">
        <w:rPr>
          <w:rFonts w:ascii="Times New Roman" w:hAnsi="Times New Roman" w:cs="Times New Roman"/>
          <w:noProof/>
          <w:color w:val="000000"/>
          <w:szCs w:val="24"/>
          <w:lang w:val="sl"/>
        </w:rPr>
        <w:t>49</w:t>
      </w:r>
      <w:r>
        <w:rPr>
          <w:rFonts w:ascii="Times New Roman" w:hAnsi="Times New Roman" w:cs="Times New Roman"/>
          <w:color w:val="000000"/>
          <w:szCs w:val="24"/>
          <w:lang w:val="sl"/>
        </w:rPr>
        <w:fldChar w:fldCharType="end"/>
      </w:r>
      <w:r>
        <w:rPr>
          <w:rFonts w:ascii="Times New Roman" w:hAnsi="Times New Roman" w:cs="Times New Roman"/>
          <w:color w:val="000000"/>
          <w:szCs w:val="24"/>
          <w:lang w:val="sl"/>
        </w:rPr>
        <w:t xml:space="preserve">.  Poleg tega je vrhovno sodišče v sodbi št. I Ips 361/2006 z dne 13. septembra 2007 poudarilo, da vprašanje, ali so pravice obrambe spoštovane, če je le zagovornik imel možnost zaslišati ključno obremenilno pričo, obtožencu pa ta možnost ni bila dana, ne more biti rešeno načelno; nanj je mogoče odgovoriti le za vsak primer posebej. V tej zadevi je bil </w:t>
      </w:r>
      <w:r>
        <w:rPr>
          <w:rFonts w:ascii="Times New Roman" w:hAnsi="Times New Roman" w:cs="Times New Roman"/>
          <w:color w:val="000000"/>
          <w:szCs w:val="24"/>
          <w:lang w:val="sl"/>
        </w:rPr>
        <w:lastRenderedPageBreak/>
        <w:t>pritožnikov zagovornik prisoten pri zaslišanju priče, ki ga je vodil tuji preiskovalni sodnik, vendar je lahko postavljal vprašanja le prek slovenskega preiskovalnega sodnika, ki je bil prav tako prisoten na zaslišanju. Je pa zagovornik lahko postavil kakršna koli vprašanja, ki so se mu zdela potrebna za izpodbijanje verodostojnosti priče in resničnosti njenih izjav, zato je vrhovno sodišče ugotovilo, da je bilo obrambi omogočeno učinkovito oporekanje priči.</w:t>
      </w:r>
    </w:p>
    <w:p w:rsidR="00014566" w:rsidRPr="0039748E" w:rsidRDefault="00014566" w:rsidP="001D3AE1">
      <w:pPr>
        <w:pStyle w:val="ECHRTitle1"/>
        <w:rPr>
          <w:lang w:val="sl"/>
        </w:rPr>
      </w:pPr>
      <w:r>
        <w:rPr>
          <w:lang w:val="sl"/>
        </w:rPr>
        <w:t>PRAVO</w:t>
      </w:r>
    </w:p>
    <w:p w:rsidR="00014566" w:rsidRPr="0039748E" w:rsidRDefault="00014566" w:rsidP="001D3AE1">
      <w:pPr>
        <w:pStyle w:val="ECHRHeading1"/>
        <w:rPr>
          <w:lang w:val="sl"/>
        </w:rPr>
      </w:pPr>
      <w:r>
        <w:rPr>
          <w:bCs w:val="0"/>
          <w:lang w:val="sl"/>
        </w:rPr>
        <w:t>I. ZATRJEVANA KRŠITEV PRVEGA ODSTAVKA IN TOČKE d TRETJEGA ODSTAVKA 6. ČLENA KONVENCIJE</w:t>
      </w:r>
    </w:p>
    <w:p w:rsidR="005E3965" w:rsidRPr="0039748E" w:rsidRDefault="00D33657" w:rsidP="001D3AE1">
      <w:pPr>
        <w:pStyle w:val="ECHRPara"/>
        <w:rPr>
          <w:rFonts w:ascii="Times New Roman" w:eastAsia="Times New Roman" w:hAnsi="Times New Roman" w:cs="Times New Roman"/>
          <w:szCs w:val="20"/>
          <w:lang w:val="sl"/>
        </w:rPr>
      </w:pPr>
      <w:r>
        <w:rPr>
          <w:lang w:val="sl"/>
        </w:rPr>
        <w:fldChar w:fldCharType="begin"/>
      </w:r>
      <w:r>
        <w:rPr>
          <w:lang w:val="sl"/>
        </w:rPr>
        <w:instrText xml:space="preserve"> SEQ level0 \*arabic </w:instrText>
      </w:r>
      <w:r>
        <w:rPr>
          <w:lang w:val="sl"/>
        </w:rPr>
        <w:fldChar w:fldCharType="separate"/>
      </w:r>
      <w:r w:rsidR="00425DCA">
        <w:rPr>
          <w:noProof/>
          <w:lang w:val="sl"/>
        </w:rPr>
        <w:t>50</w:t>
      </w:r>
      <w:r>
        <w:rPr>
          <w:lang w:val="sl"/>
        </w:rPr>
        <w:fldChar w:fldCharType="end"/>
      </w:r>
      <w:r>
        <w:rPr>
          <w:lang w:val="sl"/>
        </w:rPr>
        <w:t>.  Pritožnik se je pritožil, da je njegova obsodba odločilno temeljila na izjavi priče, ki je ni imel možnosti neposredno zaslišati, kar je kršitev točke d tretjega odstavka 6. člena konvencije.</w:t>
      </w:r>
    </w:p>
    <w:p w:rsidR="00014566" w:rsidRPr="0039748E" w:rsidRDefault="00034E6A" w:rsidP="001D3AE1">
      <w:pPr>
        <w:pStyle w:val="ECHRPara"/>
        <w:rPr>
          <w:lang w:val="fr-FR"/>
        </w:rPr>
      </w:pPr>
      <w:r>
        <w:rPr>
          <w:rFonts w:ascii="Times New Roman" w:eastAsia="Times New Roman" w:hAnsi="Times New Roman" w:cs="Times New Roman"/>
          <w:szCs w:val="20"/>
          <w:lang w:val="sl"/>
        </w:rPr>
        <w:fldChar w:fldCharType="begin"/>
      </w:r>
      <w:r>
        <w:rPr>
          <w:rFonts w:ascii="Times New Roman" w:eastAsia="Times New Roman" w:hAnsi="Times New Roman" w:cs="Times New Roman"/>
          <w:szCs w:val="20"/>
          <w:lang w:val="sl"/>
        </w:rPr>
        <w:instrText xml:space="preserve"> SEQ level0 \*arabic </w:instrText>
      </w:r>
      <w:r>
        <w:rPr>
          <w:rFonts w:ascii="Times New Roman" w:eastAsia="Times New Roman" w:hAnsi="Times New Roman" w:cs="Times New Roman"/>
          <w:szCs w:val="20"/>
          <w:lang w:val="sl"/>
        </w:rPr>
        <w:fldChar w:fldCharType="separate"/>
      </w:r>
      <w:r w:rsidR="00425DCA">
        <w:rPr>
          <w:rFonts w:ascii="Times New Roman" w:eastAsia="Times New Roman" w:hAnsi="Times New Roman" w:cs="Times New Roman"/>
          <w:noProof/>
          <w:szCs w:val="20"/>
          <w:lang w:val="sl"/>
        </w:rPr>
        <w:t>51</w:t>
      </w:r>
      <w:r>
        <w:rPr>
          <w:rFonts w:ascii="Times New Roman" w:eastAsia="Times New Roman" w:hAnsi="Times New Roman" w:cs="Times New Roman"/>
          <w:szCs w:val="20"/>
          <w:lang w:val="sl"/>
        </w:rPr>
        <w:fldChar w:fldCharType="end"/>
      </w:r>
      <w:r>
        <w:rPr>
          <w:rFonts w:ascii="Times New Roman" w:eastAsia="Times New Roman" w:hAnsi="Times New Roman" w:cs="Times New Roman"/>
          <w:szCs w:val="20"/>
          <w:lang w:val="sl"/>
        </w:rPr>
        <w:t>.  Ustrezni deli 6. člena se glasijo:</w:t>
      </w:r>
    </w:p>
    <w:p w:rsidR="00D701FD" w:rsidRPr="0039748E" w:rsidRDefault="00D701FD" w:rsidP="001D3AE1">
      <w:pPr>
        <w:spacing w:before="120" w:after="120"/>
        <w:ind w:left="425" w:firstLine="142"/>
        <w:rPr>
          <w:rFonts w:ascii="Times New Roman" w:eastAsia="Times New Roman" w:hAnsi="Times New Roman" w:cs="Times New Roman"/>
          <w:sz w:val="20"/>
          <w:szCs w:val="20"/>
          <w:lang w:val="fr-FR"/>
        </w:rPr>
      </w:pPr>
      <w:r>
        <w:rPr>
          <w:rFonts w:ascii="Times New Roman" w:eastAsia="Times New Roman" w:hAnsi="Times New Roman" w:cs="Times New Roman"/>
          <w:sz w:val="20"/>
          <w:szCs w:val="20"/>
          <w:lang w:val="sl"/>
        </w:rPr>
        <w:t>“1.  Vsakdo ima pravico, da... o kakršnihkoli kazenskih obtožbah zoper njega pravično … odloča … sodišče …"</w:t>
      </w:r>
    </w:p>
    <w:p w:rsidR="00D701FD" w:rsidRPr="0039748E" w:rsidRDefault="00D701FD" w:rsidP="001D3AE1">
      <w:pPr>
        <w:spacing w:before="120" w:after="120"/>
        <w:ind w:left="425" w:firstLine="142"/>
        <w:rPr>
          <w:rFonts w:ascii="Times New Roman" w:eastAsia="Times New Roman" w:hAnsi="Times New Roman" w:cs="Times New Roman"/>
          <w:sz w:val="20"/>
          <w:szCs w:val="20"/>
          <w:lang w:val="fr-FR"/>
        </w:rPr>
      </w:pPr>
      <w:r>
        <w:rPr>
          <w:rFonts w:ascii="Times New Roman" w:eastAsia="Times New Roman" w:hAnsi="Times New Roman" w:cs="Times New Roman"/>
          <w:sz w:val="20"/>
          <w:szCs w:val="20"/>
          <w:lang w:val="sl"/>
        </w:rPr>
        <w:t>3.  Kdor je obdolžen kaznivega dejanja, ima naslednje minimalne pravice ...</w:t>
      </w:r>
    </w:p>
    <w:p w:rsidR="00014566" w:rsidRPr="0039748E" w:rsidRDefault="00D701FD" w:rsidP="001D3AE1">
      <w:pPr>
        <w:spacing w:before="120" w:after="120"/>
        <w:ind w:left="425" w:firstLine="142"/>
        <w:rPr>
          <w:rFonts w:ascii="Times New Roman" w:eastAsia="Times New Roman" w:hAnsi="Times New Roman" w:cs="Times New Roman"/>
          <w:sz w:val="20"/>
          <w:szCs w:val="20"/>
          <w:lang w:val="fr-FR"/>
        </w:rPr>
      </w:pPr>
      <w:r>
        <w:rPr>
          <w:rFonts w:ascii="Times New Roman" w:eastAsia="Times New Roman" w:hAnsi="Times New Roman" w:cs="Times New Roman"/>
          <w:sz w:val="20"/>
          <w:szCs w:val="20"/>
          <w:lang w:val="sl"/>
        </w:rPr>
        <w:t>(d) da zaslišuje oziroma zahteva zaslišanje obremenilnih prič in da doseže navzočnost in zaslišanje razbremenilnih prič ob enakih pogojih, kot veljajo za obremenilne priče ..."</w:t>
      </w:r>
    </w:p>
    <w:p w:rsidR="00014566" w:rsidRPr="0039748E" w:rsidRDefault="00014566" w:rsidP="001D3AE1">
      <w:pPr>
        <w:pStyle w:val="ECHRHeading2"/>
        <w:outlineLvl w:val="0"/>
        <w:rPr>
          <w:lang w:val="fr-FR"/>
        </w:rPr>
      </w:pPr>
      <w:r>
        <w:rPr>
          <w:lang w:val="sl"/>
        </w:rPr>
        <w:t>A.  Sprejemljivost</w:t>
      </w:r>
    </w:p>
    <w:p w:rsidR="00014566" w:rsidRPr="0039748E" w:rsidRDefault="00D33657" w:rsidP="001D3AE1">
      <w:pPr>
        <w:pStyle w:val="ECHRPara"/>
        <w:rPr>
          <w:lang w:val="sl"/>
        </w:rPr>
      </w:pPr>
      <w:r>
        <w:rPr>
          <w:lang w:val="sl"/>
        </w:rPr>
        <w:fldChar w:fldCharType="begin"/>
      </w:r>
      <w:r>
        <w:rPr>
          <w:lang w:val="sl"/>
        </w:rPr>
        <w:instrText xml:space="preserve"> SEQ level0 \*arabic </w:instrText>
      </w:r>
      <w:r>
        <w:rPr>
          <w:lang w:val="sl"/>
        </w:rPr>
        <w:fldChar w:fldCharType="separate"/>
      </w:r>
      <w:r w:rsidR="00425DCA">
        <w:rPr>
          <w:noProof/>
          <w:lang w:val="sl"/>
        </w:rPr>
        <w:t>52</w:t>
      </w:r>
      <w:r>
        <w:rPr>
          <w:lang w:val="sl"/>
        </w:rPr>
        <w:fldChar w:fldCharType="end"/>
      </w:r>
      <w:r>
        <w:rPr>
          <w:lang w:val="sl"/>
        </w:rPr>
        <w:t>.  Sodišče ugotavlja, da ta pritožba ni očitno neutemeljena po točki a tretjega odstavka 35. člena konvencije. Prav tako ugotavlja, da ni nesprejemljiva niti iz katerih koli drugih razlogov. Torej jo je treba razglasiti za sprejemljivo.</w:t>
      </w:r>
    </w:p>
    <w:p w:rsidR="00014566" w:rsidRPr="0039748E" w:rsidRDefault="00014566" w:rsidP="001D3AE1">
      <w:pPr>
        <w:pStyle w:val="ECHRHeading2"/>
        <w:outlineLvl w:val="0"/>
        <w:rPr>
          <w:lang w:val="sl"/>
        </w:rPr>
      </w:pPr>
      <w:r>
        <w:rPr>
          <w:lang w:val="sl"/>
        </w:rPr>
        <w:t>B.  Utemeljenost</w:t>
      </w:r>
    </w:p>
    <w:p w:rsidR="00D30A55" w:rsidRPr="0039748E" w:rsidRDefault="00D30A55" w:rsidP="001D3AE1">
      <w:pPr>
        <w:pStyle w:val="ECHRHeading3"/>
        <w:rPr>
          <w:lang w:val="sl"/>
        </w:rPr>
      </w:pPr>
      <w:r>
        <w:rPr>
          <w:bCs w:val="0"/>
          <w:iCs/>
          <w:lang w:val="sl"/>
        </w:rPr>
        <w:t>1.  Navedbe strank</w:t>
      </w:r>
    </w:p>
    <w:p w:rsidR="00D30A55" w:rsidRPr="0039748E" w:rsidRDefault="00D30A55" w:rsidP="001D3AE1">
      <w:pPr>
        <w:pStyle w:val="ECHRHeading4"/>
        <w:rPr>
          <w:lang w:val="sl"/>
        </w:rPr>
      </w:pPr>
      <w:r>
        <w:rPr>
          <w:iCs w:val="0"/>
          <w:lang w:val="sl"/>
        </w:rPr>
        <w:t>(a) Pritožnik</w:t>
      </w:r>
    </w:p>
    <w:p w:rsidR="005E3965" w:rsidRPr="0039748E" w:rsidRDefault="00D33657" w:rsidP="001D3AE1">
      <w:pPr>
        <w:pStyle w:val="ECHRPara"/>
        <w:rPr>
          <w:lang w:val="sl"/>
        </w:rPr>
      </w:pPr>
      <w:r>
        <w:rPr>
          <w:lang w:val="sl"/>
        </w:rPr>
        <w:fldChar w:fldCharType="begin"/>
      </w:r>
      <w:r>
        <w:rPr>
          <w:lang w:val="sl"/>
        </w:rPr>
        <w:instrText xml:space="preserve"> SEQ level0 \*arabic </w:instrText>
      </w:r>
      <w:r>
        <w:rPr>
          <w:lang w:val="sl"/>
        </w:rPr>
        <w:fldChar w:fldCharType="separate"/>
      </w:r>
      <w:r w:rsidR="00425DCA">
        <w:rPr>
          <w:noProof/>
          <w:lang w:val="sl"/>
        </w:rPr>
        <w:t>53</w:t>
      </w:r>
      <w:r>
        <w:rPr>
          <w:lang w:val="sl"/>
        </w:rPr>
        <w:fldChar w:fldCharType="end"/>
      </w:r>
      <w:r>
        <w:rPr>
          <w:lang w:val="sl"/>
        </w:rPr>
        <w:t xml:space="preserve">.  Pritožnik je trdil, da mu ni bilo omogočeno zaslišanje E. M. L., ključne obremenilne priče. Čeprav je vrhovno sodišče razveljavilo njegovo prvo obsodbo prav zaradi tega razloga, tudi med drugim sojenjem ni imel možnosti soočiti se z E. M. L. Pritožnik je ves čas domačega postopka trdil, da ga je E. M. L. zamenjal z njegovim bratom M. Š., ki je pritožniku zelo </w:t>
      </w:r>
      <w:r>
        <w:rPr>
          <w:lang w:val="sl"/>
        </w:rPr>
        <w:lastRenderedPageBreak/>
        <w:t>podoben in je priznal umor H. C. Z.; zato je bilo bistvenega pomena, da se priča osebno sooči s pritožnikom, da razjasni identiteto strelca.</w:t>
      </w:r>
    </w:p>
    <w:p w:rsidR="005E3965" w:rsidRPr="0039748E" w:rsidRDefault="00D30A55" w:rsidP="001D3AE1">
      <w:pPr>
        <w:pStyle w:val="ECHRPara"/>
        <w:rPr>
          <w:lang w:val="sl"/>
        </w:rPr>
      </w:pPr>
      <w:r>
        <w:rPr>
          <w:lang w:val="sl"/>
        </w:rPr>
        <w:fldChar w:fldCharType="begin"/>
      </w:r>
      <w:r>
        <w:rPr>
          <w:lang w:val="sl"/>
        </w:rPr>
        <w:instrText xml:space="preserve"> SEQ level0 \*arabic </w:instrText>
      </w:r>
      <w:r>
        <w:rPr>
          <w:lang w:val="sl"/>
        </w:rPr>
        <w:fldChar w:fldCharType="separate"/>
      </w:r>
      <w:r w:rsidR="00425DCA">
        <w:rPr>
          <w:noProof/>
          <w:lang w:val="sl"/>
        </w:rPr>
        <w:t>54</w:t>
      </w:r>
      <w:r>
        <w:rPr>
          <w:lang w:val="sl"/>
        </w:rPr>
        <w:fldChar w:fldCharType="end"/>
      </w:r>
      <w:r>
        <w:rPr>
          <w:lang w:val="sl"/>
        </w:rPr>
        <w:t>.  Pritožnik je priznal, da so domača sodišča podrobno obrazložila, zakaj osebno soočenje ni bilo potrebno ali izvedljivo v okoliščinah zadeve. Res je tudi, da je pritožnikova zagovornica lahko postavila E. M. L. več vprašanj, od katerih jih je nekaj pripravil pritožnik, ter da je Evropsko sodišče za človekove pravice za namene točke d tretjega odstavka 6. člena konvencije dovolilo identifikacijo obtoženca z njegovim zagovornikom. Kljub temu je bil pritožnik prepričan, da bi bile njegove pravice obrambe v njegovi zadevi upoštevane le, če bi imel možnost osebno zaslišati E. M. L.; v zvezi s tem je trdil, da je E. M. L. sam izjavil, da je videl dve osebi, ki sta bili videti povsem enaki.</w:t>
      </w:r>
    </w:p>
    <w:p w:rsidR="00D30A55" w:rsidRPr="0039748E" w:rsidRDefault="00D30A55" w:rsidP="001D3AE1">
      <w:pPr>
        <w:pStyle w:val="ECHRPara"/>
        <w:rPr>
          <w:lang w:val="sl"/>
        </w:rPr>
      </w:pPr>
      <w:r>
        <w:rPr>
          <w:lang w:val="sl"/>
        </w:rPr>
        <w:fldChar w:fldCharType="begin"/>
      </w:r>
      <w:r>
        <w:rPr>
          <w:lang w:val="sl"/>
        </w:rPr>
        <w:instrText xml:space="preserve"> SEQ level0 \*arabic </w:instrText>
      </w:r>
      <w:r>
        <w:rPr>
          <w:lang w:val="sl"/>
        </w:rPr>
        <w:fldChar w:fldCharType="separate"/>
      </w:r>
      <w:r w:rsidR="00425DCA">
        <w:rPr>
          <w:noProof/>
          <w:lang w:val="sl"/>
        </w:rPr>
        <w:t>55</w:t>
      </w:r>
      <w:r>
        <w:rPr>
          <w:lang w:val="sl"/>
        </w:rPr>
        <w:fldChar w:fldCharType="end"/>
      </w:r>
      <w:r>
        <w:rPr>
          <w:lang w:val="sl"/>
        </w:rPr>
        <w:t>.  Pritožnik je menil, da ga je E. M. L. imenoval za strelca preprosto zato, ker je poznal njegovo ime, ni pa poznal njegovega brata. Pritožnik je dodal, da ne izpodbija resničnosti pričevanja E. M. L., pač pa le trdi, da ga je E. M. L. zamenjal z njegovim bratom M. Š. Poleg tega je izjavi pritožnika in M. Š., da je M. Š. ustrelil B., potrdila izjava M. S., ki je videla, da je M. Š. nosil pištolo, ko je prišel iz spalnice. Pritožnikovo različico dogodkov so potrdili tudi sklepi forenzičnega izvedenca V. M. Glede strahu E. M. L. pred maščevanjem, je pritožnik opozoril, da bi E. M. L. lahko zaslišal prek video povezave in mu ga ne bi bilo treba osebno srečati, da pa se v vsakem primeru že poznata.</w:t>
      </w:r>
    </w:p>
    <w:p w:rsidR="00D30A55" w:rsidRPr="0039748E" w:rsidRDefault="00D30A55" w:rsidP="001D3AE1">
      <w:pPr>
        <w:pStyle w:val="ECHRHeading4"/>
        <w:rPr>
          <w:lang w:val="sl"/>
        </w:rPr>
      </w:pPr>
      <w:r>
        <w:rPr>
          <w:iCs w:val="0"/>
          <w:lang w:val="sl"/>
        </w:rPr>
        <w:t>(b) Vlada</w:t>
      </w:r>
    </w:p>
    <w:p w:rsidR="005E3965" w:rsidRPr="0039748E" w:rsidRDefault="00D33657" w:rsidP="001D3AE1">
      <w:pPr>
        <w:pStyle w:val="ECHRPara"/>
        <w:rPr>
          <w:lang w:val="sl"/>
        </w:rPr>
      </w:pPr>
      <w:r>
        <w:rPr>
          <w:lang w:val="sl"/>
        </w:rPr>
        <w:fldChar w:fldCharType="begin"/>
      </w:r>
      <w:r>
        <w:rPr>
          <w:lang w:val="sl"/>
        </w:rPr>
        <w:instrText xml:space="preserve"> SEQ level0 \*arabic </w:instrText>
      </w:r>
      <w:r>
        <w:rPr>
          <w:lang w:val="sl"/>
        </w:rPr>
        <w:fldChar w:fldCharType="separate"/>
      </w:r>
      <w:r w:rsidR="00425DCA">
        <w:rPr>
          <w:noProof/>
          <w:lang w:val="sl"/>
        </w:rPr>
        <w:t>56</w:t>
      </w:r>
      <w:r>
        <w:rPr>
          <w:lang w:val="sl"/>
        </w:rPr>
        <w:fldChar w:fldCharType="end"/>
      </w:r>
      <w:r>
        <w:rPr>
          <w:lang w:val="sl"/>
        </w:rPr>
        <w:t>.  Ob sklicevanju na sodno prakso Sodišča glede sprejemljivosti dokazov, zlasti nepreverjenih dokazov prič, ki niso prisotne na glavni obravnavi, je vlada poudarila, da je bila prvostopenjska sodba v pritožnikovi zadevi izdana po celoviti in temeljiti izvedbi dokazov, ki so jih pozneje pregledala sodišča višje stopnje. Po mnenju vlade je bilo pričevanje E. M. L. upravičeno šteto za verodostojno, saj je bila njegova izjava preiskovalnemu sodniku v Haagu v vseh bistvenih točkah enaka izjavi, ki jo je dal češkim organom takoj po streljanju. Res je med poznejšim zaslišanjem v Haagu zamenjal položaja pritožnika in njegovega brata na tlorisu spalnice; vendar sta bili obe njegovi izjavi nedvoumni glede trditve, da je videl pritožnika ustreliti v H</w:t>
      </w:r>
      <w:r w:rsidR="0064554E">
        <w:rPr>
          <w:lang w:val="sl"/>
        </w:rPr>
        <w:t>.</w:t>
      </w:r>
      <w:r>
        <w:rPr>
          <w:lang w:val="sl"/>
        </w:rPr>
        <w:t xml:space="preserve"> C. Z.</w:t>
      </w:r>
    </w:p>
    <w:p w:rsidR="005E3965" w:rsidRPr="0039748E" w:rsidRDefault="00206A5A" w:rsidP="001D3AE1">
      <w:pPr>
        <w:pStyle w:val="ECHRPara"/>
        <w:rPr>
          <w:lang w:val="sl"/>
        </w:rPr>
      </w:pPr>
      <w:r>
        <w:rPr>
          <w:lang w:val="sl"/>
        </w:rPr>
        <w:fldChar w:fldCharType="begin"/>
      </w:r>
      <w:r>
        <w:rPr>
          <w:lang w:val="sl"/>
        </w:rPr>
        <w:instrText xml:space="preserve"> SEQ level0 \*arabic </w:instrText>
      </w:r>
      <w:r>
        <w:rPr>
          <w:lang w:val="sl"/>
        </w:rPr>
        <w:fldChar w:fldCharType="separate"/>
      </w:r>
      <w:r w:rsidR="00425DCA">
        <w:rPr>
          <w:noProof/>
          <w:lang w:val="sl"/>
        </w:rPr>
        <w:t>57</w:t>
      </w:r>
      <w:r>
        <w:rPr>
          <w:lang w:val="sl"/>
        </w:rPr>
        <w:fldChar w:fldCharType="end"/>
      </w:r>
      <w:r>
        <w:rPr>
          <w:lang w:val="sl"/>
        </w:rPr>
        <w:t xml:space="preserve">.  Vlada je opozorila, da nizozemski organi sicer niso dovolili pritožniku, da bi se osebno udeležil drugega zaslišanja E. M. L. pred zahtevanim preiskovalnim sodnikom v Haagu, je pa bila prisotna njegova zagovornica in je E. M. L. postavila več vprašanj v imenu pritožnika in tako v celoti potrdila verodostojnost njegovega pričevanja. Poleg tega so potek dogodkov, kakor ga je opisal E. M. L., in njegovo obtožbo pritožnika potrdile izjave M. S., ki ni slišala nobenega pretepa v spalnici pred streljanjem in ni videla, da bi E. M. L. s pištolo grozil pritožniku in A. S. Je pa videla E. M. </w:t>
      </w:r>
      <w:r>
        <w:rPr>
          <w:lang w:val="sl"/>
        </w:rPr>
        <w:lastRenderedPageBreak/>
        <w:t>L., ko je zbežal iz spalnice takoj po streljanju, sledili pa so mu pritožnik, M. Š. in A. S.</w:t>
      </w:r>
    </w:p>
    <w:p w:rsidR="00B41CAC" w:rsidRPr="0039748E" w:rsidRDefault="00206A5A" w:rsidP="001D3AE1">
      <w:pPr>
        <w:pStyle w:val="ECHRPara"/>
        <w:rPr>
          <w:lang w:val="sl"/>
        </w:rPr>
      </w:pPr>
      <w:r>
        <w:rPr>
          <w:lang w:val="sl"/>
        </w:rPr>
        <w:fldChar w:fldCharType="begin"/>
      </w:r>
      <w:r>
        <w:rPr>
          <w:lang w:val="sl"/>
        </w:rPr>
        <w:instrText xml:space="preserve"> SEQ level0 \*arabic </w:instrText>
      </w:r>
      <w:r>
        <w:rPr>
          <w:lang w:val="sl"/>
        </w:rPr>
        <w:fldChar w:fldCharType="separate"/>
      </w:r>
      <w:r w:rsidR="00425DCA">
        <w:rPr>
          <w:noProof/>
          <w:lang w:val="sl"/>
        </w:rPr>
        <w:t>58</w:t>
      </w:r>
      <w:r>
        <w:rPr>
          <w:lang w:val="sl"/>
        </w:rPr>
        <w:fldChar w:fldCharType="end"/>
      </w:r>
      <w:r>
        <w:rPr>
          <w:lang w:val="sl"/>
        </w:rPr>
        <w:t xml:space="preserve">.  Vlada se je tudi sklicevala na številna neskladja med različicami poteka dogodkov pritožnika, M. Š. in A. S., začenši z nelogičnim odzivom na prihod domnevno oboroženega E. M. L., ki ga M. Š. ni pozval k odgovoru, pač pa naj bi </w:t>
      </w:r>
      <w:r w:rsidR="0064554E">
        <w:rPr>
          <w:lang w:val="sl"/>
        </w:rPr>
        <w:t xml:space="preserve">bil </w:t>
      </w:r>
      <w:r>
        <w:rPr>
          <w:lang w:val="sl"/>
        </w:rPr>
        <w:t>večja grožnja njegov neoboroženi šef H. C. Z. Poleg tega njihove pripovedi niso podprli sklepi iz forenzičnih in balističnih poročil.</w:t>
      </w:r>
    </w:p>
    <w:p w:rsidR="00D30A55" w:rsidRPr="0039748E" w:rsidRDefault="009A6A56" w:rsidP="001D3AE1">
      <w:pPr>
        <w:pStyle w:val="ECHRPara"/>
        <w:rPr>
          <w:lang w:val="sl"/>
        </w:rPr>
      </w:pPr>
      <w:r>
        <w:rPr>
          <w:lang w:val="sl"/>
        </w:rPr>
        <w:fldChar w:fldCharType="begin"/>
      </w:r>
      <w:r>
        <w:rPr>
          <w:lang w:val="sl"/>
        </w:rPr>
        <w:instrText xml:space="preserve"> SEQ level0 \*arabic </w:instrText>
      </w:r>
      <w:r>
        <w:rPr>
          <w:lang w:val="sl"/>
        </w:rPr>
        <w:fldChar w:fldCharType="separate"/>
      </w:r>
      <w:r w:rsidR="00425DCA">
        <w:rPr>
          <w:noProof/>
          <w:lang w:val="sl"/>
        </w:rPr>
        <w:t>59</w:t>
      </w:r>
      <w:r>
        <w:rPr>
          <w:lang w:val="sl"/>
        </w:rPr>
        <w:fldChar w:fldCharType="end"/>
      </w:r>
      <w:r>
        <w:rPr>
          <w:lang w:val="sl"/>
        </w:rPr>
        <w:t>.  V sklepnem delu je vlada zagovarjala stališče, da je bila odsotnost E. M. L. na pritožnikovem sojenju zakonita glede na to, da se je bal pritožnika, ki ga je hotel ubiti, potem ko je bil H. C. Z. ustreljen, zato da ne bi mogel pričati. Pritožnikova pravica do obrambe ni bila kršena, ker mu je prisotnost njegove zagovornice na zaslišanju E. M. L. zagotovila dovolj možnosti za izpodbijanje pričevanja E. M. L. Zagovornica je E. M. L. postavila osemindvajset vprašanj in mu tudi predložila pisna vprašanja pritožnika; E. M. L. je odgovoril na vsa. Kakor je ugotovilo vrhovno sodišče, je bil E. M. L. dosleden pri identifikaciji pritožnika kot osebe, ki je ustrelila H. C. Z. Glede na navedeno je vlada zavzela stališče, da pritožnikova prisotnost na zaslišanju E. M. L. ne bi vplivala na presojanje dokazov domačih sodišč.</w:t>
      </w:r>
    </w:p>
    <w:p w:rsidR="00930E6B" w:rsidRPr="0039748E" w:rsidRDefault="00930E6B" w:rsidP="001D3AE1">
      <w:pPr>
        <w:pStyle w:val="ECHRHeading3"/>
        <w:rPr>
          <w:lang w:val="sl"/>
        </w:rPr>
      </w:pPr>
      <w:r>
        <w:rPr>
          <w:bCs w:val="0"/>
          <w:iCs/>
          <w:lang w:val="sl"/>
        </w:rPr>
        <w:t>2.  Presoja Sodišča</w:t>
      </w:r>
    </w:p>
    <w:p w:rsidR="00C05049" w:rsidRPr="0039748E" w:rsidRDefault="00C05049" w:rsidP="001D3AE1">
      <w:pPr>
        <w:pStyle w:val="ECHRHeading4"/>
        <w:rPr>
          <w:lang w:val="sl"/>
        </w:rPr>
      </w:pPr>
      <w:r>
        <w:rPr>
          <w:iCs w:val="0"/>
          <w:lang w:val="sl"/>
        </w:rPr>
        <w:t>(a) Splošna načela</w:t>
      </w:r>
    </w:p>
    <w:p w:rsidR="005E3965" w:rsidRPr="0039748E" w:rsidRDefault="00930E6B" w:rsidP="001D3AE1">
      <w:pPr>
        <w:pStyle w:val="ECHRPara"/>
        <w:rPr>
          <w:lang w:val="sl"/>
        </w:rPr>
      </w:pPr>
      <w:r>
        <w:rPr>
          <w:szCs w:val="20"/>
          <w:lang w:val="sl"/>
        </w:rPr>
        <w:fldChar w:fldCharType="begin"/>
      </w:r>
      <w:r>
        <w:rPr>
          <w:rFonts w:ascii="Times New Roman" w:hAnsi="Times New Roman"/>
          <w:szCs w:val="20"/>
          <w:lang w:val="sl"/>
        </w:rPr>
        <w:instrText xml:space="preserve"> SEQ level0 \*arabic </w:instrText>
      </w:r>
      <w:r>
        <w:rPr>
          <w:szCs w:val="20"/>
          <w:lang w:val="sl"/>
        </w:rPr>
        <w:fldChar w:fldCharType="separate"/>
      </w:r>
      <w:r w:rsidR="00425DCA">
        <w:rPr>
          <w:rFonts w:ascii="Times New Roman" w:hAnsi="Times New Roman"/>
          <w:noProof/>
          <w:szCs w:val="20"/>
          <w:lang w:val="sl"/>
        </w:rPr>
        <w:t>60</w:t>
      </w:r>
      <w:r>
        <w:rPr>
          <w:szCs w:val="20"/>
          <w:lang w:val="sl"/>
        </w:rPr>
        <w:fldChar w:fldCharType="end"/>
      </w:r>
      <w:r>
        <w:rPr>
          <w:rFonts w:ascii="Times New Roman" w:hAnsi="Times New Roman"/>
          <w:szCs w:val="20"/>
          <w:lang w:val="sl"/>
        </w:rPr>
        <w:t>.  </w:t>
      </w:r>
      <w:r>
        <w:rPr>
          <w:lang w:val="sl"/>
        </w:rPr>
        <w:t xml:space="preserve">Sodišče ponavlja, da so jamstva iz točke d tretjega odstavka 6. člena konvencije posebni vidiki pravice do pravične obravnave, določeni v prvem odstavku tega člena, ki jih je treba upoštevati pri vsaki presoji o pravičnosti postopka. Poleg tega je temeljna odgovornost Sodišča na podlagi prvega odstavka 6. člena oceniti splošno pravičnost kazenskega postopka (glej </w:t>
      </w:r>
      <w:r>
        <w:rPr>
          <w:i/>
          <w:iCs/>
          <w:lang w:val="sl"/>
        </w:rPr>
        <w:t>Taxquet proti Belgiji</w:t>
      </w:r>
      <w:r>
        <w:rPr>
          <w:lang w:val="sl"/>
        </w:rPr>
        <w:t xml:space="preserve"> [VS], št. 926/05, 84. odstavek, 16. november 2010, in nadaljnja sklicevanja v sodbi).</w:t>
      </w:r>
      <w:bookmarkStart w:id="2" w:name="File3"/>
      <w:bookmarkEnd w:id="2"/>
      <w:r>
        <w:rPr>
          <w:lang w:val="sl"/>
        </w:rPr>
        <w:t xml:space="preserve"> Pri tej presoji bo Sodišče preučilo postopek kot celoto ob upoštevanju pravic obrambe ter tudi interesov javnosti in žrtve (žrtev), da je kaznivo dejanje ustrezno preganjano (glej </w:t>
      </w:r>
      <w:r>
        <w:rPr>
          <w:i/>
          <w:iCs/>
          <w:lang w:val="sl"/>
        </w:rPr>
        <w:t>Gäfgen proti Nemčiji</w:t>
      </w:r>
      <w:r>
        <w:rPr>
          <w:lang w:val="sl"/>
        </w:rPr>
        <w:t xml:space="preserve"> [VS], št. 22978/05, 175. odstavek, ESČP 2010), in po potrebi pravic prič (glej med drugim </w:t>
      </w:r>
      <w:r>
        <w:rPr>
          <w:i/>
          <w:iCs/>
          <w:lang w:val="sl"/>
        </w:rPr>
        <w:t>Doorson proti Nizozemski</w:t>
      </w:r>
      <w:r>
        <w:rPr>
          <w:lang w:val="sl"/>
        </w:rPr>
        <w:t xml:space="preserve">, 26. marec 1996, 70. odstavek, </w:t>
      </w:r>
      <w:r>
        <w:rPr>
          <w:i/>
          <w:iCs/>
          <w:lang w:val="sl"/>
        </w:rPr>
        <w:t>Poročila o sodbah in odločbah</w:t>
      </w:r>
      <w:r>
        <w:rPr>
          <w:lang w:val="sl"/>
        </w:rPr>
        <w:t xml:space="preserve"> 1996–II). Pri tem je pomembno tudi, da dopustnost dokazov urejajo notranje pravo in domača sodišča ter da je edina odgovornost Sodišča, da preuči, ali so bili postopki vodeni pravično (glej </w:t>
      </w:r>
      <w:r>
        <w:rPr>
          <w:i/>
          <w:iCs/>
          <w:lang w:val="sl"/>
        </w:rPr>
        <w:t>Gäfgen</w:t>
      </w:r>
      <w:r>
        <w:rPr>
          <w:lang w:val="sl"/>
        </w:rPr>
        <w:t>, 162. odstavek, in sklicevanja v sodbi).</w:t>
      </w:r>
    </w:p>
    <w:p w:rsidR="005E3965" w:rsidRPr="0039748E" w:rsidRDefault="00930E6B" w:rsidP="001D3AE1">
      <w:pPr>
        <w:pStyle w:val="ECHRPara"/>
        <w:rPr>
          <w:rFonts w:eastAsia="Times New Roman"/>
          <w:lang w:val="sl"/>
        </w:rPr>
      </w:pPr>
      <w:r>
        <w:rPr>
          <w:lang w:val="sl"/>
        </w:rPr>
        <w:fldChar w:fldCharType="begin"/>
      </w:r>
      <w:r>
        <w:rPr>
          <w:lang w:val="sl"/>
        </w:rPr>
        <w:instrText xml:space="preserve"> SEQ level0 \*arabic </w:instrText>
      </w:r>
      <w:r>
        <w:rPr>
          <w:lang w:val="sl"/>
        </w:rPr>
        <w:fldChar w:fldCharType="separate"/>
      </w:r>
      <w:r w:rsidR="00425DCA">
        <w:rPr>
          <w:noProof/>
          <w:lang w:val="sl"/>
        </w:rPr>
        <w:t>61</w:t>
      </w:r>
      <w:r>
        <w:rPr>
          <w:lang w:val="sl"/>
        </w:rPr>
        <w:fldChar w:fldCharType="end"/>
      </w:r>
      <w:r>
        <w:rPr>
          <w:lang w:val="sl"/>
        </w:rPr>
        <w:t xml:space="preserve">.  Glede vključitve izjav prič, ki se ne udeležijo sojenja in jih obtoženi ne more zaslišati v nobeni fazi postopka, je Sodišče razložilo ustrezna načela v svoji sodbi v zadevi </w:t>
      </w:r>
      <w:r>
        <w:rPr>
          <w:i/>
          <w:iCs/>
          <w:lang w:val="sl"/>
        </w:rPr>
        <w:t xml:space="preserve">Al-Khawaja in Tahery proti Združenemu kraljestvu </w:t>
      </w:r>
      <w:r>
        <w:rPr>
          <w:lang w:val="sl"/>
        </w:rPr>
        <w:t xml:space="preserve">([VS], št. 26766/05 in 22228/06, 119.–147. odstavek, ESČP 2011). Ta načela so bila pred kratkim dodatno razjasnjena v sodbi Velikega senata v zadevi </w:t>
      </w:r>
      <w:r>
        <w:rPr>
          <w:i/>
          <w:iCs/>
          <w:lang w:val="sl"/>
        </w:rPr>
        <w:t xml:space="preserve">Schatschaschwili proti Nemčiji </w:t>
      </w:r>
      <w:r>
        <w:rPr>
          <w:lang w:val="sl"/>
        </w:rPr>
        <w:t>([VS], št. 9154/10</w:t>
      </w:r>
      <w:r>
        <w:rPr>
          <w:snapToGrid w:val="0"/>
          <w:lang w:val="sl"/>
        </w:rPr>
        <w:t xml:space="preserve">, </w:t>
      </w:r>
      <w:r>
        <w:rPr>
          <w:lang w:val="sl"/>
        </w:rPr>
        <w:t>100.–131. odstavek, 15. </w:t>
      </w:r>
      <w:r>
        <w:rPr>
          <w:snapToGrid w:val="0"/>
          <w:lang w:val="sl"/>
        </w:rPr>
        <w:t xml:space="preserve">december 2015), v kateri so bili podrobno pregledani odnosi med njimi </w:t>
      </w:r>
      <w:r>
        <w:rPr>
          <w:snapToGrid w:val="0"/>
          <w:lang w:val="sl"/>
        </w:rPr>
        <w:lastRenderedPageBreak/>
        <w:t>in je bilo vsako načelo podrobneje opredeljeno. Predvsem je Sodišče</w:t>
      </w:r>
      <w:r>
        <w:rPr>
          <w:lang w:val="sl"/>
        </w:rPr>
        <w:t xml:space="preserve"> ugotovilo, da je pri ugotavljanju, ali je sprejetje takih dokazov v skladu s pravico do pravičnega sojenja, najprej treba ugotoviti, ali je obstajal dober razlog za neudeležbo priče. Drugič, Sodišče mora preučiti, ali je bil dokaz odsotne priče edina ali odločilna podlaga za obsodbo, in tretjič, ali je bilo dovolj protiutežnih dejavnikov, vključno z močnimi postopkovnimi jamstvi, ki so dopuščali pravično in pravilno presojo zanesljivosti dokazov. Sodišče je tudi opozorilo, da je treba, kakor pri vseh pritožbah na podlagi tretjega odstavka 6. člena, pritožnikovo nezmožnost zaslišati pričo presojati z vidika vpliva, ki ga je to imelo na celotno pravičnost njegovega sojenja.</w:t>
      </w:r>
    </w:p>
    <w:p w:rsidR="00C14EAF" w:rsidRPr="0039748E" w:rsidRDefault="00C14EAF" w:rsidP="001D3AE1">
      <w:pPr>
        <w:pStyle w:val="ECHRHeading4"/>
        <w:rPr>
          <w:lang w:val="sl"/>
        </w:rPr>
      </w:pPr>
      <w:r>
        <w:rPr>
          <w:iCs w:val="0"/>
          <w:lang w:val="sl"/>
        </w:rPr>
        <w:t>(b) Uporaba teh načel pri obravnavani zadevi</w:t>
      </w:r>
    </w:p>
    <w:p w:rsidR="005E3965" w:rsidRPr="0039748E" w:rsidRDefault="00C14EAF" w:rsidP="001D3AE1">
      <w:pPr>
        <w:pStyle w:val="ECHRPara"/>
        <w:rPr>
          <w:rFonts w:eastAsia="Times New Roman"/>
          <w:lang w:val="sl"/>
        </w:rPr>
      </w:pPr>
      <w:r>
        <w:rPr>
          <w:snapToGrid w:val="0"/>
          <w:lang w:val="sl"/>
        </w:rPr>
        <w:fldChar w:fldCharType="begin"/>
      </w:r>
      <w:r>
        <w:rPr>
          <w:snapToGrid w:val="0"/>
          <w:lang w:val="sl"/>
        </w:rPr>
        <w:instrText xml:space="preserve"> SEQ level0 \*arabic </w:instrText>
      </w:r>
      <w:r>
        <w:rPr>
          <w:snapToGrid w:val="0"/>
          <w:lang w:val="sl"/>
        </w:rPr>
        <w:fldChar w:fldCharType="separate"/>
      </w:r>
      <w:r w:rsidR="00425DCA">
        <w:rPr>
          <w:noProof/>
          <w:snapToGrid w:val="0"/>
          <w:lang w:val="sl"/>
        </w:rPr>
        <w:t>62</w:t>
      </w:r>
      <w:r>
        <w:rPr>
          <w:snapToGrid w:val="0"/>
          <w:lang w:val="sl"/>
        </w:rPr>
        <w:fldChar w:fldCharType="end"/>
      </w:r>
      <w:r>
        <w:rPr>
          <w:snapToGrid w:val="0"/>
          <w:lang w:val="sl"/>
        </w:rPr>
        <w:t>.  </w:t>
      </w:r>
      <w:r>
        <w:rPr>
          <w:lang w:val="sl"/>
        </w:rPr>
        <w:t xml:space="preserve">Treba je razlikovati med okoliščinami pri obravnavani zadevi in tistimi pri zgoraj navedenih zadevah, pri katerih ne obtožencem ne njihovim zagovornikom ni bilo omogočeno, da z zaslišanjem preverijo dokaze, pridobljene od edinih neposrednih prič zadevnih kaznivih dejanj. Niti ni obravnavana zadeva podobna zadevam, kakršna je </w:t>
      </w:r>
      <w:r>
        <w:rPr>
          <w:i/>
          <w:iCs/>
          <w:lang w:val="sl"/>
        </w:rPr>
        <w:t>Doorson</w:t>
      </w:r>
      <w:r>
        <w:rPr>
          <w:lang w:val="sl"/>
        </w:rPr>
        <w:t xml:space="preserve"> (navedena zgoraj), pri kateri je obtoženčev zagovornik lahko zaslišal anonimne priče, vendar ni mogel postavljati vprašanj, ki bi lahko privedla do razkritja njihove identitete (prav tam, 68.–76. odstavek). V navedenih zadevah je imela obramba veliko težav pri izpodbijanju zanesljivosti in verodostojnosti pričevanj obremenilnih prič, bodisi zato ker posamezna priča ni bila na voljo za zaslišanje ali zato ker je bil obseg dovoljenih vprašanj tako omejen, da je na primer izključeval vsa vprašanja, povezana s predhodnim razmerjem z obtožencem. V obravnavani zadevi pa je pritožnik poznal E. M. L., edino neposredno pričo zadevnega streljanja, ki se ni hotel udeležiti obravnave in pričati, ker se je bal maščevanja. Poleg tega se pritožnik sicer ni smel udeležiti zaslišanja E. M. L., vendar je njegova zagovornica lahko zaslišala E. M. L. o vseh pomembnih vidikih zadeve, vključno z identiteto strelca (glej 32. odstavek).</w:t>
      </w:r>
    </w:p>
    <w:p w:rsidR="00C14EAF" w:rsidRPr="0039748E" w:rsidRDefault="00C14EAF" w:rsidP="001D3AE1">
      <w:pPr>
        <w:pStyle w:val="ECHRPara"/>
        <w:rPr>
          <w:lang w:val="sl"/>
        </w:rPr>
      </w:pPr>
      <w:r>
        <w:rPr>
          <w:lang w:val="sl"/>
        </w:rPr>
        <w:fldChar w:fldCharType="begin"/>
      </w:r>
      <w:r>
        <w:rPr>
          <w:lang w:val="sl"/>
        </w:rPr>
        <w:instrText xml:space="preserve"> SEQ level0 \*arabic </w:instrText>
      </w:r>
      <w:r>
        <w:rPr>
          <w:lang w:val="sl"/>
        </w:rPr>
        <w:fldChar w:fldCharType="separate"/>
      </w:r>
      <w:r w:rsidR="00425DCA">
        <w:rPr>
          <w:noProof/>
          <w:lang w:val="sl"/>
        </w:rPr>
        <w:t>63</w:t>
      </w:r>
      <w:r>
        <w:rPr>
          <w:lang w:val="sl"/>
        </w:rPr>
        <w:fldChar w:fldCharType="end"/>
      </w:r>
      <w:r>
        <w:rPr>
          <w:lang w:val="sl"/>
        </w:rPr>
        <w:t xml:space="preserve">.  Obravnavana zadeva torej vključuje dejstvo, da pritožnik ni mogel neposredno zaslišati ključne obremenilne priče, ki je svojo izjavo dala zunaj javne obravnave. Ta omejitev pa se ni nanašala na pritožnikovo zagovornico, ki je imela možnost zaslišati E. M. L. in izpodbijati njegovo verodostojnost. S tem v zvezi Sodišče ponavlja, da ni treba, da so izjave prič vedno dane na sodišču ali javno, da se sprejmejo kot dokaz; predvsem je to v nekaterih zadevah nemogoče (glej </w:t>
      </w:r>
      <w:r>
        <w:rPr>
          <w:i/>
          <w:iCs/>
          <w:lang w:val="sl"/>
        </w:rPr>
        <w:t>Asch proti Avstriji</w:t>
      </w:r>
      <w:r>
        <w:rPr>
          <w:lang w:val="sl"/>
        </w:rPr>
        <w:t xml:space="preserve">, 26. april 1991, 27. odstavek, serija A št. 203). Sodišče je tudi sprejelo, da v izjemnih primerih lahko obstajajo razlogi za to, da se priča zasliši v odsotnosti osebe, proti kateri bo dana izjava, pod pogojem, da je prisoten zagovornik te osebe (glej </w:t>
      </w:r>
      <w:r>
        <w:rPr>
          <w:rStyle w:val="textcolumn"/>
          <w:i/>
          <w:iCs/>
          <w:lang w:val="sl"/>
        </w:rPr>
        <w:t>Hilden proti Finski</w:t>
      </w:r>
      <w:r>
        <w:rPr>
          <w:rStyle w:val="textcolumn"/>
          <w:lang w:val="sl"/>
        </w:rPr>
        <w:t xml:space="preserve"> (sklep) št. 32523/96</w:t>
      </w:r>
      <w:r>
        <w:rPr>
          <w:lang w:val="sl"/>
        </w:rPr>
        <w:t xml:space="preserve">, 14. september 1999, in sklicevanja v sklepu); ne glede na to je Sodišče tudi poudarilo, da bi morala za take izjeme veljati omejevalna razlaga (glej </w:t>
      </w:r>
      <w:r>
        <w:rPr>
          <w:i/>
          <w:iCs/>
          <w:lang w:val="sl"/>
        </w:rPr>
        <w:t>Melich in Beck proti Češki republiki</w:t>
      </w:r>
      <w:r>
        <w:rPr>
          <w:lang w:val="sl"/>
        </w:rPr>
        <w:t>, št. 35450/04, 53. odstavek, 24. julij 2008).</w:t>
      </w:r>
    </w:p>
    <w:p w:rsidR="005E3965" w:rsidRPr="0039748E" w:rsidRDefault="00C14EAF" w:rsidP="001D3AE1">
      <w:pPr>
        <w:pStyle w:val="ECHRPara"/>
        <w:rPr>
          <w:lang w:val="sl"/>
        </w:rPr>
      </w:pPr>
      <w:r>
        <w:rPr>
          <w:lang w:val="sl"/>
        </w:rPr>
        <w:lastRenderedPageBreak/>
        <w:fldChar w:fldCharType="begin"/>
      </w:r>
      <w:r>
        <w:rPr>
          <w:lang w:val="sl"/>
        </w:rPr>
        <w:instrText xml:space="preserve"> SEQ level0 \*arabic </w:instrText>
      </w:r>
      <w:r>
        <w:rPr>
          <w:lang w:val="sl"/>
        </w:rPr>
        <w:fldChar w:fldCharType="separate"/>
      </w:r>
      <w:r w:rsidR="00425DCA">
        <w:rPr>
          <w:noProof/>
          <w:lang w:val="sl"/>
        </w:rPr>
        <w:t>64</w:t>
      </w:r>
      <w:r>
        <w:rPr>
          <w:lang w:val="sl"/>
        </w:rPr>
        <w:fldChar w:fldCharType="end"/>
      </w:r>
      <w:r>
        <w:rPr>
          <w:lang w:val="sl"/>
        </w:rPr>
        <w:t xml:space="preserve">.  Glede meril, ki so jih oblikovali organi konvencije za preverjanje, ali je neobstoj neposrednega soočenja v posamezni zadevi v skladu z zahtevami iz prvega odstavka in točke d tretjega odstavka 6. člena konvencije, se ugotavlja, da je prvo obravnavano vprašanje enako vprašanju, ki se nanaša na zadeve z odsotnimi ali anonimnimi pričami, to je, ali je obstajal dober razlog, da se priča zasliši v odsotnosti obtoženca. V zadevah, pri katerih je bilo ugotovljeno, da je tak razlog obstajal, so organi konvencije nadalje pregledali, ali so bili pritožniki pomembno prizadeti pri uveljavljanju svoje obrambe, ker ni bilo takega soočenja (glej </w:t>
      </w:r>
      <w:r>
        <w:rPr>
          <w:i/>
          <w:iCs/>
          <w:szCs w:val="24"/>
          <w:lang w:val="sl"/>
        </w:rPr>
        <w:t>X. proti Danski</w:t>
      </w:r>
      <w:r>
        <w:rPr>
          <w:szCs w:val="24"/>
          <w:lang w:val="sl"/>
        </w:rPr>
        <w:t xml:space="preserve">, št. 8395/78, sklep komisije z dne 16. decembra 1981, Sklepi in poročila 27, str. 55; </w:t>
      </w:r>
      <w:r>
        <w:rPr>
          <w:i/>
          <w:iCs/>
          <w:szCs w:val="24"/>
          <w:lang w:val="sl"/>
        </w:rPr>
        <w:t>Kurup proti Danski</w:t>
      </w:r>
      <w:r>
        <w:rPr>
          <w:szCs w:val="24"/>
          <w:lang w:val="sl"/>
        </w:rPr>
        <w:t xml:space="preserve">, št. 11219/84, sklep komisije z dne 10. julija 1985, Sklepi in poročila 42, str. 292–93; in </w:t>
      </w:r>
      <w:r>
        <w:rPr>
          <w:i/>
          <w:iCs/>
          <w:szCs w:val="24"/>
          <w:lang w:val="sl"/>
        </w:rPr>
        <w:t>Hilden</w:t>
      </w:r>
      <w:r>
        <w:rPr>
          <w:lang w:val="sl"/>
        </w:rPr>
        <w:t>). Glede na to, da je zagovornik lahko slišal izjave ustreznih prič in jim postavljal vprašanja, o čemer so bili pritožniki pozneje obveščeni, se je štelo, da so bili interesi obrambe zadostno zavarovani z vključitvijo zagovornika v domačih postopkih.</w:t>
      </w:r>
    </w:p>
    <w:p w:rsidR="005E3965" w:rsidRPr="0039748E" w:rsidRDefault="00C14EAF" w:rsidP="001D3AE1">
      <w:pPr>
        <w:pStyle w:val="ECHRPara"/>
        <w:rPr>
          <w:rFonts w:ascii="Times New Roman" w:hAnsi="Times New Roman" w:cs="Times New Roman"/>
          <w:lang w:val="sl"/>
        </w:rPr>
      </w:pPr>
      <w:r>
        <w:rPr>
          <w:lang w:val="sl"/>
        </w:rPr>
        <w:fldChar w:fldCharType="begin"/>
      </w:r>
      <w:r>
        <w:rPr>
          <w:lang w:val="sl"/>
        </w:rPr>
        <w:instrText xml:space="preserve"> SEQ level0 \*arabic </w:instrText>
      </w:r>
      <w:r>
        <w:rPr>
          <w:lang w:val="sl"/>
        </w:rPr>
        <w:fldChar w:fldCharType="separate"/>
      </w:r>
      <w:r w:rsidR="00425DCA">
        <w:rPr>
          <w:noProof/>
          <w:lang w:val="sl"/>
        </w:rPr>
        <w:t>65</w:t>
      </w:r>
      <w:r>
        <w:rPr>
          <w:lang w:val="sl"/>
        </w:rPr>
        <w:fldChar w:fldCharType="end"/>
      </w:r>
      <w:r>
        <w:rPr>
          <w:lang w:val="sl"/>
        </w:rPr>
        <w:t xml:space="preserve">.  Vendar mora Sodišče upoštevati možnost, da je v posamezni zadevi obramba lahko ovirana, če ni neposrednega soočenja med pričo in obtožencem. V takem primeru mora Sodišče ob upoštevanju preudarkov, ki so enaki tistim, oblikovanim v zvezi z odsotnimi ali anonimnimi pričami, dodatno presoditi, ali je bilo dovolj protiutežnih dejavnikov za nadoknaditev težav, ki jih je imela obramba, ker ni bilo neposrednega soočenja (glej </w:t>
      </w:r>
      <w:r>
        <w:rPr>
          <w:i/>
          <w:iCs/>
          <w:lang w:val="sl"/>
        </w:rPr>
        <w:t>Schatschaschwili</w:t>
      </w:r>
      <w:r>
        <w:rPr>
          <w:lang w:val="sl"/>
        </w:rPr>
        <w:t xml:space="preserve">, </w:t>
      </w:r>
      <w:r>
        <w:rPr>
          <w:rFonts w:ascii="Times New Roman" w:hAnsi="Times New Roman"/>
          <w:lang w:val="sl"/>
        </w:rPr>
        <w:t>114.–116. odstavek in 125.–31. odstavek).</w:t>
      </w:r>
    </w:p>
    <w:p w:rsidR="005E3965" w:rsidRPr="0039748E" w:rsidRDefault="00C14EAF" w:rsidP="001D3AE1">
      <w:pPr>
        <w:pStyle w:val="ECHRPara"/>
        <w:rPr>
          <w:lang w:val="sl"/>
        </w:rPr>
      </w:pPr>
      <w:r>
        <w:rPr>
          <w:lang w:val="sl"/>
        </w:rPr>
        <w:fldChar w:fldCharType="begin"/>
      </w:r>
      <w:r>
        <w:rPr>
          <w:lang w:val="sl"/>
        </w:rPr>
        <w:instrText xml:space="preserve"> SEQ level0 \*arabic </w:instrText>
      </w:r>
      <w:r>
        <w:rPr>
          <w:lang w:val="sl"/>
        </w:rPr>
        <w:fldChar w:fldCharType="separate"/>
      </w:r>
      <w:r w:rsidR="00425DCA">
        <w:rPr>
          <w:noProof/>
          <w:lang w:val="sl"/>
        </w:rPr>
        <w:t>66</w:t>
      </w:r>
      <w:r>
        <w:rPr>
          <w:lang w:val="sl"/>
        </w:rPr>
        <w:fldChar w:fldCharType="end"/>
      </w:r>
      <w:r>
        <w:rPr>
          <w:lang w:val="sl"/>
        </w:rPr>
        <w:t>.  Glede odločitve Okrožnega sodišča v Novem mestu, da E. M. L. zaslišijo nizozemski organi, Sodišče ugotavlja, da je bil E. M. L. pred tem dvakrat povabljen na Okrožno sodišče v Novem mestu (glej 22. in 27. odstavek), vendar brez uspeha. V skladu z izjavo, ki jo je dal preiskovalnemu sodniku Regionalnega sodišča v Haagu, se E. M. L. ni želel udeležiti obravnave v Sloveniji (glej 29. odstavek). Glede na to, da je bil E. M. L. nizozemski državljan in je živel v svoji domači državi, ni verjetno niti mogoče, da bi ga slovenski organi lahko prisilili k udeležbi na obravnavi. Zato Sodišče meni, da je bilo za okrožno sodišče smiselno, da je poskušalo dobiti njegovo pričevanje z drugimi sredstvi, to je s prošnjo nizozemskim organom, da pridobijo njegovo izjavo na Nizozemskem v prisotnosti pritožnika (glej 31. odstavek).</w:t>
      </w:r>
    </w:p>
    <w:p w:rsidR="005E3965" w:rsidRPr="0039748E" w:rsidRDefault="00C14EAF" w:rsidP="001D3AE1">
      <w:pPr>
        <w:pStyle w:val="ECHRPara"/>
        <w:rPr>
          <w:rFonts w:eastAsia="Times New Roman"/>
          <w:lang w:val="sl"/>
        </w:rPr>
      </w:pPr>
      <w:r>
        <w:rPr>
          <w:lang w:val="sl"/>
        </w:rPr>
        <w:fldChar w:fldCharType="begin"/>
      </w:r>
      <w:r>
        <w:rPr>
          <w:lang w:val="sl"/>
        </w:rPr>
        <w:instrText xml:space="preserve"> SEQ level0 \*arabic </w:instrText>
      </w:r>
      <w:r>
        <w:rPr>
          <w:lang w:val="sl"/>
        </w:rPr>
        <w:fldChar w:fldCharType="separate"/>
      </w:r>
      <w:r w:rsidR="00425DCA">
        <w:rPr>
          <w:noProof/>
          <w:lang w:val="sl"/>
        </w:rPr>
        <w:t>67</w:t>
      </w:r>
      <w:r>
        <w:rPr>
          <w:lang w:val="sl"/>
        </w:rPr>
        <w:fldChar w:fldCharType="end"/>
      </w:r>
      <w:r>
        <w:rPr>
          <w:lang w:val="sl"/>
        </w:rPr>
        <w:t xml:space="preserve">.  Preiskovalni sodnik Regionalnega sodišča v Haagu je ugodil prošnji okrožnega sodišča glede zaslišanja E. M. L.; ni pa dovolil pritožniku, da bi se osebno udeležil zaslišanja, ker je ugotovil, da bi bila varnost E. M. L. lahko ogrožena in da morda ne bi hotel pričati (glej 31. odstavek). Glede na izjave E. M. L. in tudi A. B., ki sta jih dala preiskovalnemu sodniku (glej 30. odstavek), je res videti, da strah E. M. L. ni bil neutemeljen. E. M. L. je bil edina neposredna priča ustrelitvi H. C. Z. in ob pobegu s kraja storitve kaznivega dejanja so mu sledili pritožnik, A. S. in M. Š., pri čemer je zadnji nosil pištolo (glej 10. odstavek). Zato sodišče meni, da je obstajal dober razlog za to, da nizozemsko sodišče ni dovolilo pritožniku, da bi bil prisoten </w:t>
      </w:r>
      <w:r>
        <w:rPr>
          <w:lang w:val="sl"/>
        </w:rPr>
        <w:lastRenderedPageBreak/>
        <w:t>na zaslišanju E. M. L. V skladu s tem dejstvo, da je Okrožno sodišče v Novem mestu sprejelo pričevanje E</w:t>
      </w:r>
      <w:r w:rsidR="00483B46">
        <w:rPr>
          <w:lang w:val="sl"/>
        </w:rPr>
        <w:t>.</w:t>
      </w:r>
      <w:r>
        <w:rPr>
          <w:lang w:val="sl"/>
        </w:rPr>
        <w:t xml:space="preserve"> M. L. kot dokaz, samo po sebi ne pomeni kršitve prvega odstavka in točke d tretjega odstavka 6. člena konvencije.</w:t>
      </w:r>
    </w:p>
    <w:p w:rsidR="005E3965" w:rsidRPr="0039748E" w:rsidRDefault="00C14EAF" w:rsidP="001D3AE1">
      <w:pPr>
        <w:pStyle w:val="ECHRPara"/>
        <w:rPr>
          <w:rFonts w:eastAsia="Times New Roman"/>
          <w:lang w:val="sl"/>
        </w:rPr>
      </w:pPr>
      <w:r>
        <w:rPr>
          <w:lang w:val="sl"/>
        </w:rPr>
        <w:fldChar w:fldCharType="begin"/>
      </w:r>
      <w:r>
        <w:rPr>
          <w:lang w:val="sl"/>
        </w:rPr>
        <w:instrText xml:space="preserve"> SEQ level0 \*arabic </w:instrText>
      </w:r>
      <w:r>
        <w:rPr>
          <w:lang w:val="sl"/>
        </w:rPr>
        <w:fldChar w:fldCharType="separate"/>
      </w:r>
      <w:r w:rsidR="00425DCA">
        <w:rPr>
          <w:noProof/>
          <w:lang w:val="sl"/>
        </w:rPr>
        <w:t>68</w:t>
      </w:r>
      <w:r>
        <w:rPr>
          <w:lang w:val="sl"/>
        </w:rPr>
        <w:fldChar w:fldCharType="end"/>
      </w:r>
      <w:r>
        <w:rPr>
          <w:lang w:val="sl"/>
        </w:rPr>
        <w:t>.  Drugič, glede vprašanja, ali so bile pritožnikove pravice obrambe pomembno prizadete, ker ni bilo neposrednega soočenja, se ne sme spregledati, da je bil E. M. L. edina oseba, ki je videla, kako je bil H. C. Z. ustreljen, in hkrati ni bila šteta kot vpletena v kaznivo dejanje. Res je, da so potek obravnavanih dogodkov po opisu E. M. L. podprla poročila balističnih in forenzičnih izvedencev (glej 20. in 21. odstavek) in vsaj glede dogodkov pred in po streljanju tudi pričevanje M. S. (glej 11. in 28. odstavek). Kljub temu pa je bil E. M. L. edina nevpletena priča streljanja in njegova izjava je bila edini dokaz, ki je neposredno obtoževal pritožnika za umor H. C. Z. Ob upoštevanju dejstva, da je M. Š. priznal isto kaznivo dejanje, je zelo vprašljivo, ali bi bil pritožnik lahko obsojen brez pričevanja E. M. L. Glede tega je očitno, da je Okrožno sodišče v Novem mestu menilo, da pričevanje E. M. L. prepričljivo kaže na pritožnikovo krivdo in se je sklicevalo nanj v utemeljitvi svoje sodbe (glej 38. odstavek). Čeprav je obsodba pritožnika temeljila na znatni količini dokazov, je zato treba šteti pričevanje E. M. L. za odločilen dokaz pri tem.</w:t>
      </w:r>
    </w:p>
    <w:p w:rsidR="00C14EAF" w:rsidRPr="0039748E" w:rsidRDefault="00C14EAF" w:rsidP="001D3AE1">
      <w:pPr>
        <w:pStyle w:val="ECHRPara"/>
        <w:rPr>
          <w:rFonts w:eastAsia="Times New Roman"/>
          <w:lang w:val="sl"/>
        </w:rPr>
      </w:pPr>
      <w:r>
        <w:rPr>
          <w:lang w:val="sl"/>
        </w:rPr>
        <w:fldChar w:fldCharType="begin"/>
      </w:r>
      <w:r>
        <w:rPr>
          <w:lang w:val="sl"/>
        </w:rPr>
        <w:instrText xml:space="preserve"> SEQ level0 \*arabic </w:instrText>
      </w:r>
      <w:r>
        <w:rPr>
          <w:lang w:val="sl"/>
        </w:rPr>
        <w:fldChar w:fldCharType="separate"/>
      </w:r>
      <w:r w:rsidR="00425DCA">
        <w:rPr>
          <w:noProof/>
          <w:lang w:val="sl"/>
        </w:rPr>
        <w:t>69</w:t>
      </w:r>
      <w:r>
        <w:rPr>
          <w:lang w:val="sl"/>
        </w:rPr>
        <w:fldChar w:fldCharType="end"/>
      </w:r>
      <w:r>
        <w:rPr>
          <w:lang w:val="sl"/>
        </w:rPr>
        <w:t>.  Sodišče nadalje ugotavlja, da je pritožnik v domačih postopkih in pred tem Sodiščem trdil, da ga je E. M. L., ko ga je identificiral kot strelca, zamenjal z njegovim bratom M. Š., ki je v resnici ustrelil H. C. Z. Res je podobnost med pritožnikom in njegovim bratom priznal tudi E. M. L., ki je v svojih izjavah češkim in nizozemskim organom opisal M. Š. kot nekoga, ki je zelo podoben pritožniku (glej 10., 29. in 32. odstavek). Vendar je E. M. L. pritožnika videl dvakrat pred večerom streljanja in je na vseh zaslišanjih pričal, da je bil pritožnik, in ne podobni moški tisti, ki je potegnil pištolo in ustrelil v H. C. Z. Poleg tega se opisa obravnavanih dogodkov, ki ju je E. M. L. dal na zaslišanjih pred preiskovalnim sodnikom Regionalnega sodišča v Haagu 28. marca 2006 in 4. julija 2006 (glej 29. in 32. odstavek)</w:t>
      </w:r>
      <w:r w:rsidR="003272FF">
        <w:rPr>
          <w:lang w:val="sl"/>
        </w:rPr>
        <w:t>,</w:t>
      </w:r>
      <w:r>
        <w:rPr>
          <w:lang w:val="sl"/>
        </w:rPr>
        <w:t xml:space="preserve"> v glavnem ujemata z izjavama, ki ju je dal češki policiji 19. in 20. septembra 2001, v dveh dneh po ustrelitvi H. C. Z. (glej 9. in 10. odstavek). Kljub temu je E. M. L. pri drugem zaslišanju pred preiskovalnim sodnikom zamenjal položaja strelca in priče na tlorisu spalnice, kjer se je streljanje zgodilo, v primerjavi z izjavami, ki jih je dal češki policiji štiri leta in pol pred tem (glej 32. odstavek) in nizozemskemu preiskovalnemu sodniku približno tri mesece pred tem.</w:t>
      </w:r>
    </w:p>
    <w:p w:rsidR="00C14EAF" w:rsidRPr="0039748E" w:rsidRDefault="00C14EAF" w:rsidP="001D3AE1">
      <w:pPr>
        <w:pStyle w:val="ECHRPara"/>
        <w:rPr>
          <w:rFonts w:eastAsia="Times New Roman"/>
          <w:lang w:val="sl"/>
        </w:rPr>
      </w:pPr>
      <w:r>
        <w:rPr>
          <w:rFonts w:eastAsia="Times New Roman"/>
          <w:lang w:val="sl"/>
        </w:rPr>
        <w:fldChar w:fldCharType="begin"/>
      </w:r>
      <w:r>
        <w:rPr>
          <w:rFonts w:eastAsia="Times New Roman"/>
          <w:lang w:val="sl"/>
        </w:rPr>
        <w:instrText xml:space="preserve"> SEQ level0 \*arabic </w:instrText>
      </w:r>
      <w:r>
        <w:rPr>
          <w:rFonts w:eastAsia="Times New Roman"/>
          <w:lang w:val="sl"/>
        </w:rPr>
        <w:fldChar w:fldCharType="separate"/>
      </w:r>
      <w:r w:rsidR="00425DCA">
        <w:rPr>
          <w:rFonts w:eastAsia="Times New Roman"/>
          <w:noProof/>
          <w:lang w:val="sl"/>
        </w:rPr>
        <w:t>70</w:t>
      </w:r>
      <w:r>
        <w:rPr>
          <w:rFonts w:eastAsia="Times New Roman"/>
          <w:lang w:val="sl"/>
        </w:rPr>
        <w:fldChar w:fldCharType="end"/>
      </w:r>
      <w:r>
        <w:rPr>
          <w:rFonts w:eastAsia="Times New Roman"/>
          <w:lang w:val="sl"/>
        </w:rPr>
        <w:t xml:space="preserve">.  Glede na opisane okoliščine Sodišče meni, da bi bilo treba pritožnikove trditve o zamenjani identiteti posebej pozorno preveriti. Sodišče ponavlja, da je praviloma zaželeno, da priča osebno identificira osebo, osumljeno hudih kaznivih dejanj, če je kakršen koli dvom o identiteti te osebe (glej </w:t>
      </w:r>
      <w:r>
        <w:rPr>
          <w:rFonts w:eastAsia="Times New Roman"/>
          <w:i/>
          <w:iCs/>
          <w:lang w:val="sl"/>
        </w:rPr>
        <w:t>Dorsoon</w:t>
      </w:r>
      <w:r>
        <w:rPr>
          <w:rFonts w:eastAsia="Times New Roman"/>
          <w:lang w:val="sl"/>
        </w:rPr>
        <w:t xml:space="preserve">, 74. odstavek), in lahko sprejme dejstvo, da je to, da ni bilo </w:t>
      </w:r>
      <w:r>
        <w:rPr>
          <w:rFonts w:eastAsia="Times New Roman"/>
          <w:lang w:val="sl"/>
        </w:rPr>
        <w:lastRenderedPageBreak/>
        <w:t>identifikacije, v okoliščinah obravnavane zadeve obrambi lahko povzročilo težave.</w:t>
      </w:r>
    </w:p>
    <w:p w:rsidR="005E3965" w:rsidRPr="0039748E" w:rsidRDefault="00C14EAF" w:rsidP="001D3AE1">
      <w:pPr>
        <w:pStyle w:val="ECHRPara"/>
        <w:rPr>
          <w:rFonts w:eastAsia="Times New Roman"/>
          <w:lang w:val="sl"/>
        </w:rPr>
      </w:pPr>
      <w:r>
        <w:rPr>
          <w:szCs w:val="20"/>
          <w:lang w:val="sl"/>
        </w:rPr>
        <w:fldChar w:fldCharType="begin"/>
      </w:r>
      <w:r>
        <w:rPr>
          <w:rFonts w:ascii="Times New Roman" w:hAnsi="Times New Roman"/>
          <w:szCs w:val="20"/>
          <w:lang w:val="sl"/>
        </w:rPr>
        <w:instrText xml:space="preserve"> SEQ level0 \*arabic </w:instrText>
      </w:r>
      <w:r>
        <w:rPr>
          <w:szCs w:val="20"/>
          <w:lang w:val="sl"/>
        </w:rPr>
        <w:fldChar w:fldCharType="separate"/>
      </w:r>
      <w:r w:rsidR="00425DCA">
        <w:rPr>
          <w:rFonts w:ascii="Times New Roman" w:hAnsi="Times New Roman"/>
          <w:noProof/>
          <w:szCs w:val="20"/>
          <w:lang w:val="sl"/>
        </w:rPr>
        <w:t>71</w:t>
      </w:r>
      <w:r>
        <w:rPr>
          <w:szCs w:val="20"/>
          <w:lang w:val="sl"/>
        </w:rPr>
        <w:fldChar w:fldCharType="end"/>
      </w:r>
      <w:r>
        <w:rPr>
          <w:rFonts w:ascii="Times New Roman" w:hAnsi="Times New Roman"/>
          <w:szCs w:val="20"/>
          <w:lang w:val="sl"/>
        </w:rPr>
        <w:t>.  </w:t>
      </w:r>
      <w:r>
        <w:rPr>
          <w:lang w:val="sl"/>
        </w:rPr>
        <w:t>Zato je treba preučiti, ali je bilo pritožniku zagotovljenih dovolj protiutežnih dejavnikov za nadoknaditev teh težav. V zvezi s tem Sodišče ponavlja, da je bil E. M. L. prvič zaslišan med preiskavo v Češki republiki in nato ponovno približno štiri leta in pol pozneje med sojenjem pritožniku za umor H. C. Z. Prva izjava E. M. L. je bila prebrana na prvem sojenju pritožniku leta 2003; zato ne more biti dvoma, da je pritožnik dobro poznal njeno vsebino. To pomeni, kar je ugotovilo tudi vrhovno sodišče (glej 42. odstavek), da je imela obramba možnost primerjati pričevanja E. M. L. pred in med sojenjem in poiskati morebitne neskladnosti ter izpodbijati njihovo verodostojnost, vključno z zanesljivostjo E. M. L.-jeve identifikacije pritožnika kot strelca. Poleg tega je bila na drugem zaslišanju E. M. L., ki ga je vodil preiskovalni sodnik Regionalnega sodišča v Haagu, prisotna pritožnikova zagovornica, ki je imela možnost zaslišati E. M. L. V zvezi s tem Sodišče meni, da je pomembno, da je pritožnik poznal prvo izjavo E. M. L. in je zato lahko pripravil svojo obrambo proti trditvam E. M. L. ter dal svoji zagovornici navodila, kaj naj vpraša E. M. L.</w:t>
      </w:r>
    </w:p>
    <w:p w:rsidR="00C14EAF" w:rsidRPr="0039748E" w:rsidRDefault="00C14EAF" w:rsidP="001D3AE1">
      <w:pPr>
        <w:pStyle w:val="ECHRPara"/>
        <w:rPr>
          <w:lang w:val="sl"/>
        </w:rPr>
      </w:pPr>
      <w:r>
        <w:rPr>
          <w:szCs w:val="20"/>
          <w:lang w:val="sl"/>
        </w:rPr>
        <w:fldChar w:fldCharType="begin"/>
      </w:r>
      <w:r>
        <w:rPr>
          <w:rFonts w:ascii="Times New Roman" w:hAnsi="Times New Roman"/>
          <w:szCs w:val="20"/>
          <w:lang w:val="sl"/>
        </w:rPr>
        <w:instrText xml:space="preserve"> SEQ level0 \*arabic </w:instrText>
      </w:r>
      <w:r>
        <w:rPr>
          <w:szCs w:val="20"/>
          <w:lang w:val="sl"/>
        </w:rPr>
        <w:fldChar w:fldCharType="separate"/>
      </w:r>
      <w:r w:rsidR="00425DCA">
        <w:rPr>
          <w:rFonts w:ascii="Times New Roman" w:hAnsi="Times New Roman"/>
          <w:noProof/>
          <w:szCs w:val="20"/>
          <w:lang w:val="sl"/>
        </w:rPr>
        <w:t>72</w:t>
      </w:r>
      <w:r>
        <w:rPr>
          <w:szCs w:val="20"/>
          <w:lang w:val="sl"/>
        </w:rPr>
        <w:fldChar w:fldCharType="end"/>
      </w:r>
      <w:r>
        <w:rPr>
          <w:rFonts w:ascii="Times New Roman" w:hAnsi="Times New Roman"/>
          <w:szCs w:val="20"/>
          <w:lang w:val="sl"/>
        </w:rPr>
        <w:t>.  Pritožnikova glavna utemeljitev je bila, da bi se E. M. L.-jeva zmotna identifikacija lahko pojasnila le z njegovim neposrednim soočenjem z E. M. L., bodisi osebno ali prek video povezave. Vendar se ugotavlja, da pritožnik, potem ko je bil obveščen, da se ne more osebno udeležiti zaslišanja E. M. L. (glej 31. odstavek), ni zahteval od slovenskih ali nizozemskih organov, da ga E. M. L. identificira prek video povezave, niti potem, ko je E. M. L. zamenjal položaja pritožnika in njegovega brata med streljanjem (glej 33. odstavek).</w:t>
      </w:r>
      <w:r>
        <w:rPr>
          <w:lang w:val="sl"/>
        </w:rPr>
        <w:t xml:space="preserve"> Namesto tega je pritožnik ves čas postopka na prvi stopnji vztrajal, da se osebno sooči z E. M. L., in je možnost identifikacije prek video povezave omenil šele v svoji pritožbi na sodbo na prvi stopnji (glej 40. odstavek). V zvezi s tem Sodišče ugotavlja, da slovenska zakonodaja (242. in 242. a člen Zakona o kazenskem postopku) predvideva postopek prepoznave, pri katerem priči pokažejo obtoženca skupaj z drugimi njemu neznanimi osebami in mora ta prepoznati storilca dejanja v skupini. Če obstaja resna nevarnost, da bi priča zaradi prepoznave izgubila življenje ali utrpela hude poškodbe, se postopek izvede tako, da osebe v skupini za prepoznavo ne morejo videti priče (glej 44. odstavek). Sodišče tudi meni, da je postopek prepoznave, pri katerem se storilec kaznivega dejanja izbere iz skupine podobnih oseb, bolj zanesljiv, kakor prepoznava na sodišču, kjer priča ne vidi nobene druge osebe razen obtoženca, in je tako bolj verjetno, da ga prepozna kot storilca. Vendar, kakor je že bilo navedeno, pritožnik ni zahteval prepoznave, čeprav je imel zakonsko podlago za to. </w:t>
      </w:r>
      <w:r>
        <w:rPr>
          <w:rFonts w:ascii="Times New Roman" w:hAnsi="Times New Roman"/>
          <w:szCs w:val="20"/>
          <w:lang w:val="sl"/>
        </w:rPr>
        <w:t xml:space="preserve">Glede na to, da je pritožnikova zagovornica postavila E. M. L. več vprašanj o identiteti strelca in posebej opozorila na podobnost med pritožnikom in M. Š. (glej 32. odstavek), Sodišče meni, da bi bilo razumno pričakovati, da bi pritožnik </w:t>
      </w:r>
      <w:r>
        <w:rPr>
          <w:rFonts w:ascii="Times New Roman" w:hAnsi="Times New Roman"/>
          <w:szCs w:val="20"/>
          <w:lang w:val="sl"/>
        </w:rPr>
        <w:lastRenderedPageBreak/>
        <w:t>zahteval dodatno razjasnitev vprašanja, če njegovi dvomi o E. M. L.-jevi identifikaciji pritožnika niso bili odpravljeni.</w:t>
      </w:r>
    </w:p>
    <w:p w:rsidR="005E3965" w:rsidRPr="0039748E" w:rsidRDefault="00D8670E" w:rsidP="001D3AE1">
      <w:pPr>
        <w:pStyle w:val="ECHRPara"/>
        <w:rPr>
          <w:rFonts w:ascii="Times New Roman" w:eastAsia="Times New Roman" w:hAnsi="Times New Roman" w:cs="Times New Roman"/>
          <w:szCs w:val="20"/>
          <w:lang w:val="sl"/>
        </w:rPr>
      </w:pPr>
      <w:r>
        <w:rPr>
          <w:rFonts w:ascii="Times New Roman" w:eastAsia="Times New Roman" w:hAnsi="Times New Roman" w:cs="Times New Roman"/>
          <w:szCs w:val="20"/>
          <w:lang w:val="sl"/>
        </w:rPr>
        <w:fldChar w:fldCharType="begin"/>
      </w:r>
      <w:r>
        <w:rPr>
          <w:rFonts w:ascii="Times New Roman" w:eastAsia="Times New Roman" w:hAnsi="Times New Roman" w:cs="Times New Roman"/>
          <w:szCs w:val="20"/>
          <w:lang w:val="sl"/>
        </w:rPr>
        <w:instrText xml:space="preserve"> SEQ level0 \*arabic </w:instrText>
      </w:r>
      <w:r>
        <w:rPr>
          <w:rFonts w:ascii="Times New Roman" w:eastAsia="Times New Roman" w:hAnsi="Times New Roman" w:cs="Times New Roman"/>
          <w:szCs w:val="20"/>
          <w:lang w:val="sl"/>
        </w:rPr>
        <w:fldChar w:fldCharType="separate"/>
      </w:r>
      <w:r w:rsidR="00425DCA">
        <w:rPr>
          <w:rFonts w:ascii="Times New Roman" w:eastAsia="Times New Roman" w:hAnsi="Times New Roman" w:cs="Times New Roman"/>
          <w:noProof/>
          <w:szCs w:val="20"/>
          <w:lang w:val="sl"/>
        </w:rPr>
        <w:t>73</w:t>
      </w:r>
      <w:r>
        <w:rPr>
          <w:rFonts w:ascii="Times New Roman" w:eastAsia="Times New Roman" w:hAnsi="Times New Roman" w:cs="Times New Roman"/>
          <w:szCs w:val="20"/>
          <w:lang w:val="sl"/>
        </w:rPr>
        <w:fldChar w:fldCharType="end"/>
      </w:r>
      <w:r>
        <w:rPr>
          <w:rFonts w:ascii="Times New Roman" w:eastAsia="Times New Roman" w:hAnsi="Times New Roman" w:cs="Times New Roman"/>
          <w:szCs w:val="20"/>
          <w:lang w:val="sl"/>
        </w:rPr>
        <w:t>.  Sodišče tudi meni, da bi morebitno zamenjavo identitete lahko preverili tudi z drugimi sredstvi; pritožnik bi lahko zahteval, da E. M. L. prepozna strelca z različnih fotografij, med katerimi bi bili tudi fotografiji pritožnika in M. Š. Vendar v spisu zadeve ni navedeno, da bi bila taka ali podobna zahteva vložena pri slovenskih ali nizozemskih organih; niti ni pritožnik trdil, da je bila vložena taka zahteva, niti da so jo slovenski ali nizozemski organi zavrnili.</w:t>
      </w:r>
    </w:p>
    <w:p w:rsidR="005E3965" w:rsidRPr="0039748E" w:rsidRDefault="00C14EAF" w:rsidP="001D3AE1">
      <w:pPr>
        <w:pStyle w:val="ECHRPara"/>
        <w:rPr>
          <w:rFonts w:ascii="Times New Roman" w:eastAsia="Times New Roman" w:hAnsi="Times New Roman" w:cs="Times New Roman"/>
          <w:szCs w:val="20"/>
          <w:lang w:val="sl"/>
        </w:rPr>
      </w:pPr>
      <w:r>
        <w:rPr>
          <w:rFonts w:ascii="Times New Roman" w:eastAsia="Times New Roman" w:hAnsi="Times New Roman" w:cs="Times New Roman"/>
          <w:szCs w:val="20"/>
          <w:lang w:val="sl"/>
        </w:rPr>
        <w:fldChar w:fldCharType="begin"/>
      </w:r>
      <w:r>
        <w:rPr>
          <w:rFonts w:ascii="Times New Roman" w:eastAsia="Times New Roman" w:hAnsi="Times New Roman" w:cs="Times New Roman"/>
          <w:szCs w:val="20"/>
          <w:lang w:val="sl"/>
        </w:rPr>
        <w:instrText xml:space="preserve"> SEQ level0 \*arabic </w:instrText>
      </w:r>
      <w:r>
        <w:rPr>
          <w:rFonts w:ascii="Times New Roman" w:eastAsia="Times New Roman" w:hAnsi="Times New Roman" w:cs="Times New Roman"/>
          <w:szCs w:val="20"/>
          <w:lang w:val="sl"/>
        </w:rPr>
        <w:fldChar w:fldCharType="separate"/>
      </w:r>
      <w:r w:rsidR="00425DCA">
        <w:rPr>
          <w:rFonts w:ascii="Times New Roman" w:eastAsia="Times New Roman" w:hAnsi="Times New Roman" w:cs="Times New Roman"/>
          <w:noProof/>
          <w:szCs w:val="20"/>
          <w:lang w:val="sl"/>
        </w:rPr>
        <w:t>74</w:t>
      </w:r>
      <w:r>
        <w:rPr>
          <w:rFonts w:ascii="Times New Roman" w:eastAsia="Times New Roman" w:hAnsi="Times New Roman" w:cs="Times New Roman"/>
          <w:szCs w:val="20"/>
          <w:lang w:val="sl"/>
        </w:rPr>
        <w:fldChar w:fldCharType="end"/>
      </w:r>
      <w:r>
        <w:rPr>
          <w:rFonts w:ascii="Times New Roman" w:eastAsia="Times New Roman" w:hAnsi="Times New Roman" w:cs="Times New Roman"/>
          <w:szCs w:val="20"/>
          <w:lang w:val="sl"/>
        </w:rPr>
        <w:t>.  Glede sklicevanja Okrožnega sodišča v Novem mestu na pričevanje E. M. L. Sodišče ugotavlja, da je okrožno sodišče poudarilo, da sta se pritožnik in E. M. L. poznala že pred streljanjem (glej 38. odstavek). Potek dogodkov, kakor sta ga opisala pritožnik in M. Š., tudi ni bil v skladu z drugimi dokazi, zlasti forenzičnimi, predstavljenimi na sojenju (glej 39. odstavek), ki pa so potrjevali izjavo E. M. L. (glej 38. odstavek). Po presoji vseh razpoložljivih dokazov je Okrožno sodišče v Novem mestu štelo različico poteka dogodkov, kakor ga je opisal E. M. L., in njegovo identifikacijo pritožnika za verodostojno, kljub nasprotujočim opisom položaja pritožnika in njegovega brata med streljanjem. V zvezi s tem Sodišče ugotavlja, da je okrožno sodišče izrecno obravnavalo vprašanje E. M. L.-jevih razhajajočih se opisov položaja strelca, a se je odločilo, da ima predhodno znanstvo E. M. L. in pritožnika ter trdno prepričanje E. M. L. o strelčevi identiteti večjo težo kakor pritožnikova različica poteka obravnavanih dogodkov.</w:t>
      </w:r>
    </w:p>
    <w:p w:rsidR="005E3965" w:rsidRPr="0039748E" w:rsidRDefault="00C14EAF" w:rsidP="001D3AE1">
      <w:pPr>
        <w:pStyle w:val="ECHRPara"/>
        <w:rPr>
          <w:rFonts w:ascii="Times New Roman" w:eastAsia="Times New Roman" w:hAnsi="Times New Roman" w:cs="Times New Roman"/>
          <w:szCs w:val="20"/>
          <w:lang w:val="sl"/>
        </w:rPr>
      </w:pPr>
      <w:r>
        <w:rPr>
          <w:rFonts w:ascii="Times New Roman" w:eastAsia="Times New Roman" w:hAnsi="Times New Roman" w:cs="Times New Roman"/>
          <w:szCs w:val="20"/>
          <w:lang w:val="sl"/>
        </w:rPr>
        <w:fldChar w:fldCharType="begin"/>
      </w:r>
      <w:r>
        <w:rPr>
          <w:rFonts w:ascii="Times New Roman" w:eastAsia="Times New Roman" w:hAnsi="Times New Roman" w:cs="Times New Roman"/>
          <w:szCs w:val="20"/>
          <w:lang w:val="sl"/>
        </w:rPr>
        <w:instrText xml:space="preserve"> SEQ level0 \*arabic </w:instrText>
      </w:r>
      <w:r>
        <w:rPr>
          <w:rFonts w:ascii="Times New Roman" w:eastAsia="Times New Roman" w:hAnsi="Times New Roman" w:cs="Times New Roman"/>
          <w:szCs w:val="20"/>
          <w:lang w:val="sl"/>
        </w:rPr>
        <w:fldChar w:fldCharType="separate"/>
      </w:r>
      <w:r w:rsidR="00425DCA">
        <w:rPr>
          <w:rFonts w:ascii="Times New Roman" w:eastAsia="Times New Roman" w:hAnsi="Times New Roman" w:cs="Times New Roman"/>
          <w:noProof/>
          <w:szCs w:val="20"/>
          <w:lang w:val="sl"/>
        </w:rPr>
        <w:t>75</w:t>
      </w:r>
      <w:r>
        <w:rPr>
          <w:rFonts w:ascii="Times New Roman" w:eastAsia="Times New Roman" w:hAnsi="Times New Roman" w:cs="Times New Roman"/>
          <w:szCs w:val="20"/>
          <w:lang w:val="sl"/>
        </w:rPr>
        <w:fldChar w:fldCharType="end"/>
      </w:r>
      <w:r>
        <w:rPr>
          <w:rFonts w:ascii="Times New Roman" w:eastAsia="Times New Roman" w:hAnsi="Times New Roman" w:cs="Times New Roman"/>
          <w:szCs w:val="20"/>
          <w:lang w:val="sl"/>
        </w:rPr>
        <w:t>.  Glede na to, da se je E. M. L. dvakrat srečal s pritožnikom v dnevih pred streljanjem (glej 9. odstavek) ter da je med prvo izjavo E. M. L., ki jo je dal takoj po obravnavanih dogodkih, in njegovima izjavama pred preiskovalnim sodnikom Regionalnega sodišča v Haagu minilo več kot štiri leta, skupaj z dejstvom, da so bile, razen glede položaja strelca v sobi, naslednje izjave E. M. L. v glavnem v skladu z njegovo prvo izjavo in podprte s forenzičnimi dokazi, Sodišče tega stališča ne more kritizirati. Še posebej zato, ker so bile izjave E. M. L. ves čas postopka nedvoumne glede identitete strelca, kakor je tudi poudarila vlada.</w:t>
      </w:r>
    </w:p>
    <w:p w:rsidR="005E3965" w:rsidRPr="0039748E" w:rsidRDefault="00C14EAF" w:rsidP="001D3AE1">
      <w:pPr>
        <w:pStyle w:val="ECHRPara"/>
        <w:rPr>
          <w:lang w:val="sl"/>
        </w:rPr>
      </w:pPr>
      <w:r>
        <w:rPr>
          <w:lang w:val="sl"/>
        </w:rPr>
        <w:fldChar w:fldCharType="begin"/>
      </w:r>
      <w:r>
        <w:rPr>
          <w:lang w:val="sl"/>
        </w:rPr>
        <w:instrText xml:space="preserve"> SEQ level0 \*arabic </w:instrText>
      </w:r>
      <w:r>
        <w:rPr>
          <w:lang w:val="sl"/>
        </w:rPr>
        <w:fldChar w:fldCharType="separate"/>
      </w:r>
      <w:r w:rsidR="00425DCA">
        <w:rPr>
          <w:noProof/>
          <w:lang w:val="sl"/>
        </w:rPr>
        <w:t>76</w:t>
      </w:r>
      <w:r>
        <w:rPr>
          <w:noProof/>
          <w:lang w:val="sl"/>
        </w:rPr>
        <w:fldChar w:fldCharType="end"/>
      </w:r>
      <w:r>
        <w:rPr>
          <w:lang w:val="sl"/>
        </w:rPr>
        <w:t>.  Ob upoštevanju navedenega, Sodišče ugotavlja, da je bilo na voljo dovolj protiutežnih dejavnikov za zagotovitev, da omejitve pravic obrambe niso bile take, da bi pritožnika prikrajšale za pravično sojenje.</w:t>
      </w:r>
    </w:p>
    <w:p w:rsidR="001710CD" w:rsidRPr="0039748E" w:rsidRDefault="00F3750F" w:rsidP="001D3AE1">
      <w:pPr>
        <w:pStyle w:val="ECHRPara"/>
        <w:rPr>
          <w:lang w:val="sl"/>
        </w:rPr>
      </w:pPr>
      <w:r>
        <w:rPr>
          <w:lang w:val="sl"/>
        </w:rPr>
        <w:fldChar w:fldCharType="begin"/>
      </w:r>
      <w:r>
        <w:rPr>
          <w:lang w:val="sl"/>
        </w:rPr>
        <w:instrText xml:space="preserve"> SEQ level0 \*arabic </w:instrText>
      </w:r>
      <w:r>
        <w:rPr>
          <w:lang w:val="sl"/>
        </w:rPr>
        <w:fldChar w:fldCharType="separate"/>
      </w:r>
      <w:r w:rsidR="00425DCA">
        <w:rPr>
          <w:noProof/>
          <w:lang w:val="sl"/>
        </w:rPr>
        <w:t>77</w:t>
      </w:r>
      <w:r>
        <w:rPr>
          <w:noProof/>
          <w:lang w:val="sl"/>
        </w:rPr>
        <w:fldChar w:fldCharType="end"/>
      </w:r>
      <w:r>
        <w:rPr>
          <w:lang w:val="sl"/>
        </w:rPr>
        <w:t>.  V skladu s tem Sodišče meni, da nista bila kršena prvi odstavek in točka d tretjega odstavka 6. člena konvencije.</w:t>
      </w:r>
    </w:p>
    <w:p w:rsidR="00014566" w:rsidRPr="0039748E" w:rsidRDefault="001F4515" w:rsidP="001D3AE1">
      <w:pPr>
        <w:pStyle w:val="ECHRHeading1"/>
        <w:rPr>
          <w:lang w:val="de-DE"/>
        </w:rPr>
      </w:pPr>
      <w:r>
        <w:rPr>
          <w:bCs w:val="0"/>
          <w:lang w:val="sl"/>
        </w:rPr>
        <w:t>II. DRUGE ZATRJEVANE KRŠITVE KONVENCIJE</w:t>
      </w:r>
    </w:p>
    <w:p w:rsidR="00014566" w:rsidRPr="0039748E" w:rsidRDefault="00D33657" w:rsidP="001D3AE1">
      <w:pPr>
        <w:pStyle w:val="ECHRPara"/>
        <w:rPr>
          <w:lang w:val="sl"/>
        </w:rPr>
      </w:pPr>
      <w:r>
        <w:rPr>
          <w:lang w:val="sl"/>
        </w:rPr>
        <w:fldChar w:fldCharType="begin"/>
      </w:r>
      <w:r>
        <w:rPr>
          <w:lang w:val="sl"/>
        </w:rPr>
        <w:instrText xml:space="preserve"> SEQ level0 \*arabic </w:instrText>
      </w:r>
      <w:r>
        <w:rPr>
          <w:lang w:val="sl"/>
        </w:rPr>
        <w:fldChar w:fldCharType="separate"/>
      </w:r>
      <w:r w:rsidR="00425DCA">
        <w:rPr>
          <w:noProof/>
          <w:lang w:val="sl"/>
        </w:rPr>
        <w:t>78</w:t>
      </w:r>
      <w:r>
        <w:rPr>
          <w:lang w:val="sl"/>
        </w:rPr>
        <w:fldChar w:fldCharType="end"/>
      </w:r>
      <w:r>
        <w:rPr>
          <w:lang w:val="sl"/>
        </w:rPr>
        <w:t xml:space="preserve">.  Pritožnik se je tudi pritožil, da je sodišče prve stopnje nepravično zavrnilo njegovo zahtevo za imenovanje novega izvedenca za balistiko in odreditev priprave tridimenzionalne rekonstrukcije kraja storitve kaznivega </w:t>
      </w:r>
      <w:r>
        <w:rPr>
          <w:lang w:val="sl"/>
        </w:rPr>
        <w:lastRenderedPageBreak/>
        <w:t>dejanja. Pritožil se je tudi, da je bil kršen 6. člen konvencije, ker v odločbi Ustavnega sodišča ni obrazložitve.</w:t>
      </w:r>
    </w:p>
    <w:p w:rsidR="004951C9" w:rsidRPr="0039748E" w:rsidRDefault="004951C9" w:rsidP="001D3AE1">
      <w:pPr>
        <w:pStyle w:val="ECHRPara"/>
        <w:rPr>
          <w:lang w:val="sl"/>
        </w:rPr>
      </w:pPr>
      <w:r>
        <w:rPr>
          <w:lang w:val="sl"/>
        </w:rPr>
        <w:fldChar w:fldCharType="begin"/>
      </w:r>
      <w:r>
        <w:rPr>
          <w:lang w:val="sl"/>
        </w:rPr>
        <w:instrText xml:space="preserve"> SEQ level0 \*arabic </w:instrText>
      </w:r>
      <w:r>
        <w:rPr>
          <w:lang w:val="sl"/>
        </w:rPr>
        <w:fldChar w:fldCharType="separate"/>
      </w:r>
      <w:r w:rsidR="00425DCA">
        <w:rPr>
          <w:noProof/>
          <w:lang w:val="sl"/>
        </w:rPr>
        <w:t>79</w:t>
      </w:r>
      <w:r>
        <w:rPr>
          <w:lang w:val="sl"/>
        </w:rPr>
        <w:fldChar w:fldCharType="end"/>
      </w:r>
      <w:r>
        <w:rPr>
          <w:lang w:val="sl"/>
        </w:rPr>
        <w:t>.  Sodišče glede na vse razpoložljivo gradivo in kolikor so očitane zadeve v njegovi pristojnost, ugotavlja, da nič ne kaže na kršitev pravic in svoboščin iz konvencije in njenih protokolov.</w:t>
      </w:r>
    </w:p>
    <w:p w:rsidR="004951C9" w:rsidRPr="0039748E" w:rsidRDefault="007667C6" w:rsidP="001D3AE1">
      <w:pPr>
        <w:pStyle w:val="ECHRPara"/>
        <w:rPr>
          <w:lang w:val="sl"/>
        </w:rPr>
      </w:pPr>
      <w:r>
        <w:fldChar w:fldCharType="begin"/>
      </w:r>
      <w:r w:rsidRPr="0039748E">
        <w:rPr>
          <w:lang w:val="sl"/>
        </w:rPr>
        <w:instrText xml:space="preserve"> SEQ level0 \*arabic </w:instrText>
      </w:r>
      <w:r>
        <w:fldChar w:fldCharType="separate"/>
      </w:r>
      <w:r w:rsidR="00425DCA">
        <w:rPr>
          <w:noProof/>
          <w:lang w:val="sl"/>
        </w:rPr>
        <w:t>80</w:t>
      </w:r>
      <w:r>
        <w:rPr>
          <w:noProof/>
          <w:lang w:val="sl"/>
        </w:rPr>
        <w:fldChar w:fldCharType="end"/>
      </w:r>
      <w:r w:rsidR="00E35303">
        <w:rPr>
          <w:lang w:val="sl"/>
        </w:rPr>
        <w:t>.  To pomeni, da je ta del pritožbe očitno neutemeljen in ga je treba zavrniti v skladu s točko a tretjega odstavka in četrtim odstavkom 35. člena konvencije.</w:t>
      </w:r>
    </w:p>
    <w:p w:rsidR="00014566" w:rsidRPr="0039748E" w:rsidRDefault="00BB5883" w:rsidP="001D3AE1">
      <w:pPr>
        <w:pStyle w:val="ECHRTitle1"/>
        <w:rPr>
          <w:lang w:val="sl"/>
        </w:rPr>
      </w:pPr>
      <w:r>
        <w:rPr>
          <w:lang w:val="sl"/>
        </w:rPr>
        <w:t>IZ TEH RAZLOGOV SODIŠČE SOGLASNO</w:t>
      </w:r>
    </w:p>
    <w:p w:rsidR="00014566" w:rsidRPr="0039748E" w:rsidRDefault="00D33657" w:rsidP="001D3AE1">
      <w:pPr>
        <w:pStyle w:val="JuList"/>
        <w:rPr>
          <w:lang w:val="sl"/>
        </w:rPr>
      </w:pPr>
      <w:r>
        <w:rPr>
          <w:lang w:val="sl"/>
        </w:rPr>
        <w:t>1.  </w:t>
      </w:r>
      <w:r>
        <w:rPr>
          <w:i/>
          <w:iCs/>
          <w:lang w:val="sl"/>
        </w:rPr>
        <w:t>razglaša</w:t>
      </w:r>
      <w:r>
        <w:rPr>
          <w:lang w:val="sl"/>
        </w:rPr>
        <w:t>, da je pritožba po prvem odstavku in točki d tretjega odstavka 6. člena konvencije glede nezmožnosti soočenja z glavno obremenilno pričo sprejemljiva ter da je preostali del pritožbe nesprejemljiv;</w:t>
      </w:r>
    </w:p>
    <w:p w:rsidR="00014566" w:rsidRPr="0039748E" w:rsidRDefault="00014566" w:rsidP="001D3AE1">
      <w:pPr>
        <w:pStyle w:val="JuList"/>
        <w:ind w:left="0" w:firstLine="0"/>
        <w:rPr>
          <w:lang w:val="sl"/>
        </w:rPr>
      </w:pPr>
    </w:p>
    <w:p w:rsidR="00014566" w:rsidRPr="0039748E" w:rsidRDefault="001F4515" w:rsidP="001D3AE1">
      <w:pPr>
        <w:pStyle w:val="JuList"/>
        <w:rPr>
          <w:lang w:val="sl"/>
        </w:rPr>
      </w:pPr>
      <w:r>
        <w:rPr>
          <w:lang w:val="sl"/>
        </w:rPr>
        <w:t>2.  </w:t>
      </w:r>
      <w:r>
        <w:rPr>
          <w:i/>
          <w:iCs/>
          <w:lang w:val="sl"/>
        </w:rPr>
        <w:t>razsoja</w:t>
      </w:r>
      <w:r>
        <w:rPr>
          <w:lang w:val="sl"/>
        </w:rPr>
        <w:t>, da prvi odstavek in točka d tretjega odstavka 6. člena konvencije nista bila kršena.</w:t>
      </w:r>
    </w:p>
    <w:p w:rsidR="00014566" w:rsidRPr="0039748E" w:rsidRDefault="00014566" w:rsidP="001D3AE1">
      <w:pPr>
        <w:pStyle w:val="JuParaLast"/>
        <w:rPr>
          <w:lang w:val="sl"/>
        </w:rPr>
      </w:pPr>
      <w:r>
        <w:rPr>
          <w:lang w:val="sl"/>
        </w:rPr>
        <w:t>Sestavljeno v angleškem jeziku in 4. oktobra 2016 poslano v skladu z drugim in tretjim odstavkom 77. člena Poslovnika Sodišča.</w:t>
      </w:r>
    </w:p>
    <w:p w:rsidR="004D15F3" w:rsidRPr="0039748E" w:rsidRDefault="00014566" w:rsidP="001D3AE1">
      <w:pPr>
        <w:pStyle w:val="JuSigned"/>
        <w:rPr>
          <w:lang w:val="sl"/>
        </w:rPr>
      </w:pPr>
      <w:r>
        <w:rPr>
          <w:lang w:val="sl"/>
        </w:rPr>
        <w:tab/>
        <w:t>Andrea Tamietti</w:t>
      </w:r>
      <w:r>
        <w:rPr>
          <w:lang w:val="sl"/>
        </w:rPr>
        <w:tab/>
        <w:t>András Sajó</w:t>
      </w:r>
      <w:r>
        <w:rPr>
          <w:szCs w:val="24"/>
          <w:lang w:val="sl"/>
        </w:rPr>
        <w:br/>
      </w:r>
      <w:r>
        <w:rPr>
          <w:lang w:val="sl"/>
        </w:rPr>
        <w:tab/>
        <w:t>namestnik sodnega tajnika</w:t>
      </w:r>
      <w:r>
        <w:rPr>
          <w:lang w:val="sl"/>
        </w:rPr>
        <w:tab/>
        <w:t>predsednik</w:t>
      </w:r>
    </w:p>
    <w:p w:rsidR="001D3AE1" w:rsidRPr="0039748E" w:rsidRDefault="001D3AE1" w:rsidP="001D3AE1">
      <w:pPr>
        <w:pStyle w:val="JuParaLast"/>
        <w:rPr>
          <w:lang w:val="sl"/>
        </w:rPr>
      </w:pPr>
    </w:p>
    <w:p w:rsidR="0037269C" w:rsidRPr="0039748E" w:rsidRDefault="0037269C" w:rsidP="001D3AE1">
      <w:pPr>
        <w:suppressAutoHyphens/>
        <w:spacing w:before="240"/>
        <w:ind w:firstLine="288"/>
        <w:rPr>
          <w:rFonts w:ascii="Times New Roman" w:eastAsia="Times New Roman" w:hAnsi="Times New Roman" w:cs="Times New Roman"/>
          <w:szCs w:val="20"/>
          <w:lang w:val="sl"/>
        </w:rPr>
      </w:pPr>
      <w:r>
        <w:rPr>
          <w:lang w:val="sl"/>
        </w:rPr>
        <w:t>V skladu z drugim odstavkom 45. člena konvencije in drugim odstavkom 74. člena Poslovnika Sodišča je k tej sodbi priloženo ločeno mnenje sodnika Saja.</w:t>
      </w:r>
    </w:p>
    <w:p w:rsidR="002C2254" w:rsidRPr="0039748E" w:rsidRDefault="0037269C" w:rsidP="001D3AE1">
      <w:pPr>
        <w:suppressAutoHyphens/>
        <w:spacing w:before="720"/>
        <w:jc w:val="right"/>
        <w:rPr>
          <w:rFonts w:ascii="Times New Roman" w:eastAsia="Times New Roman" w:hAnsi="Times New Roman" w:cs="Times New Roman"/>
          <w:szCs w:val="20"/>
          <w:lang w:val="sl"/>
        </w:rPr>
      </w:pPr>
      <w:r>
        <w:rPr>
          <w:rFonts w:ascii="Times New Roman" w:eastAsia="Times New Roman" w:hAnsi="Times New Roman" w:cs="Times New Roman"/>
          <w:szCs w:val="20"/>
          <w:lang w:val="sl"/>
        </w:rPr>
        <w:t>A. S.</w:t>
      </w:r>
      <w:r>
        <w:rPr>
          <w:rFonts w:ascii="Times New Roman" w:eastAsia="Times New Roman" w:hAnsi="Times New Roman" w:cs="Times New Roman"/>
          <w:szCs w:val="20"/>
          <w:lang w:val="sl"/>
        </w:rPr>
        <w:br/>
        <w:t>A. N. T.</w:t>
      </w:r>
    </w:p>
    <w:p w:rsidR="001D3AE1" w:rsidRPr="0039748E" w:rsidRDefault="001D3AE1" w:rsidP="001D3AE1">
      <w:pPr>
        <w:suppressAutoHyphens/>
        <w:spacing w:before="720"/>
        <w:jc w:val="right"/>
        <w:rPr>
          <w:rFonts w:ascii="Times New Roman" w:eastAsia="Times New Roman" w:hAnsi="Times New Roman" w:cs="Times New Roman"/>
          <w:szCs w:val="20"/>
          <w:lang w:val="sl"/>
        </w:rPr>
      </w:pPr>
    </w:p>
    <w:p w:rsidR="002C2254" w:rsidRPr="0039748E" w:rsidRDefault="002C2254" w:rsidP="001D3AE1">
      <w:pPr>
        <w:suppressAutoHyphens/>
        <w:spacing w:before="720"/>
        <w:jc w:val="right"/>
        <w:rPr>
          <w:lang w:val="sl"/>
        </w:rPr>
        <w:sectPr w:rsidR="002C2254" w:rsidRPr="0039748E" w:rsidSect="0092038F">
          <w:headerReference w:type="even" r:id="rId14"/>
          <w:headerReference w:type="default" r:id="rId15"/>
          <w:footnotePr>
            <w:numRestart w:val="eachPage"/>
          </w:footnotePr>
          <w:pgSz w:w="11906" w:h="16838" w:code="9"/>
          <w:pgMar w:top="2274" w:right="2325" w:bottom="2155" w:left="2274" w:header="1701" w:footer="720" w:gutter="0"/>
          <w:pgNumType w:start="1"/>
          <w:cols w:space="720"/>
          <w:docGrid w:linePitch="326"/>
        </w:sectPr>
      </w:pPr>
    </w:p>
    <w:p w:rsidR="00691C2B" w:rsidRPr="0039748E" w:rsidRDefault="00691C2B" w:rsidP="001D3AE1">
      <w:pPr>
        <w:pStyle w:val="ECHRTitleCentre1"/>
        <w:rPr>
          <w:rFonts w:eastAsia="Times New Roman"/>
          <w:lang w:val="sl"/>
        </w:rPr>
      </w:pPr>
      <w:r>
        <w:rPr>
          <w:rFonts w:eastAsia="Times New Roman"/>
          <w:lang w:val="sl"/>
        </w:rPr>
        <w:lastRenderedPageBreak/>
        <w:t>PRITRDILNO LOČENO MNENJE SODNIKA SAJA</w:t>
      </w:r>
    </w:p>
    <w:p w:rsidR="00691C2B" w:rsidRPr="0039748E" w:rsidRDefault="00691C2B" w:rsidP="001D3AE1">
      <w:pPr>
        <w:ind w:firstLine="284"/>
        <w:rPr>
          <w:rFonts w:ascii="Times New Roman" w:eastAsia="Times New Roman" w:hAnsi="Times New Roman" w:cs="Times New Roman"/>
          <w:lang w:val="sl"/>
        </w:rPr>
      </w:pPr>
    </w:p>
    <w:p w:rsidR="002C2254" w:rsidRPr="0039748E" w:rsidRDefault="00691C2B" w:rsidP="001D3AE1">
      <w:pPr>
        <w:pStyle w:val="OpiPara"/>
        <w:rPr>
          <w:rFonts w:ascii="Times New Roman" w:eastAsia="Times New Roman" w:hAnsi="Times New Roman" w:cs="Times New Roman"/>
          <w:lang w:val="sl"/>
        </w:rPr>
      </w:pPr>
      <w:r>
        <w:rPr>
          <w:rFonts w:ascii="Times New Roman" w:eastAsia="Times New Roman" w:hAnsi="Times New Roman" w:cs="Times New Roman"/>
          <w:lang w:val="sl"/>
        </w:rPr>
        <w:tab/>
        <w:t xml:space="preserve">Strinjam se z mnenjem svojih kolegov, da prvi odstavek in točka d tretjega odstavka 6. člena konvencije nista bila kršena. Ne glede na možna pravna nesoglasja je nesporno, da pritožnik (in njegova zagovornica) nista zahtevala prepoznave prek video povezave, kljub temu da </w:t>
      </w:r>
      <w:r w:rsidR="00C937E0">
        <w:rPr>
          <w:rFonts w:ascii="Times New Roman" w:eastAsia="Times New Roman" w:hAnsi="Times New Roman" w:cs="Times New Roman"/>
          <w:lang w:val="sl"/>
        </w:rPr>
        <w:t xml:space="preserve">sta </w:t>
      </w:r>
      <w:r>
        <w:rPr>
          <w:rFonts w:ascii="Times New Roman" w:eastAsia="Times New Roman" w:hAnsi="Times New Roman" w:cs="Times New Roman"/>
          <w:lang w:val="sl"/>
        </w:rPr>
        <w:t>imel</w:t>
      </w:r>
      <w:r w:rsidR="00C937E0">
        <w:rPr>
          <w:rFonts w:ascii="Times New Roman" w:eastAsia="Times New Roman" w:hAnsi="Times New Roman" w:cs="Times New Roman"/>
          <w:lang w:val="sl"/>
        </w:rPr>
        <w:t>a</w:t>
      </w:r>
      <w:r>
        <w:rPr>
          <w:rFonts w:ascii="Times New Roman" w:eastAsia="Times New Roman" w:hAnsi="Times New Roman" w:cs="Times New Roman"/>
          <w:lang w:val="sl"/>
        </w:rPr>
        <w:t xml:space="preserve"> zakonsko podlago za to (glej 72. odstavek). To je bilo Sodišču predloženo kot problem neposrednega soočenja med pričo in obtožencem na sodišču, kar je predstavljeno kot možna ovira za obrambo. Seveda je skrb za enakopravnost strank v postopku upravičena. Vendar bi moralo biti za pravičnost sojenja enako pomembno, da ima sodnik možnost, da so mu dokazi osebno predstavljeni in se navzkrižno preučijo v njegovi prisotnosti. Žal sodna praksa temu vidiku pravičnosti ne namenja dovolj pozornosti.</w:t>
      </w:r>
    </w:p>
    <w:p w:rsidR="001D3AE1" w:rsidRPr="0039748E" w:rsidRDefault="001D3AE1" w:rsidP="001D3AE1">
      <w:pPr>
        <w:pStyle w:val="OpiPara"/>
        <w:rPr>
          <w:rFonts w:ascii="Times New Roman" w:eastAsia="Times New Roman" w:hAnsi="Times New Roman" w:cs="Times New Roman"/>
          <w:lang w:val="sl"/>
        </w:rPr>
      </w:pPr>
    </w:p>
    <w:p w:rsidR="001D3AE1" w:rsidRPr="0039748E" w:rsidRDefault="001D3AE1" w:rsidP="001D3AE1">
      <w:pPr>
        <w:pStyle w:val="OpiPara"/>
        <w:rPr>
          <w:lang w:val="sl"/>
        </w:rPr>
      </w:pPr>
    </w:p>
    <w:sectPr w:rsidR="001D3AE1" w:rsidRPr="0039748E" w:rsidSect="002C2254">
      <w:headerReference w:type="default" r:id="rId16"/>
      <w:footnotePr>
        <w:numRestart w:val="eachPage"/>
      </w:footnotePr>
      <w:pgSz w:w="11906" w:h="16838" w:code="9"/>
      <w:pgMar w:top="2274" w:right="2325" w:bottom="2155" w:left="2274" w:header="1701" w:footer="720"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83CAA" w:rsidRDefault="00683CAA" w:rsidP="00014566">
      <w:r>
        <w:separator/>
      </w:r>
    </w:p>
  </w:endnote>
  <w:endnote w:type="continuationSeparator" w:id="0">
    <w:p w:rsidR="00683CAA" w:rsidRDefault="00683CAA" w:rsidP="0001456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EE"/>
    <w:family w:val="swiss"/>
    <w:pitch w:val="variable"/>
    <w:sig w:usb0="E1002EFF" w:usb1="C000605B" w:usb2="00000029" w:usb3="00000000" w:csb0="000101FF" w:csb1="00000000"/>
  </w:font>
  <w:font w:name="Verdana">
    <w:panose1 w:val="020B0604030504040204"/>
    <w:charset w:val="EE"/>
    <w:family w:val="swiss"/>
    <w:pitch w:val="variable"/>
    <w:sig w:usb0="A10006FF" w:usb1="4000205B" w:usb2="00000010" w:usb3="00000000" w:csb0="0000019F" w:csb1="00000000"/>
  </w:font>
  <w:font w:name="Consolas">
    <w:panose1 w:val="020B0609020204030204"/>
    <w:charset w:val="EE"/>
    <w:family w:val="modern"/>
    <w:pitch w:val="fixed"/>
    <w:sig w:usb0="E10002FF" w:usb1="4000FCFF" w:usb2="00000009"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E3965" w:rsidRPr="00150BFA" w:rsidRDefault="005E3965" w:rsidP="005E3965">
    <w:pPr>
      <w:jc w:val="center"/>
    </w:pPr>
    <w:r>
      <w:rPr>
        <w:noProof/>
        <w:lang w:val="sl-SI" w:eastAsia="sl-SI"/>
      </w:rPr>
      <w:drawing>
        <wp:inline distT="0" distB="0" distL="0" distR="0">
          <wp:extent cx="771525" cy="619125"/>
          <wp:effectExtent l="0" t="0" r="9525" b="9525"/>
          <wp:docPr id="3" name="Picture 3" descr="R:\1_Graphics&amp;Web\Court_Graphic_Charter\2013\ECHR_Stationery\Documents_and_Letters\Cover_Pages_And_Docs\White_600_dpi\ECHR_CoverpageCS61_ECHR_Coverpage_Footer_COE_Black.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R:\1_Graphics&amp;Web\Court_Graphic_Charter\2013\ECHR_Stationery\Documents_and_Letters\Cover_Pages_And_Docs\White_600_dpi\ECHR_CoverpageCS61_ECHR_Coverpage_Footer_COE_Black.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71525" cy="619125"/>
                  </a:xfrm>
                  <a:prstGeom prst="rect">
                    <a:avLst/>
                  </a:prstGeom>
                  <a:noFill/>
                  <a:ln>
                    <a:noFill/>
                  </a:ln>
                </pic:spPr>
              </pic:pic>
            </a:graphicData>
          </a:graphic>
        </wp:inline>
      </w:drawing>
    </w:r>
  </w:p>
  <w:p w:rsidR="005E3965" w:rsidRDefault="005E3965">
    <w:pPr>
      <w:pStyle w:val="Nog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83CAA" w:rsidRDefault="00683CAA" w:rsidP="00014566">
      <w:r>
        <w:separator/>
      </w:r>
    </w:p>
  </w:footnote>
  <w:footnote w:type="continuationSeparator" w:id="0">
    <w:p w:rsidR="00683CAA" w:rsidRDefault="00683CAA" w:rsidP="0001456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E3965" w:rsidRPr="005E3965" w:rsidRDefault="005E3965" w:rsidP="005E3965">
    <w:pPr>
      <w:pStyle w:val="Glava"/>
      <w:jc w:val="cent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E3965" w:rsidRPr="00A45145" w:rsidRDefault="005E3965" w:rsidP="005E3965">
    <w:pPr>
      <w:jc w:val="center"/>
    </w:pPr>
    <w:r>
      <w:rPr>
        <w:noProof/>
        <w:lang w:val="sl-SI" w:eastAsia="sl-SI"/>
      </w:rPr>
      <w:drawing>
        <wp:inline distT="0" distB="0" distL="0" distR="0">
          <wp:extent cx="2962275" cy="1219200"/>
          <wp:effectExtent l="0" t="0" r="9525" b="0"/>
          <wp:docPr id="1" name="Picture 1" descr="R:\1_Graphics&amp;Web\Court_Graphic_Charter\2013\ECHR_Stationery\Documents_and_Letters\Cover_Pages_And_Docs\White_600_dpi\ECHR_CoverpageCS61_ECHR_Coverpage_Header_Black.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1_Graphics&amp;Web\Court_Graphic_Charter\2013\ECHR_Stationery\Documents_and_Letters\Cover_Pages_And_Docs\White_600_dpi\ECHR_CoverpageCS61_ECHR_Coverpage_Header_Black.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962275" cy="1219200"/>
                  </a:xfrm>
                  <a:prstGeom prst="rect">
                    <a:avLst/>
                  </a:prstGeom>
                  <a:noFill/>
                  <a:ln>
                    <a:noFill/>
                  </a:ln>
                </pic:spPr>
              </pic:pic>
            </a:graphicData>
          </a:graphic>
        </wp:inline>
      </w:drawing>
    </w:r>
  </w:p>
  <w:p w:rsidR="005E3965" w:rsidRDefault="005E3965">
    <w:pPr>
      <w:pStyle w:val="Glava"/>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E3965" w:rsidRPr="00FF2306" w:rsidRDefault="005E3965" w:rsidP="00EE1DA9">
    <w:pPr>
      <w:pStyle w:val="ECHRHeader"/>
    </w:pPr>
    <w:r>
      <w:rPr>
        <w:rStyle w:val="tevilkastrani"/>
        <w:szCs w:val="18"/>
        <w:lang w:val="sl"/>
      </w:rPr>
      <w:fldChar w:fldCharType="begin"/>
    </w:r>
    <w:r>
      <w:rPr>
        <w:rStyle w:val="tevilkastrani"/>
        <w:szCs w:val="18"/>
        <w:lang w:val="sl"/>
      </w:rPr>
      <w:instrText xml:space="preserve"> PAGE </w:instrText>
    </w:r>
    <w:r>
      <w:rPr>
        <w:rStyle w:val="tevilkastrani"/>
        <w:szCs w:val="18"/>
        <w:lang w:val="sl"/>
      </w:rPr>
      <w:fldChar w:fldCharType="separate"/>
    </w:r>
    <w:r w:rsidR="00157ED0">
      <w:rPr>
        <w:rStyle w:val="tevilkastrani"/>
        <w:noProof/>
        <w:szCs w:val="18"/>
        <w:lang w:val="sl"/>
      </w:rPr>
      <w:t>22</w:t>
    </w:r>
    <w:r>
      <w:rPr>
        <w:rStyle w:val="tevilkastrani"/>
        <w:szCs w:val="18"/>
        <w:lang w:val="sl"/>
      </w:rPr>
      <w:fldChar w:fldCharType="end"/>
    </w:r>
    <w:r>
      <w:rPr>
        <w:lang w:val="sl"/>
      </w:rPr>
      <w:tab/>
      <w:t>SODBA ŠMAJGL proti SLOVENJI</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E3965" w:rsidRPr="00D60D87" w:rsidRDefault="005E3965" w:rsidP="00D60D87">
    <w:pPr>
      <w:pStyle w:val="ECHRHeader"/>
    </w:pPr>
    <w:r>
      <w:rPr>
        <w:lang w:val="sl"/>
      </w:rPr>
      <w:tab/>
      <w:t>SODBA ŠMAJGL proti SLOVENIJI</w:t>
    </w:r>
    <w:r>
      <w:rPr>
        <w:lang w:val="sl"/>
      </w:rPr>
      <w:tab/>
    </w:r>
    <w:r>
      <w:rPr>
        <w:rStyle w:val="tevilkastrani"/>
        <w:szCs w:val="18"/>
        <w:lang w:val="sl"/>
      </w:rPr>
      <w:fldChar w:fldCharType="begin"/>
    </w:r>
    <w:r>
      <w:rPr>
        <w:rStyle w:val="tevilkastrani"/>
        <w:szCs w:val="18"/>
        <w:lang w:val="sl"/>
      </w:rPr>
      <w:instrText xml:space="preserve"> PAGE </w:instrText>
    </w:r>
    <w:r>
      <w:rPr>
        <w:rStyle w:val="tevilkastrani"/>
        <w:szCs w:val="18"/>
        <w:lang w:val="sl"/>
      </w:rPr>
      <w:fldChar w:fldCharType="separate"/>
    </w:r>
    <w:r w:rsidR="00157ED0">
      <w:rPr>
        <w:rStyle w:val="tevilkastrani"/>
        <w:noProof/>
        <w:szCs w:val="18"/>
        <w:lang w:val="sl"/>
      </w:rPr>
      <w:t>1</w:t>
    </w:r>
    <w:r>
      <w:rPr>
        <w:rStyle w:val="tevilkastrani"/>
        <w:szCs w:val="18"/>
        <w:lang w:val="sl"/>
      </w:rPr>
      <w:fldChar w:fldCharType="end"/>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C2254" w:rsidRPr="0039748E" w:rsidRDefault="002C2254" w:rsidP="00D60D87">
    <w:pPr>
      <w:pStyle w:val="ECHRHeader"/>
      <w:rPr>
        <w:lang w:val="sl"/>
      </w:rPr>
    </w:pPr>
    <w:r>
      <w:rPr>
        <w:lang w:val="sl"/>
      </w:rPr>
      <w:tab/>
      <w:t>SODBA ŠMAJGL proti SLOVENIJI – LOČENO MNENJE</w:t>
    </w:r>
    <w:r>
      <w:rPr>
        <w:lang w:val="sl"/>
      </w:rPr>
      <w:tab/>
    </w:r>
    <w:r>
      <w:rPr>
        <w:rStyle w:val="tevilkastrani"/>
        <w:szCs w:val="18"/>
        <w:lang w:val="sl"/>
      </w:rPr>
      <w:fldChar w:fldCharType="begin"/>
    </w:r>
    <w:r>
      <w:rPr>
        <w:rStyle w:val="tevilkastrani"/>
        <w:szCs w:val="18"/>
        <w:lang w:val="sl"/>
      </w:rPr>
      <w:instrText xml:space="preserve"> PAGE </w:instrText>
    </w:r>
    <w:r>
      <w:rPr>
        <w:rStyle w:val="tevilkastrani"/>
        <w:szCs w:val="18"/>
        <w:lang w:val="sl"/>
      </w:rPr>
      <w:fldChar w:fldCharType="separate"/>
    </w:r>
    <w:r w:rsidR="001D7088">
      <w:rPr>
        <w:rStyle w:val="tevilkastrani"/>
        <w:noProof/>
        <w:szCs w:val="18"/>
        <w:lang w:val="sl"/>
      </w:rPr>
      <w:t>23</w:t>
    </w:r>
    <w:r>
      <w:rPr>
        <w:rStyle w:val="tevilkastrani"/>
        <w:szCs w:val="18"/>
        <w:lang w:val="sl"/>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00180FE6"/>
    <w:lvl w:ilvl="0">
      <w:start w:val="1"/>
      <w:numFmt w:val="decimal"/>
      <w:pStyle w:val="Otevilenseznam5"/>
      <w:lvlText w:val="%1."/>
      <w:lvlJc w:val="left"/>
      <w:pPr>
        <w:tabs>
          <w:tab w:val="num" w:pos="1492"/>
        </w:tabs>
        <w:ind w:left="1492" w:hanging="360"/>
      </w:pPr>
    </w:lvl>
  </w:abstractNum>
  <w:abstractNum w:abstractNumId="1" w15:restartNumberingAfterBreak="0">
    <w:nsid w:val="FFFFFF7D"/>
    <w:multiLevelType w:val="singleLevel"/>
    <w:tmpl w:val="B90ECFBC"/>
    <w:lvl w:ilvl="0">
      <w:start w:val="1"/>
      <w:numFmt w:val="decimal"/>
      <w:pStyle w:val="Otevilenseznam4"/>
      <w:lvlText w:val="%1."/>
      <w:lvlJc w:val="left"/>
      <w:pPr>
        <w:tabs>
          <w:tab w:val="num" w:pos="1209"/>
        </w:tabs>
        <w:ind w:left="1209" w:hanging="360"/>
      </w:pPr>
    </w:lvl>
  </w:abstractNum>
  <w:abstractNum w:abstractNumId="2" w15:restartNumberingAfterBreak="0">
    <w:nsid w:val="FFFFFF7E"/>
    <w:multiLevelType w:val="singleLevel"/>
    <w:tmpl w:val="C5B8BEFC"/>
    <w:lvl w:ilvl="0">
      <w:start w:val="1"/>
      <w:numFmt w:val="decimal"/>
      <w:pStyle w:val="Otevilenseznam3"/>
      <w:lvlText w:val="%1."/>
      <w:lvlJc w:val="left"/>
      <w:pPr>
        <w:tabs>
          <w:tab w:val="num" w:pos="926"/>
        </w:tabs>
        <w:ind w:left="926" w:hanging="360"/>
      </w:pPr>
    </w:lvl>
  </w:abstractNum>
  <w:abstractNum w:abstractNumId="3" w15:restartNumberingAfterBreak="0">
    <w:nsid w:val="FFFFFF7F"/>
    <w:multiLevelType w:val="singleLevel"/>
    <w:tmpl w:val="6F1CF73A"/>
    <w:lvl w:ilvl="0">
      <w:start w:val="1"/>
      <w:numFmt w:val="decimal"/>
      <w:pStyle w:val="Otevilenseznam2"/>
      <w:lvlText w:val="%1."/>
      <w:lvlJc w:val="left"/>
      <w:pPr>
        <w:tabs>
          <w:tab w:val="num" w:pos="643"/>
        </w:tabs>
        <w:ind w:left="643" w:hanging="360"/>
      </w:pPr>
    </w:lvl>
  </w:abstractNum>
  <w:abstractNum w:abstractNumId="4" w15:restartNumberingAfterBreak="0">
    <w:nsid w:val="FFFFFF80"/>
    <w:multiLevelType w:val="singleLevel"/>
    <w:tmpl w:val="23802660"/>
    <w:lvl w:ilvl="0">
      <w:start w:val="1"/>
      <w:numFmt w:val="bullet"/>
      <w:pStyle w:val="Oznaenseznam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A0C2C346"/>
    <w:lvl w:ilvl="0">
      <w:start w:val="1"/>
      <w:numFmt w:val="bullet"/>
      <w:pStyle w:val="Oznaenseznam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9482EC3A"/>
    <w:lvl w:ilvl="0">
      <w:start w:val="1"/>
      <w:numFmt w:val="bullet"/>
      <w:pStyle w:val="Oznaenseznam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7666B2C2"/>
    <w:lvl w:ilvl="0">
      <w:start w:val="1"/>
      <w:numFmt w:val="bullet"/>
      <w:pStyle w:val="Oznaenseznam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B2760110"/>
    <w:lvl w:ilvl="0">
      <w:start w:val="1"/>
      <w:numFmt w:val="decimal"/>
      <w:pStyle w:val="Otevilenseznam"/>
      <w:lvlText w:val="%1."/>
      <w:lvlJc w:val="left"/>
      <w:pPr>
        <w:tabs>
          <w:tab w:val="num" w:pos="360"/>
        </w:tabs>
        <w:ind w:left="360" w:hanging="360"/>
      </w:pPr>
    </w:lvl>
  </w:abstractNum>
  <w:abstractNum w:abstractNumId="9" w15:restartNumberingAfterBreak="0">
    <w:nsid w:val="0066004F"/>
    <w:multiLevelType w:val="multilevel"/>
    <w:tmpl w:val="040C001D"/>
    <w:styleLink w:val="1ai"/>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0" w15:restartNumberingAfterBreak="0">
    <w:nsid w:val="163F153D"/>
    <w:multiLevelType w:val="multilevel"/>
    <w:tmpl w:val="040C001F"/>
    <w:styleLink w:val="111111"/>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15:restartNumberingAfterBreak="0">
    <w:nsid w:val="67FD1241"/>
    <w:multiLevelType w:val="hybridMultilevel"/>
    <w:tmpl w:val="F6D86CC2"/>
    <w:lvl w:ilvl="0" w:tplc="E4205412">
      <w:start w:val="1"/>
      <w:numFmt w:val="bullet"/>
      <w:pStyle w:val="Oznaenseznam"/>
      <w:lvlText w:val=""/>
      <w:lvlJc w:val="left"/>
      <w:pPr>
        <w:tabs>
          <w:tab w:val="num" w:pos="851"/>
        </w:tabs>
        <w:ind w:left="568" w:firstLine="0"/>
      </w:pPr>
      <w:rPr>
        <w:rFonts w:ascii="Wingdings" w:hAnsi="Wingdings" w:hint="default"/>
        <w:color w:val="808080"/>
        <w:sz w:val="16"/>
      </w:rPr>
    </w:lvl>
    <w:lvl w:ilvl="1" w:tplc="08090003" w:tentative="1">
      <w:start w:val="1"/>
      <w:numFmt w:val="bullet"/>
      <w:lvlText w:val="o"/>
      <w:lvlJc w:val="left"/>
      <w:pPr>
        <w:tabs>
          <w:tab w:val="num" w:pos="1724"/>
        </w:tabs>
        <w:ind w:left="1724" w:hanging="360"/>
      </w:pPr>
      <w:rPr>
        <w:rFonts w:ascii="Courier New" w:hAnsi="Courier New" w:cs="Courier New" w:hint="default"/>
      </w:rPr>
    </w:lvl>
    <w:lvl w:ilvl="2" w:tplc="08090005" w:tentative="1">
      <w:start w:val="1"/>
      <w:numFmt w:val="bullet"/>
      <w:lvlText w:val=""/>
      <w:lvlJc w:val="left"/>
      <w:pPr>
        <w:tabs>
          <w:tab w:val="num" w:pos="2444"/>
        </w:tabs>
        <w:ind w:left="2444" w:hanging="360"/>
      </w:pPr>
      <w:rPr>
        <w:rFonts w:ascii="Wingdings" w:hAnsi="Wingdings" w:hint="default"/>
      </w:rPr>
    </w:lvl>
    <w:lvl w:ilvl="3" w:tplc="08090001" w:tentative="1">
      <w:start w:val="1"/>
      <w:numFmt w:val="bullet"/>
      <w:lvlText w:val=""/>
      <w:lvlJc w:val="left"/>
      <w:pPr>
        <w:tabs>
          <w:tab w:val="num" w:pos="3164"/>
        </w:tabs>
        <w:ind w:left="3164" w:hanging="360"/>
      </w:pPr>
      <w:rPr>
        <w:rFonts w:ascii="Symbol" w:hAnsi="Symbol" w:hint="default"/>
      </w:rPr>
    </w:lvl>
    <w:lvl w:ilvl="4" w:tplc="08090003" w:tentative="1">
      <w:start w:val="1"/>
      <w:numFmt w:val="bullet"/>
      <w:lvlText w:val="o"/>
      <w:lvlJc w:val="left"/>
      <w:pPr>
        <w:tabs>
          <w:tab w:val="num" w:pos="3884"/>
        </w:tabs>
        <w:ind w:left="3884" w:hanging="360"/>
      </w:pPr>
      <w:rPr>
        <w:rFonts w:ascii="Courier New" w:hAnsi="Courier New" w:cs="Courier New" w:hint="default"/>
      </w:rPr>
    </w:lvl>
    <w:lvl w:ilvl="5" w:tplc="08090005" w:tentative="1">
      <w:start w:val="1"/>
      <w:numFmt w:val="bullet"/>
      <w:lvlText w:val=""/>
      <w:lvlJc w:val="left"/>
      <w:pPr>
        <w:tabs>
          <w:tab w:val="num" w:pos="4604"/>
        </w:tabs>
        <w:ind w:left="4604" w:hanging="360"/>
      </w:pPr>
      <w:rPr>
        <w:rFonts w:ascii="Wingdings" w:hAnsi="Wingdings" w:hint="default"/>
      </w:rPr>
    </w:lvl>
    <w:lvl w:ilvl="6" w:tplc="08090001" w:tentative="1">
      <w:start w:val="1"/>
      <w:numFmt w:val="bullet"/>
      <w:lvlText w:val=""/>
      <w:lvlJc w:val="left"/>
      <w:pPr>
        <w:tabs>
          <w:tab w:val="num" w:pos="5324"/>
        </w:tabs>
        <w:ind w:left="5324" w:hanging="360"/>
      </w:pPr>
      <w:rPr>
        <w:rFonts w:ascii="Symbol" w:hAnsi="Symbol" w:hint="default"/>
      </w:rPr>
    </w:lvl>
    <w:lvl w:ilvl="7" w:tplc="08090003" w:tentative="1">
      <w:start w:val="1"/>
      <w:numFmt w:val="bullet"/>
      <w:lvlText w:val="o"/>
      <w:lvlJc w:val="left"/>
      <w:pPr>
        <w:tabs>
          <w:tab w:val="num" w:pos="6044"/>
        </w:tabs>
        <w:ind w:left="6044" w:hanging="360"/>
      </w:pPr>
      <w:rPr>
        <w:rFonts w:ascii="Courier New" w:hAnsi="Courier New" w:cs="Courier New" w:hint="default"/>
      </w:rPr>
    </w:lvl>
    <w:lvl w:ilvl="8" w:tplc="08090005" w:tentative="1">
      <w:start w:val="1"/>
      <w:numFmt w:val="bullet"/>
      <w:lvlText w:val=""/>
      <w:lvlJc w:val="left"/>
      <w:pPr>
        <w:tabs>
          <w:tab w:val="num" w:pos="6764"/>
        </w:tabs>
        <w:ind w:left="6764" w:hanging="360"/>
      </w:pPr>
      <w:rPr>
        <w:rFonts w:ascii="Wingdings" w:hAnsi="Wingdings" w:hint="default"/>
      </w:rPr>
    </w:lvl>
  </w:abstractNum>
  <w:abstractNum w:abstractNumId="12" w15:restartNumberingAfterBreak="0">
    <w:nsid w:val="76903243"/>
    <w:multiLevelType w:val="multilevel"/>
    <w:tmpl w:val="E884A926"/>
    <w:lvl w:ilvl="0">
      <w:start w:val="1"/>
      <w:numFmt w:val="decimal"/>
      <w:pStyle w:val="JuAppQuestion"/>
      <w:lvlText w:val="%1."/>
      <w:lvlJc w:val="left"/>
      <w:pPr>
        <w:tabs>
          <w:tab w:val="num" w:pos="720"/>
        </w:tabs>
        <w:ind w:left="720" w:hanging="360"/>
      </w:pPr>
      <w:rPr>
        <w:rFonts w:hint="default"/>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3" w15:restartNumberingAfterBreak="0">
    <w:nsid w:val="7737461D"/>
    <w:multiLevelType w:val="multilevel"/>
    <w:tmpl w:val="040C0023"/>
    <w:styleLink w:val="lenOdsek"/>
    <w:lvl w:ilvl="0">
      <w:start w:val="1"/>
      <w:numFmt w:val="upperRoman"/>
      <w:lvlText w:val="člen %1."/>
      <w:lvlJc w:val="left"/>
      <w:pPr>
        <w:ind w:left="0" w:firstLine="0"/>
      </w:pPr>
    </w:lvl>
    <w:lvl w:ilvl="1">
      <w:start w:val="1"/>
      <w:numFmt w:val="decimalZero"/>
      <w:isLgl/>
      <w:lvlText w:val="Razdelek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num w:numId="1">
    <w:abstractNumId w:val="11"/>
  </w:num>
  <w:num w:numId="2">
    <w:abstractNumId w:val="10"/>
  </w:num>
  <w:num w:numId="3">
    <w:abstractNumId w:val="9"/>
  </w:num>
  <w:num w:numId="4">
    <w:abstractNumId w:val="13"/>
  </w:num>
  <w:num w:numId="5">
    <w:abstractNumId w:val="7"/>
  </w:num>
  <w:num w:numId="6">
    <w:abstractNumId w:val="6"/>
  </w:num>
  <w:num w:numId="7">
    <w:abstractNumId w:val="5"/>
  </w:num>
  <w:num w:numId="8">
    <w:abstractNumId w:val="4"/>
  </w:num>
  <w:num w:numId="9">
    <w:abstractNumId w:val="8"/>
  </w:num>
  <w:num w:numId="10">
    <w:abstractNumId w:val="3"/>
  </w:num>
  <w:num w:numId="11">
    <w:abstractNumId w:val="2"/>
  </w:num>
  <w:num w:numId="12">
    <w:abstractNumId w:val="1"/>
  </w:num>
  <w:num w:numId="13">
    <w:abstractNumId w:val="0"/>
  </w:num>
  <w:num w:numId="14">
    <w:abstractNumId w:val="12"/>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stylePaneFormatFilter w:val="D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1"/>
  <w:trackRevisions/>
  <w:defaultTabStop w:val="720"/>
  <w:hyphenationZone w:val="425"/>
  <w:evenAndOddHeaders/>
  <w:drawingGridHorizontalSpacing w:val="110"/>
  <w:displayHorizontalDrawingGridEvery w:val="2"/>
  <w:displayVerticalDrawingGridEvery w:val="2"/>
  <w:characterSpacingControl w:val="doNotCompress"/>
  <w:footnotePr>
    <w:numRestart w:val="eachPage"/>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AppNatAutre" w:val="0"/>
    <w:docVar w:name="DocVarPREMATURE" w:val="0"/>
    <w:docVar w:name="EMM" w:val="0"/>
    <w:docVar w:name="ETRANSMISSION" w:val="BY E-TRANSMISSION ONLY"/>
    <w:docVar w:name="L4_1Annex" w:val="0"/>
    <w:docVar w:name="L4_1Anonymity" w:val="0"/>
    <w:docVar w:name="NBEMMDOC" w:val="0"/>
    <w:docVar w:name="SignForeName" w:val="0"/>
  </w:docVars>
  <w:rsids>
    <w:rsidRoot w:val="00D33657"/>
    <w:rsid w:val="00000C7E"/>
    <w:rsid w:val="00001D0A"/>
    <w:rsid w:val="000027D2"/>
    <w:rsid w:val="00003081"/>
    <w:rsid w:val="000041F8"/>
    <w:rsid w:val="000042A8"/>
    <w:rsid w:val="00004308"/>
    <w:rsid w:val="00005BF0"/>
    <w:rsid w:val="00006591"/>
    <w:rsid w:val="0000685C"/>
    <w:rsid w:val="00007154"/>
    <w:rsid w:val="000103AE"/>
    <w:rsid w:val="00011414"/>
    <w:rsid w:val="000116B7"/>
    <w:rsid w:val="00011D3C"/>
    <w:rsid w:val="00011D69"/>
    <w:rsid w:val="0001295F"/>
    <w:rsid w:val="00012AD3"/>
    <w:rsid w:val="00014566"/>
    <w:rsid w:val="00015C2D"/>
    <w:rsid w:val="00015F00"/>
    <w:rsid w:val="00017957"/>
    <w:rsid w:val="00020CF3"/>
    <w:rsid w:val="0002257F"/>
    <w:rsid w:val="00022C1D"/>
    <w:rsid w:val="00023C2C"/>
    <w:rsid w:val="00032291"/>
    <w:rsid w:val="00034987"/>
    <w:rsid w:val="00034E6A"/>
    <w:rsid w:val="0003510A"/>
    <w:rsid w:val="0003516E"/>
    <w:rsid w:val="00040B3E"/>
    <w:rsid w:val="00040F88"/>
    <w:rsid w:val="00042928"/>
    <w:rsid w:val="00047D04"/>
    <w:rsid w:val="000501DA"/>
    <w:rsid w:val="000571E9"/>
    <w:rsid w:val="000602DF"/>
    <w:rsid w:val="000619D5"/>
    <w:rsid w:val="00061B05"/>
    <w:rsid w:val="00062973"/>
    <w:rsid w:val="00062D5D"/>
    <w:rsid w:val="000632D5"/>
    <w:rsid w:val="000644EE"/>
    <w:rsid w:val="000730C2"/>
    <w:rsid w:val="00075A7E"/>
    <w:rsid w:val="000834BD"/>
    <w:rsid w:val="00085425"/>
    <w:rsid w:val="0008645D"/>
    <w:rsid w:val="000868BE"/>
    <w:rsid w:val="000912F8"/>
    <w:rsid w:val="000925AD"/>
    <w:rsid w:val="00092C2B"/>
    <w:rsid w:val="00093666"/>
    <w:rsid w:val="000940C0"/>
    <w:rsid w:val="00094282"/>
    <w:rsid w:val="000A1AED"/>
    <w:rsid w:val="000A24EB"/>
    <w:rsid w:val="000A2FB0"/>
    <w:rsid w:val="000A3E8C"/>
    <w:rsid w:val="000A4830"/>
    <w:rsid w:val="000A629C"/>
    <w:rsid w:val="000B359B"/>
    <w:rsid w:val="000B48C3"/>
    <w:rsid w:val="000B6923"/>
    <w:rsid w:val="000B72E9"/>
    <w:rsid w:val="000C033C"/>
    <w:rsid w:val="000C1C15"/>
    <w:rsid w:val="000C36B1"/>
    <w:rsid w:val="000C5F3C"/>
    <w:rsid w:val="000C635C"/>
    <w:rsid w:val="000C6DCC"/>
    <w:rsid w:val="000D0D57"/>
    <w:rsid w:val="000D47AA"/>
    <w:rsid w:val="000D6FA8"/>
    <w:rsid w:val="000D721F"/>
    <w:rsid w:val="000E069B"/>
    <w:rsid w:val="000E0E12"/>
    <w:rsid w:val="000E0E82"/>
    <w:rsid w:val="000E1DC5"/>
    <w:rsid w:val="000E223F"/>
    <w:rsid w:val="000E4C6E"/>
    <w:rsid w:val="000E5966"/>
    <w:rsid w:val="000E7D45"/>
    <w:rsid w:val="000F05F9"/>
    <w:rsid w:val="000F10CD"/>
    <w:rsid w:val="000F68D1"/>
    <w:rsid w:val="000F7851"/>
    <w:rsid w:val="001014D8"/>
    <w:rsid w:val="00101DE9"/>
    <w:rsid w:val="00104E23"/>
    <w:rsid w:val="001056F2"/>
    <w:rsid w:val="0010591C"/>
    <w:rsid w:val="00111B0C"/>
    <w:rsid w:val="001121F0"/>
    <w:rsid w:val="00112F35"/>
    <w:rsid w:val="00114FC8"/>
    <w:rsid w:val="00116215"/>
    <w:rsid w:val="001207CA"/>
    <w:rsid w:val="00120D6C"/>
    <w:rsid w:val="001257EC"/>
    <w:rsid w:val="00131BCF"/>
    <w:rsid w:val="0013299A"/>
    <w:rsid w:val="00132C6A"/>
    <w:rsid w:val="00133D33"/>
    <w:rsid w:val="00134D64"/>
    <w:rsid w:val="00135A30"/>
    <w:rsid w:val="0013612C"/>
    <w:rsid w:val="00136865"/>
    <w:rsid w:val="00136A78"/>
    <w:rsid w:val="00137FF6"/>
    <w:rsid w:val="00140EBA"/>
    <w:rsid w:val="00141650"/>
    <w:rsid w:val="00142BF1"/>
    <w:rsid w:val="00144AB2"/>
    <w:rsid w:val="001450FC"/>
    <w:rsid w:val="001514BC"/>
    <w:rsid w:val="00152DA6"/>
    <w:rsid w:val="00152E72"/>
    <w:rsid w:val="00154186"/>
    <w:rsid w:val="00157ED0"/>
    <w:rsid w:val="00162A12"/>
    <w:rsid w:val="001648BF"/>
    <w:rsid w:val="00164D5D"/>
    <w:rsid w:val="001659E6"/>
    <w:rsid w:val="00166530"/>
    <w:rsid w:val="001670E0"/>
    <w:rsid w:val="001673CB"/>
    <w:rsid w:val="001710CD"/>
    <w:rsid w:val="00172AA3"/>
    <w:rsid w:val="001743B9"/>
    <w:rsid w:val="001832BD"/>
    <w:rsid w:val="00183790"/>
    <w:rsid w:val="0018667D"/>
    <w:rsid w:val="001934C5"/>
    <w:rsid w:val="00193937"/>
    <w:rsid w:val="00194123"/>
    <w:rsid w:val="001943B5"/>
    <w:rsid w:val="00195134"/>
    <w:rsid w:val="001956EC"/>
    <w:rsid w:val="00195B11"/>
    <w:rsid w:val="001963C3"/>
    <w:rsid w:val="00197338"/>
    <w:rsid w:val="0019735C"/>
    <w:rsid w:val="001974C8"/>
    <w:rsid w:val="001A108E"/>
    <w:rsid w:val="001A145B"/>
    <w:rsid w:val="001A17FE"/>
    <w:rsid w:val="001A32C7"/>
    <w:rsid w:val="001A3A50"/>
    <w:rsid w:val="001A3E2B"/>
    <w:rsid w:val="001A674C"/>
    <w:rsid w:val="001A6A88"/>
    <w:rsid w:val="001B0A18"/>
    <w:rsid w:val="001B379E"/>
    <w:rsid w:val="001B3B24"/>
    <w:rsid w:val="001B5D41"/>
    <w:rsid w:val="001B6852"/>
    <w:rsid w:val="001B7539"/>
    <w:rsid w:val="001C0DCB"/>
    <w:rsid w:val="001C0E78"/>
    <w:rsid w:val="001C0F98"/>
    <w:rsid w:val="001C14B8"/>
    <w:rsid w:val="001C2645"/>
    <w:rsid w:val="001C2A21"/>
    <w:rsid w:val="001C2A42"/>
    <w:rsid w:val="001C5331"/>
    <w:rsid w:val="001C55B5"/>
    <w:rsid w:val="001C67C8"/>
    <w:rsid w:val="001D1FC8"/>
    <w:rsid w:val="001D3AE1"/>
    <w:rsid w:val="001D3B4C"/>
    <w:rsid w:val="001D4BB9"/>
    <w:rsid w:val="001D541B"/>
    <w:rsid w:val="001D63ED"/>
    <w:rsid w:val="001D6F29"/>
    <w:rsid w:val="001D7088"/>
    <w:rsid w:val="001D7348"/>
    <w:rsid w:val="001E035B"/>
    <w:rsid w:val="001E0961"/>
    <w:rsid w:val="001E2212"/>
    <w:rsid w:val="001E3EAE"/>
    <w:rsid w:val="001E6DAB"/>
    <w:rsid w:val="001E6F32"/>
    <w:rsid w:val="001F11F4"/>
    <w:rsid w:val="001F155D"/>
    <w:rsid w:val="001F2145"/>
    <w:rsid w:val="001F4515"/>
    <w:rsid w:val="001F57EF"/>
    <w:rsid w:val="001F5BBD"/>
    <w:rsid w:val="001F6262"/>
    <w:rsid w:val="001F67B0"/>
    <w:rsid w:val="001F74D9"/>
    <w:rsid w:val="001F7B3D"/>
    <w:rsid w:val="00201424"/>
    <w:rsid w:val="002017F7"/>
    <w:rsid w:val="002057D4"/>
    <w:rsid w:val="00205F9F"/>
    <w:rsid w:val="00206A5A"/>
    <w:rsid w:val="00210338"/>
    <w:rsid w:val="002115FC"/>
    <w:rsid w:val="00214182"/>
    <w:rsid w:val="0021423C"/>
    <w:rsid w:val="00216B2D"/>
    <w:rsid w:val="00226F89"/>
    <w:rsid w:val="00230D00"/>
    <w:rsid w:val="00231DF7"/>
    <w:rsid w:val="00231FD1"/>
    <w:rsid w:val="002339E0"/>
    <w:rsid w:val="00233CF8"/>
    <w:rsid w:val="002341AF"/>
    <w:rsid w:val="0023575D"/>
    <w:rsid w:val="00237148"/>
    <w:rsid w:val="002372D1"/>
    <w:rsid w:val="00241542"/>
    <w:rsid w:val="0024222D"/>
    <w:rsid w:val="002427F4"/>
    <w:rsid w:val="00244B0E"/>
    <w:rsid w:val="00244F6C"/>
    <w:rsid w:val="00245C90"/>
    <w:rsid w:val="00246A6F"/>
    <w:rsid w:val="00246BCE"/>
    <w:rsid w:val="00252B6D"/>
    <w:rsid w:val="002532C5"/>
    <w:rsid w:val="002541F1"/>
    <w:rsid w:val="0025538E"/>
    <w:rsid w:val="00255A1F"/>
    <w:rsid w:val="002564FA"/>
    <w:rsid w:val="00257BE8"/>
    <w:rsid w:val="00260514"/>
    <w:rsid w:val="00260C03"/>
    <w:rsid w:val="0026130A"/>
    <w:rsid w:val="002635CC"/>
    <w:rsid w:val="00263FCB"/>
    <w:rsid w:val="00264C1B"/>
    <w:rsid w:val="0026540E"/>
    <w:rsid w:val="00265FE9"/>
    <w:rsid w:val="00272413"/>
    <w:rsid w:val="00275123"/>
    <w:rsid w:val="002751DA"/>
    <w:rsid w:val="00277032"/>
    <w:rsid w:val="002778B6"/>
    <w:rsid w:val="00280278"/>
    <w:rsid w:val="00282240"/>
    <w:rsid w:val="0028572A"/>
    <w:rsid w:val="00287C8C"/>
    <w:rsid w:val="002906C3"/>
    <w:rsid w:val="002908A5"/>
    <w:rsid w:val="0029206F"/>
    <w:rsid w:val="00292D65"/>
    <w:rsid w:val="002937F2"/>
    <w:rsid w:val="00294793"/>
    <w:rsid w:val="002948AD"/>
    <w:rsid w:val="00294C92"/>
    <w:rsid w:val="002A01CC"/>
    <w:rsid w:val="002A233B"/>
    <w:rsid w:val="002A358D"/>
    <w:rsid w:val="002A614B"/>
    <w:rsid w:val="002A61B1"/>
    <w:rsid w:val="002A663C"/>
    <w:rsid w:val="002A708F"/>
    <w:rsid w:val="002B0DBA"/>
    <w:rsid w:val="002B2293"/>
    <w:rsid w:val="002B444B"/>
    <w:rsid w:val="002B4EB9"/>
    <w:rsid w:val="002B5887"/>
    <w:rsid w:val="002B5956"/>
    <w:rsid w:val="002B7259"/>
    <w:rsid w:val="002C0692"/>
    <w:rsid w:val="002C0E27"/>
    <w:rsid w:val="002C2254"/>
    <w:rsid w:val="002C3040"/>
    <w:rsid w:val="002C4A51"/>
    <w:rsid w:val="002C4D78"/>
    <w:rsid w:val="002C5F17"/>
    <w:rsid w:val="002D022D"/>
    <w:rsid w:val="002D225D"/>
    <w:rsid w:val="002D24BB"/>
    <w:rsid w:val="002D28D8"/>
    <w:rsid w:val="002D30AB"/>
    <w:rsid w:val="002D569D"/>
    <w:rsid w:val="002D7781"/>
    <w:rsid w:val="002D7D63"/>
    <w:rsid w:val="002D7DF5"/>
    <w:rsid w:val="002F2122"/>
    <w:rsid w:val="002F2AF7"/>
    <w:rsid w:val="002F6560"/>
    <w:rsid w:val="002F7E1C"/>
    <w:rsid w:val="003002E8"/>
    <w:rsid w:val="00301A75"/>
    <w:rsid w:val="00302F70"/>
    <w:rsid w:val="0030336F"/>
    <w:rsid w:val="0030375E"/>
    <w:rsid w:val="00304AA7"/>
    <w:rsid w:val="0030642A"/>
    <w:rsid w:val="00312A30"/>
    <w:rsid w:val="0031414F"/>
    <w:rsid w:val="00315E71"/>
    <w:rsid w:val="00317064"/>
    <w:rsid w:val="00320F72"/>
    <w:rsid w:val="003223CF"/>
    <w:rsid w:val="0032463E"/>
    <w:rsid w:val="00326224"/>
    <w:rsid w:val="003272FF"/>
    <w:rsid w:val="0033138A"/>
    <w:rsid w:val="00331DF1"/>
    <w:rsid w:val="00332A69"/>
    <w:rsid w:val="00333B72"/>
    <w:rsid w:val="0033627A"/>
    <w:rsid w:val="00337EE4"/>
    <w:rsid w:val="00340F18"/>
    <w:rsid w:val="00340FFD"/>
    <w:rsid w:val="00341342"/>
    <w:rsid w:val="003431CB"/>
    <w:rsid w:val="00345E09"/>
    <w:rsid w:val="00347F50"/>
    <w:rsid w:val="003500DD"/>
    <w:rsid w:val="003506B1"/>
    <w:rsid w:val="00351071"/>
    <w:rsid w:val="00351253"/>
    <w:rsid w:val="003520E4"/>
    <w:rsid w:val="00352E68"/>
    <w:rsid w:val="00356AC7"/>
    <w:rsid w:val="003609FA"/>
    <w:rsid w:val="00360E0A"/>
    <w:rsid w:val="0036208A"/>
    <w:rsid w:val="0036364A"/>
    <w:rsid w:val="003710C8"/>
    <w:rsid w:val="0037269C"/>
    <w:rsid w:val="003750BE"/>
    <w:rsid w:val="00375291"/>
    <w:rsid w:val="00380661"/>
    <w:rsid w:val="00381B77"/>
    <w:rsid w:val="00383500"/>
    <w:rsid w:val="00383C8F"/>
    <w:rsid w:val="00384295"/>
    <w:rsid w:val="0038562B"/>
    <w:rsid w:val="00385A01"/>
    <w:rsid w:val="00387B9D"/>
    <w:rsid w:val="0039364F"/>
    <w:rsid w:val="00394993"/>
    <w:rsid w:val="00396686"/>
    <w:rsid w:val="0039748E"/>
    <w:rsid w:val="0039778E"/>
    <w:rsid w:val="003A185B"/>
    <w:rsid w:val="003A3E32"/>
    <w:rsid w:val="003A4356"/>
    <w:rsid w:val="003A4511"/>
    <w:rsid w:val="003A46AE"/>
    <w:rsid w:val="003B1E76"/>
    <w:rsid w:val="003B315B"/>
    <w:rsid w:val="003B3ADC"/>
    <w:rsid w:val="003B3CD8"/>
    <w:rsid w:val="003B46CD"/>
    <w:rsid w:val="003B4941"/>
    <w:rsid w:val="003B6BDF"/>
    <w:rsid w:val="003C5714"/>
    <w:rsid w:val="003C5F2E"/>
    <w:rsid w:val="003C6B9F"/>
    <w:rsid w:val="003C6E2A"/>
    <w:rsid w:val="003C767B"/>
    <w:rsid w:val="003D0299"/>
    <w:rsid w:val="003D1B17"/>
    <w:rsid w:val="003D348B"/>
    <w:rsid w:val="003D3F03"/>
    <w:rsid w:val="003E62F7"/>
    <w:rsid w:val="003E6D80"/>
    <w:rsid w:val="003E6DB4"/>
    <w:rsid w:val="003E70A0"/>
    <w:rsid w:val="003F05FA"/>
    <w:rsid w:val="003F08A9"/>
    <w:rsid w:val="003F244A"/>
    <w:rsid w:val="003F3082"/>
    <w:rsid w:val="003F30B8"/>
    <w:rsid w:val="003F4C45"/>
    <w:rsid w:val="003F5644"/>
    <w:rsid w:val="003F5F7B"/>
    <w:rsid w:val="003F7357"/>
    <w:rsid w:val="003F7CF5"/>
    <w:rsid w:val="003F7D64"/>
    <w:rsid w:val="004015F0"/>
    <w:rsid w:val="00407E7C"/>
    <w:rsid w:val="00414300"/>
    <w:rsid w:val="00425384"/>
    <w:rsid w:val="00425C67"/>
    <w:rsid w:val="00425DCA"/>
    <w:rsid w:val="00426A7C"/>
    <w:rsid w:val="00427E7A"/>
    <w:rsid w:val="004313F6"/>
    <w:rsid w:val="004328D5"/>
    <w:rsid w:val="00436307"/>
    <w:rsid w:val="00436C49"/>
    <w:rsid w:val="00437529"/>
    <w:rsid w:val="0044101D"/>
    <w:rsid w:val="00444D2D"/>
    <w:rsid w:val="00445366"/>
    <w:rsid w:val="00447F5B"/>
    <w:rsid w:val="004521D0"/>
    <w:rsid w:val="00454DFE"/>
    <w:rsid w:val="0045729E"/>
    <w:rsid w:val="00457C2B"/>
    <w:rsid w:val="00461DB0"/>
    <w:rsid w:val="00463926"/>
    <w:rsid w:val="004646E0"/>
    <w:rsid w:val="00464C9A"/>
    <w:rsid w:val="00474F3D"/>
    <w:rsid w:val="0047632B"/>
    <w:rsid w:val="00477E3A"/>
    <w:rsid w:val="0048047C"/>
    <w:rsid w:val="00482A65"/>
    <w:rsid w:val="00483B46"/>
    <w:rsid w:val="00483E5F"/>
    <w:rsid w:val="00484942"/>
    <w:rsid w:val="0048496F"/>
    <w:rsid w:val="00485FF9"/>
    <w:rsid w:val="004866AA"/>
    <w:rsid w:val="004907F0"/>
    <w:rsid w:val="0049140B"/>
    <w:rsid w:val="00492317"/>
    <w:rsid w:val="004923A5"/>
    <w:rsid w:val="004951C9"/>
    <w:rsid w:val="00496224"/>
    <w:rsid w:val="00496BFB"/>
    <w:rsid w:val="00497F62"/>
    <w:rsid w:val="004A0EC1"/>
    <w:rsid w:val="004A15C7"/>
    <w:rsid w:val="004A3602"/>
    <w:rsid w:val="004A39F9"/>
    <w:rsid w:val="004A736B"/>
    <w:rsid w:val="004A7AE7"/>
    <w:rsid w:val="004A7F94"/>
    <w:rsid w:val="004B013B"/>
    <w:rsid w:val="004B08C0"/>
    <w:rsid w:val="004B0AD4"/>
    <w:rsid w:val="004B112B"/>
    <w:rsid w:val="004B5E6E"/>
    <w:rsid w:val="004C01E4"/>
    <w:rsid w:val="004C086C"/>
    <w:rsid w:val="004C1AE6"/>
    <w:rsid w:val="004C1E64"/>
    <w:rsid w:val="004C1F56"/>
    <w:rsid w:val="004C27BC"/>
    <w:rsid w:val="004D15F3"/>
    <w:rsid w:val="004D3FA7"/>
    <w:rsid w:val="004D510B"/>
    <w:rsid w:val="004D5193"/>
    <w:rsid w:val="004D5311"/>
    <w:rsid w:val="004D5DCC"/>
    <w:rsid w:val="004E6871"/>
    <w:rsid w:val="004F0895"/>
    <w:rsid w:val="004F10AF"/>
    <w:rsid w:val="004F11A4"/>
    <w:rsid w:val="004F1388"/>
    <w:rsid w:val="004F2389"/>
    <w:rsid w:val="004F263B"/>
    <w:rsid w:val="004F2F93"/>
    <w:rsid w:val="004F304D"/>
    <w:rsid w:val="004F33E3"/>
    <w:rsid w:val="004F61BE"/>
    <w:rsid w:val="004F66B1"/>
    <w:rsid w:val="004F68AB"/>
    <w:rsid w:val="00503D0E"/>
    <w:rsid w:val="00504FD6"/>
    <w:rsid w:val="005054BD"/>
    <w:rsid w:val="00511C07"/>
    <w:rsid w:val="00511DBD"/>
    <w:rsid w:val="005122B5"/>
    <w:rsid w:val="0051499E"/>
    <w:rsid w:val="005173A6"/>
    <w:rsid w:val="00520BAA"/>
    <w:rsid w:val="00523E3D"/>
    <w:rsid w:val="00524691"/>
    <w:rsid w:val="00525208"/>
    <w:rsid w:val="005257A5"/>
    <w:rsid w:val="005264C0"/>
    <w:rsid w:val="00526814"/>
    <w:rsid w:val="00526A8A"/>
    <w:rsid w:val="00526DB4"/>
    <w:rsid w:val="00527577"/>
    <w:rsid w:val="00531DF2"/>
    <w:rsid w:val="00533740"/>
    <w:rsid w:val="005352C9"/>
    <w:rsid w:val="005374CA"/>
    <w:rsid w:val="00542683"/>
    <w:rsid w:val="005442EE"/>
    <w:rsid w:val="00547353"/>
    <w:rsid w:val="005474E7"/>
    <w:rsid w:val="005512A3"/>
    <w:rsid w:val="00555A68"/>
    <w:rsid w:val="00555DAB"/>
    <w:rsid w:val="005578CE"/>
    <w:rsid w:val="005613D5"/>
    <w:rsid w:val="00562781"/>
    <w:rsid w:val="00563453"/>
    <w:rsid w:val="005638A3"/>
    <w:rsid w:val="005639B5"/>
    <w:rsid w:val="00563E83"/>
    <w:rsid w:val="005706DD"/>
    <w:rsid w:val="0057271C"/>
    <w:rsid w:val="00572845"/>
    <w:rsid w:val="00573F09"/>
    <w:rsid w:val="00574C3B"/>
    <w:rsid w:val="005759ED"/>
    <w:rsid w:val="00581222"/>
    <w:rsid w:val="005818CF"/>
    <w:rsid w:val="005829EB"/>
    <w:rsid w:val="005841CB"/>
    <w:rsid w:val="00586ABD"/>
    <w:rsid w:val="00591E8D"/>
    <w:rsid w:val="00592772"/>
    <w:rsid w:val="005928C8"/>
    <w:rsid w:val="0059574A"/>
    <w:rsid w:val="005A1B9B"/>
    <w:rsid w:val="005A2C7D"/>
    <w:rsid w:val="005A3EAB"/>
    <w:rsid w:val="005A4C5B"/>
    <w:rsid w:val="005A558C"/>
    <w:rsid w:val="005A5F54"/>
    <w:rsid w:val="005A6751"/>
    <w:rsid w:val="005A717B"/>
    <w:rsid w:val="005B092E"/>
    <w:rsid w:val="005B152C"/>
    <w:rsid w:val="005B1EE0"/>
    <w:rsid w:val="005B2601"/>
    <w:rsid w:val="005B2B24"/>
    <w:rsid w:val="005B2D83"/>
    <w:rsid w:val="005B4425"/>
    <w:rsid w:val="005B4B94"/>
    <w:rsid w:val="005B4D34"/>
    <w:rsid w:val="005B70FB"/>
    <w:rsid w:val="005C1577"/>
    <w:rsid w:val="005C193C"/>
    <w:rsid w:val="005C1B1F"/>
    <w:rsid w:val="005C1CDD"/>
    <w:rsid w:val="005C3044"/>
    <w:rsid w:val="005C37DC"/>
    <w:rsid w:val="005C3EE8"/>
    <w:rsid w:val="005C43FF"/>
    <w:rsid w:val="005C7017"/>
    <w:rsid w:val="005D34F9"/>
    <w:rsid w:val="005D4190"/>
    <w:rsid w:val="005D46FA"/>
    <w:rsid w:val="005D67A3"/>
    <w:rsid w:val="005E2988"/>
    <w:rsid w:val="005E2A43"/>
    <w:rsid w:val="005E3085"/>
    <w:rsid w:val="005E3965"/>
    <w:rsid w:val="005E7068"/>
    <w:rsid w:val="005F0FA6"/>
    <w:rsid w:val="005F26A3"/>
    <w:rsid w:val="005F31C8"/>
    <w:rsid w:val="005F332B"/>
    <w:rsid w:val="005F431C"/>
    <w:rsid w:val="005F480B"/>
    <w:rsid w:val="005F48AE"/>
    <w:rsid w:val="005F4E80"/>
    <w:rsid w:val="005F51E1"/>
    <w:rsid w:val="00602B3F"/>
    <w:rsid w:val="00603467"/>
    <w:rsid w:val="00603509"/>
    <w:rsid w:val="00605C2D"/>
    <w:rsid w:val="00611C80"/>
    <w:rsid w:val="00611FCE"/>
    <w:rsid w:val="00612BB8"/>
    <w:rsid w:val="00620692"/>
    <w:rsid w:val="006236C5"/>
    <w:rsid w:val="006242CA"/>
    <w:rsid w:val="00625C69"/>
    <w:rsid w:val="006273B7"/>
    <w:rsid w:val="00627507"/>
    <w:rsid w:val="006312B7"/>
    <w:rsid w:val="00631475"/>
    <w:rsid w:val="00633717"/>
    <w:rsid w:val="006344E1"/>
    <w:rsid w:val="006347BB"/>
    <w:rsid w:val="00641AA6"/>
    <w:rsid w:val="00642F79"/>
    <w:rsid w:val="0064554E"/>
    <w:rsid w:val="00646E76"/>
    <w:rsid w:val="00650BDB"/>
    <w:rsid w:val="006545C4"/>
    <w:rsid w:val="0065501E"/>
    <w:rsid w:val="00655317"/>
    <w:rsid w:val="00657EEB"/>
    <w:rsid w:val="0066005F"/>
    <w:rsid w:val="0066168A"/>
    <w:rsid w:val="006616AA"/>
    <w:rsid w:val="00661971"/>
    <w:rsid w:val="00661CE8"/>
    <w:rsid w:val="00661DC2"/>
    <w:rsid w:val="006623D9"/>
    <w:rsid w:val="0066550C"/>
    <w:rsid w:val="0066693C"/>
    <w:rsid w:val="006709BB"/>
    <w:rsid w:val="006711D4"/>
    <w:rsid w:val="006716F2"/>
    <w:rsid w:val="00674156"/>
    <w:rsid w:val="0068238F"/>
    <w:rsid w:val="0068293A"/>
    <w:rsid w:val="00682BF2"/>
    <w:rsid w:val="00683930"/>
    <w:rsid w:val="00683CAA"/>
    <w:rsid w:val="006859CE"/>
    <w:rsid w:val="00691270"/>
    <w:rsid w:val="00691C2B"/>
    <w:rsid w:val="00691C67"/>
    <w:rsid w:val="00694BA8"/>
    <w:rsid w:val="00696F30"/>
    <w:rsid w:val="006A037C"/>
    <w:rsid w:val="006A36F4"/>
    <w:rsid w:val="006A3E15"/>
    <w:rsid w:val="006A406F"/>
    <w:rsid w:val="006A4BC5"/>
    <w:rsid w:val="006A5D3A"/>
    <w:rsid w:val="006A62C6"/>
    <w:rsid w:val="006B146C"/>
    <w:rsid w:val="006B45B7"/>
    <w:rsid w:val="006B6BF9"/>
    <w:rsid w:val="006C23D4"/>
    <w:rsid w:val="006C42C9"/>
    <w:rsid w:val="006C5627"/>
    <w:rsid w:val="006C75A6"/>
    <w:rsid w:val="006C7BB0"/>
    <w:rsid w:val="006D3237"/>
    <w:rsid w:val="006D545D"/>
    <w:rsid w:val="006E2346"/>
    <w:rsid w:val="006E2E37"/>
    <w:rsid w:val="006E3231"/>
    <w:rsid w:val="006E3CF1"/>
    <w:rsid w:val="006E7E80"/>
    <w:rsid w:val="006F1DF9"/>
    <w:rsid w:val="006F24DB"/>
    <w:rsid w:val="006F48CA"/>
    <w:rsid w:val="006F64DD"/>
    <w:rsid w:val="00715127"/>
    <w:rsid w:val="00715E8E"/>
    <w:rsid w:val="007222E3"/>
    <w:rsid w:val="00723580"/>
    <w:rsid w:val="00723755"/>
    <w:rsid w:val="00723994"/>
    <w:rsid w:val="007245B7"/>
    <w:rsid w:val="00725838"/>
    <w:rsid w:val="00725A15"/>
    <w:rsid w:val="00730BC9"/>
    <w:rsid w:val="0073136C"/>
    <w:rsid w:val="00731F0F"/>
    <w:rsid w:val="007325CC"/>
    <w:rsid w:val="00732DF1"/>
    <w:rsid w:val="00733250"/>
    <w:rsid w:val="00734C24"/>
    <w:rsid w:val="00741257"/>
    <w:rsid w:val="00741404"/>
    <w:rsid w:val="00741846"/>
    <w:rsid w:val="007438C1"/>
    <w:rsid w:val="007449E5"/>
    <w:rsid w:val="00745336"/>
    <w:rsid w:val="00746C5A"/>
    <w:rsid w:val="00747FF0"/>
    <w:rsid w:val="00751102"/>
    <w:rsid w:val="00751C69"/>
    <w:rsid w:val="00752274"/>
    <w:rsid w:val="007549E2"/>
    <w:rsid w:val="00755D0A"/>
    <w:rsid w:val="00757DDC"/>
    <w:rsid w:val="00764624"/>
    <w:rsid w:val="00764733"/>
    <w:rsid w:val="00764D4E"/>
    <w:rsid w:val="00765690"/>
    <w:rsid w:val="00765856"/>
    <w:rsid w:val="00765A1F"/>
    <w:rsid w:val="007667C6"/>
    <w:rsid w:val="00766BC7"/>
    <w:rsid w:val="007707B5"/>
    <w:rsid w:val="0077481F"/>
    <w:rsid w:val="00775B6D"/>
    <w:rsid w:val="00775F35"/>
    <w:rsid w:val="00776496"/>
    <w:rsid w:val="00776601"/>
    <w:rsid w:val="00776D68"/>
    <w:rsid w:val="00784AFE"/>
    <w:rsid w:val="007850EE"/>
    <w:rsid w:val="0078525F"/>
    <w:rsid w:val="00785B95"/>
    <w:rsid w:val="00786A30"/>
    <w:rsid w:val="00790E96"/>
    <w:rsid w:val="007916EA"/>
    <w:rsid w:val="00793366"/>
    <w:rsid w:val="00796352"/>
    <w:rsid w:val="00797017"/>
    <w:rsid w:val="007A3F7F"/>
    <w:rsid w:val="007A716F"/>
    <w:rsid w:val="007B270A"/>
    <w:rsid w:val="007B4C4E"/>
    <w:rsid w:val="007C0695"/>
    <w:rsid w:val="007C0C9F"/>
    <w:rsid w:val="007C1D72"/>
    <w:rsid w:val="007C419A"/>
    <w:rsid w:val="007C4CC8"/>
    <w:rsid w:val="007C5426"/>
    <w:rsid w:val="007C5798"/>
    <w:rsid w:val="007C64DA"/>
    <w:rsid w:val="007D0C56"/>
    <w:rsid w:val="007D4832"/>
    <w:rsid w:val="007D536D"/>
    <w:rsid w:val="007D650B"/>
    <w:rsid w:val="007E21B2"/>
    <w:rsid w:val="007E2C4E"/>
    <w:rsid w:val="007E72CB"/>
    <w:rsid w:val="007F0155"/>
    <w:rsid w:val="007F0346"/>
    <w:rsid w:val="007F1784"/>
    <w:rsid w:val="007F1905"/>
    <w:rsid w:val="007F2596"/>
    <w:rsid w:val="007F51BB"/>
    <w:rsid w:val="00801300"/>
    <w:rsid w:val="00802C64"/>
    <w:rsid w:val="00802FB8"/>
    <w:rsid w:val="00805E52"/>
    <w:rsid w:val="008061D0"/>
    <w:rsid w:val="008101AF"/>
    <w:rsid w:val="00810911"/>
    <w:rsid w:val="00810B38"/>
    <w:rsid w:val="008128C3"/>
    <w:rsid w:val="008177AA"/>
    <w:rsid w:val="008204C7"/>
    <w:rsid w:val="00820992"/>
    <w:rsid w:val="00821340"/>
    <w:rsid w:val="00822103"/>
    <w:rsid w:val="00823602"/>
    <w:rsid w:val="008255F5"/>
    <w:rsid w:val="00826B56"/>
    <w:rsid w:val="0083014E"/>
    <w:rsid w:val="00830799"/>
    <w:rsid w:val="00831D85"/>
    <w:rsid w:val="0083214A"/>
    <w:rsid w:val="00834220"/>
    <w:rsid w:val="00840970"/>
    <w:rsid w:val="008443F9"/>
    <w:rsid w:val="00845723"/>
    <w:rsid w:val="0085136C"/>
    <w:rsid w:val="00851E24"/>
    <w:rsid w:val="00851EF9"/>
    <w:rsid w:val="00854556"/>
    <w:rsid w:val="00854858"/>
    <w:rsid w:val="008559F1"/>
    <w:rsid w:val="008575E2"/>
    <w:rsid w:val="008577FD"/>
    <w:rsid w:val="00860B03"/>
    <w:rsid w:val="0086497A"/>
    <w:rsid w:val="00866CB3"/>
    <w:rsid w:val="008713A1"/>
    <w:rsid w:val="00874341"/>
    <w:rsid w:val="008754AB"/>
    <w:rsid w:val="00875E8B"/>
    <w:rsid w:val="00880516"/>
    <w:rsid w:val="0088060C"/>
    <w:rsid w:val="00883D8B"/>
    <w:rsid w:val="00884666"/>
    <w:rsid w:val="00886C62"/>
    <w:rsid w:val="00890CC4"/>
    <w:rsid w:val="0089103E"/>
    <w:rsid w:val="008924AE"/>
    <w:rsid w:val="00892738"/>
    <w:rsid w:val="008932A4"/>
    <w:rsid w:val="00893576"/>
    <w:rsid w:val="00893E73"/>
    <w:rsid w:val="00896609"/>
    <w:rsid w:val="008A0245"/>
    <w:rsid w:val="008A43C4"/>
    <w:rsid w:val="008A457D"/>
    <w:rsid w:val="008A5050"/>
    <w:rsid w:val="008A773C"/>
    <w:rsid w:val="008B02DC"/>
    <w:rsid w:val="008B22D8"/>
    <w:rsid w:val="008B478E"/>
    <w:rsid w:val="008B509F"/>
    <w:rsid w:val="008B57CE"/>
    <w:rsid w:val="008B659F"/>
    <w:rsid w:val="008B665C"/>
    <w:rsid w:val="008C1A16"/>
    <w:rsid w:val="008C26DE"/>
    <w:rsid w:val="008C53F7"/>
    <w:rsid w:val="008C7A62"/>
    <w:rsid w:val="008D0100"/>
    <w:rsid w:val="008D2225"/>
    <w:rsid w:val="008D4752"/>
    <w:rsid w:val="008D50E8"/>
    <w:rsid w:val="008D7A01"/>
    <w:rsid w:val="008E1133"/>
    <w:rsid w:val="008E13B2"/>
    <w:rsid w:val="008E271C"/>
    <w:rsid w:val="008E33A9"/>
    <w:rsid w:val="008E40D3"/>
    <w:rsid w:val="008E418E"/>
    <w:rsid w:val="008E5BC6"/>
    <w:rsid w:val="008E6A25"/>
    <w:rsid w:val="008F5193"/>
    <w:rsid w:val="008F6433"/>
    <w:rsid w:val="008F7BB4"/>
    <w:rsid w:val="009013A7"/>
    <w:rsid w:val="00901477"/>
    <w:rsid w:val="009017FB"/>
    <w:rsid w:val="009017FC"/>
    <w:rsid w:val="00902886"/>
    <w:rsid w:val="00903B43"/>
    <w:rsid w:val="0090506B"/>
    <w:rsid w:val="009050C9"/>
    <w:rsid w:val="0090635C"/>
    <w:rsid w:val="009066FC"/>
    <w:rsid w:val="009073B7"/>
    <w:rsid w:val="0091181E"/>
    <w:rsid w:val="00911BEA"/>
    <w:rsid w:val="009134E1"/>
    <w:rsid w:val="009140A3"/>
    <w:rsid w:val="009144A2"/>
    <w:rsid w:val="0091510C"/>
    <w:rsid w:val="0092038F"/>
    <w:rsid w:val="00921BB8"/>
    <w:rsid w:val="009222D4"/>
    <w:rsid w:val="009223B8"/>
    <w:rsid w:val="00925089"/>
    <w:rsid w:val="0092582B"/>
    <w:rsid w:val="009259AC"/>
    <w:rsid w:val="0092665D"/>
    <w:rsid w:val="00926F38"/>
    <w:rsid w:val="009270DB"/>
    <w:rsid w:val="00930E6B"/>
    <w:rsid w:val="00933E65"/>
    <w:rsid w:val="00934301"/>
    <w:rsid w:val="00936CD1"/>
    <w:rsid w:val="009372E8"/>
    <w:rsid w:val="009410AB"/>
    <w:rsid w:val="0094166F"/>
    <w:rsid w:val="00941747"/>
    <w:rsid w:val="00941EFB"/>
    <w:rsid w:val="00944465"/>
    <w:rsid w:val="00947AFB"/>
    <w:rsid w:val="00950877"/>
    <w:rsid w:val="00951D7D"/>
    <w:rsid w:val="00957ED6"/>
    <w:rsid w:val="0096044F"/>
    <w:rsid w:val="009630C7"/>
    <w:rsid w:val="00964499"/>
    <w:rsid w:val="00965D7C"/>
    <w:rsid w:val="00971D9C"/>
    <w:rsid w:val="00972B55"/>
    <w:rsid w:val="0097369D"/>
    <w:rsid w:val="009743B7"/>
    <w:rsid w:val="00975D78"/>
    <w:rsid w:val="00977160"/>
    <w:rsid w:val="00977678"/>
    <w:rsid w:val="00980FBC"/>
    <w:rsid w:val="0098228B"/>
    <w:rsid w:val="009828DA"/>
    <w:rsid w:val="009833DE"/>
    <w:rsid w:val="00985BAB"/>
    <w:rsid w:val="009869E6"/>
    <w:rsid w:val="009900B2"/>
    <w:rsid w:val="00990402"/>
    <w:rsid w:val="00990D06"/>
    <w:rsid w:val="00991B00"/>
    <w:rsid w:val="009949EC"/>
    <w:rsid w:val="00996F62"/>
    <w:rsid w:val="00997F03"/>
    <w:rsid w:val="009A34A1"/>
    <w:rsid w:val="009A46DF"/>
    <w:rsid w:val="009A6A56"/>
    <w:rsid w:val="009B0DB0"/>
    <w:rsid w:val="009B1B5F"/>
    <w:rsid w:val="009B1C71"/>
    <w:rsid w:val="009B2639"/>
    <w:rsid w:val="009B2EC2"/>
    <w:rsid w:val="009B6673"/>
    <w:rsid w:val="009B714E"/>
    <w:rsid w:val="009C023B"/>
    <w:rsid w:val="009C1730"/>
    <w:rsid w:val="009C191B"/>
    <w:rsid w:val="009C256E"/>
    <w:rsid w:val="009C2BD6"/>
    <w:rsid w:val="009C30B7"/>
    <w:rsid w:val="009C41BE"/>
    <w:rsid w:val="009C583A"/>
    <w:rsid w:val="009C5E6E"/>
    <w:rsid w:val="009C5F7B"/>
    <w:rsid w:val="009C6AB5"/>
    <w:rsid w:val="009E03EF"/>
    <w:rsid w:val="009E1F32"/>
    <w:rsid w:val="009E368A"/>
    <w:rsid w:val="009E3697"/>
    <w:rsid w:val="009E4111"/>
    <w:rsid w:val="009E5829"/>
    <w:rsid w:val="009E5955"/>
    <w:rsid w:val="009E776C"/>
    <w:rsid w:val="009F4B9B"/>
    <w:rsid w:val="009F4DD1"/>
    <w:rsid w:val="00A01366"/>
    <w:rsid w:val="00A02218"/>
    <w:rsid w:val="00A0239E"/>
    <w:rsid w:val="00A03619"/>
    <w:rsid w:val="00A03634"/>
    <w:rsid w:val="00A0766F"/>
    <w:rsid w:val="00A13F18"/>
    <w:rsid w:val="00A169D2"/>
    <w:rsid w:val="00A17049"/>
    <w:rsid w:val="00A1726E"/>
    <w:rsid w:val="00A204CF"/>
    <w:rsid w:val="00A2248F"/>
    <w:rsid w:val="00A22683"/>
    <w:rsid w:val="00A23D49"/>
    <w:rsid w:val="00A247AF"/>
    <w:rsid w:val="00A24AA8"/>
    <w:rsid w:val="00A27004"/>
    <w:rsid w:val="00A308C0"/>
    <w:rsid w:val="00A30C29"/>
    <w:rsid w:val="00A33D09"/>
    <w:rsid w:val="00A34DD6"/>
    <w:rsid w:val="00A36819"/>
    <w:rsid w:val="00A36989"/>
    <w:rsid w:val="00A37C91"/>
    <w:rsid w:val="00A435D8"/>
    <w:rsid w:val="00A43628"/>
    <w:rsid w:val="00A4475D"/>
    <w:rsid w:val="00A44801"/>
    <w:rsid w:val="00A46BDE"/>
    <w:rsid w:val="00A5280A"/>
    <w:rsid w:val="00A54192"/>
    <w:rsid w:val="00A55932"/>
    <w:rsid w:val="00A574F2"/>
    <w:rsid w:val="00A6035B"/>
    <w:rsid w:val="00A6035E"/>
    <w:rsid w:val="00A60D7B"/>
    <w:rsid w:val="00A6144C"/>
    <w:rsid w:val="00A66617"/>
    <w:rsid w:val="00A671F8"/>
    <w:rsid w:val="00A673A4"/>
    <w:rsid w:val="00A67ACA"/>
    <w:rsid w:val="00A70281"/>
    <w:rsid w:val="00A724AE"/>
    <w:rsid w:val="00A731D4"/>
    <w:rsid w:val="00A73329"/>
    <w:rsid w:val="00A73774"/>
    <w:rsid w:val="00A765E8"/>
    <w:rsid w:val="00A81247"/>
    <w:rsid w:val="00A82359"/>
    <w:rsid w:val="00A833E7"/>
    <w:rsid w:val="00A86474"/>
    <w:rsid w:val="00A865D2"/>
    <w:rsid w:val="00A92C5B"/>
    <w:rsid w:val="00A94572"/>
    <w:rsid w:val="00A94C20"/>
    <w:rsid w:val="00A96364"/>
    <w:rsid w:val="00A9699C"/>
    <w:rsid w:val="00AA122A"/>
    <w:rsid w:val="00AA16D9"/>
    <w:rsid w:val="00AA219E"/>
    <w:rsid w:val="00AA227F"/>
    <w:rsid w:val="00AA3BC7"/>
    <w:rsid w:val="00AA66A3"/>
    <w:rsid w:val="00AA754A"/>
    <w:rsid w:val="00AA7850"/>
    <w:rsid w:val="00AA7EE5"/>
    <w:rsid w:val="00AB099E"/>
    <w:rsid w:val="00AB4328"/>
    <w:rsid w:val="00AB58DD"/>
    <w:rsid w:val="00AB5FA0"/>
    <w:rsid w:val="00AC031D"/>
    <w:rsid w:val="00AC057E"/>
    <w:rsid w:val="00AC7801"/>
    <w:rsid w:val="00AD342E"/>
    <w:rsid w:val="00AE0A2E"/>
    <w:rsid w:val="00AE20B2"/>
    <w:rsid w:val="00AE354C"/>
    <w:rsid w:val="00AE5565"/>
    <w:rsid w:val="00AE62B3"/>
    <w:rsid w:val="00AF4B07"/>
    <w:rsid w:val="00AF6186"/>
    <w:rsid w:val="00AF69D1"/>
    <w:rsid w:val="00AF7965"/>
    <w:rsid w:val="00AF7A3A"/>
    <w:rsid w:val="00AF7B9D"/>
    <w:rsid w:val="00B02B40"/>
    <w:rsid w:val="00B05C0E"/>
    <w:rsid w:val="00B060E6"/>
    <w:rsid w:val="00B10B20"/>
    <w:rsid w:val="00B11E31"/>
    <w:rsid w:val="00B143B6"/>
    <w:rsid w:val="00B14568"/>
    <w:rsid w:val="00B151AF"/>
    <w:rsid w:val="00B160DB"/>
    <w:rsid w:val="00B20836"/>
    <w:rsid w:val="00B235BB"/>
    <w:rsid w:val="00B26BCC"/>
    <w:rsid w:val="00B27A44"/>
    <w:rsid w:val="00B30A97"/>
    <w:rsid w:val="00B30BBF"/>
    <w:rsid w:val="00B315B0"/>
    <w:rsid w:val="00B33C03"/>
    <w:rsid w:val="00B35D6F"/>
    <w:rsid w:val="00B36633"/>
    <w:rsid w:val="00B36E8D"/>
    <w:rsid w:val="00B41CAC"/>
    <w:rsid w:val="00B43833"/>
    <w:rsid w:val="00B447C7"/>
    <w:rsid w:val="00B44E56"/>
    <w:rsid w:val="00B46543"/>
    <w:rsid w:val="00B46825"/>
    <w:rsid w:val="00B472FA"/>
    <w:rsid w:val="00B478C1"/>
    <w:rsid w:val="00B47D33"/>
    <w:rsid w:val="00B5088A"/>
    <w:rsid w:val="00B51849"/>
    <w:rsid w:val="00B52BE0"/>
    <w:rsid w:val="00B5411D"/>
    <w:rsid w:val="00B54133"/>
    <w:rsid w:val="00B54480"/>
    <w:rsid w:val="00B56233"/>
    <w:rsid w:val="00B629F4"/>
    <w:rsid w:val="00B62C57"/>
    <w:rsid w:val="00B6497C"/>
    <w:rsid w:val="00B701ED"/>
    <w:rsid w:val="00B73ACC"/>
    <w:rsid w:val="00B757A5"/>
    <w:rsid w:val="00B76A7A"/>
    <w:rsid w:val="00B8086C"/>
    <w:rsid w:val="00B823D6"/>
    <w:rsid w:val="00B82504"/>
    <w:rsid w:val="00B83022"/>
    <w:rsid w:val="00B839E8"/>
    <w:rsid w:val="00B861B4"/>
    <w:rsid w:val="00B86DFE"/>
    <w:rsid w:val="00B8751F"/>
    <w:rsid w:val="00B87CD2"/>
    <w:rsid w:val="00B90990"/>
    <w:rsid w:val="00B922FF"/>
    <w:rsid w:val="00B9281E"/>
    <w:rsid w:val="00B93925"/>
    <w:rsid w:val="00B95187"/>
    <w:rsid w:val="00B96EA2"/>
    <w:rsid w:val="00BA07E0"/>
    <w:rsid w:val="00BA24A8"/>
    <w:rsid w:val="00BA2B15"/>
    <w:rsid w:val="00BA2D55"/>
    <w:rsid w:val="00BA3785"/>
    <w:rsid w:val="00BA5A4D"/>
    <w:rsid w:val="00BA71B1"/>
    <w:rsid w:val="00BB0303"/>
    <w:rsid w:val="00BB0637"/>
    <w:rsid w:val="00BB345F"/>
    <w:rsid w:val="00BB4877"/>
    <w:rsid w:val="00BB4EEA"/>
    <w:rsid w:val="00BB5883"/>
    <w:rsid w:val="00BB68EA"/>
    <w:rsid w:val="00BC1C27"/>
    <w:rsid w:val="00BC3273"/>
    <w:rsid w:val="00BC3B50"/>
    <w:rsid w:val="00BC5A83"/>
    <w:rsid w:val="00BC6BBF"/>
    <w:rsid w:val="00BD1572"/>
    <w:rsid w:val="00BD6EA2"/>
    <w:rsid w:val="00BE0640"/>
    <w:rsid w:val="00BE14E3"/>
    <w:rsid w:val="00BE2A07"/>
    <w:rsid w:val="00BE3774"/>
    <w:rsid w:val="00BE41E5"/>
    <w:rsid w:val="00BF0A7C"/>
    <w:rsid w:val="00BF0BBB"/>
    <w:rsid w:val="00BF112E"/>
    <w:rsid w:val="00BF2FAD"/>
    <w:rsid w:val="00BF4109"/>
    <w:rsid w:val="00BF4CC3"/>
    <w:rsid w:val="00C013F5"/>
    <w:rsid w:val="00C03AAC"/>
    <w:rsid w:val="00C04B73"/>
    <w:rsid w:val="00C05049"/>
    <w:rsid w:val="00C054C7"/>
    <w:rsid w:val="00C0563D"/>
    <w:rsid w:val="00C057B5"/>
    <w:rsid w:val="00C115A6"/>
    <w:rsid w:val="00C11A22"/>
    <w:rsid w:val="00C14933"/>
    <w:rsid w:val="00C14EAF"/>
    <w:rsid w:val="00C17D5D"/>
    <w:rsid w:val="00C2042B"/>
    <w:rsid w:val="00C22687"/>
    <w:rsid w:val="00C23B0A"/>
    <w:rsid w:val="00C32E4D"/>
    <w:rsid w:val="00C333A0"/>
    <w:rsid w:val="00C365B4"/>
    <w:rsid w:val="00C36A51"/>
    <w:rsid w:val="00C36A81"/>
    <w:rsid w:val="00C41174"/>
    <w:rsid w:val="00C41974"/>
    <w:rsid w:val="00C447AD"/>
    <w:rsid w:val="00C53F4A"/>
    <w:rsid w:val="00C54125"/>
    <w:rsid w:val="00C546C3"/>
    <w:rsid w:val="00C55B54"/>
    <w:rsid w:val="00C6098E"/>
    <w:rsid w:val="00C6152C"/>
    <w:rsid w:val="00C621C2"/>
    <w:rsid w:val="00C66180"/>
    <w:rsid w:val="00C74810"/>
    <w:rsid w:val="00C80214"/>
    <w:rsid w:val="00C8080D"/>
    <w:rsid w:val="00C83CBB"/>
    <w:rsid w:val="00C843C9"/>
    <w:rsid w:val="00C849D6"/>
    <w:rsid w:val="00C90D68"/>
    <w:rsid w:val="00C937E0"/>
    <w:rsid w:val="00C939FE"/>
    <w:rsid w:val="00C93F27"/>
    <w:rsid w:val="00C969E8"/>
    <w:rsid w:val="00CA10AC"/>
    <w:rsid w:val="00CA12FF"/>
    <w:rsid w:val="00CA268A"/>
    <w:rsid w:val="00CA3681"/>
    <w:rsid w:val="00CA4BDA"/>
    <w:rsid w:val="00CA4F51"/>
    <w:rsid w:val="00CB1F66"/>
    <w:rsid w:val="00CB2951"/>
    <w:rsid w:val="00CC0F00"/>
    <w:rsid w:val="00CC0FFD"/>
    <w:rsid w:val="00CC35E4"/>
    <w:rsid w:val="00CC4DE2"/>
    <w:rsid w:val="00CC5407"/>
    <w:rsid w:val="00CC704E"/>
    <w:rsid w:val="00CC705D"/>
    <w:rsid w:val="00CD1889"/>
    <w:rsid w:val="00CD282B"/>
    <w:rsid w:val="00CD39F2"/>
    <w:rsid w:val="00CD4C35"/>
    <w:rsid w:val="00CD7369"/>
    <w:rsid w:val="00CE0B0E"/>
    <w:rsid w:val="00CE3650"/>
    <w:rsid w:val="00CE3831"/>
    <w:rsid w:val="00CE48F9"/>
    <w:rsid w:val="00CE5433"/>
    <w:rsid w:val="00CE6217"/>
    <w:rsid w:val="00CE622C"/>
    <w:rsid w:val="00CF39F2"/>
    <w:rsid w:val="00CF3EC6"/>
    <w:rsid w:val="00CF4125"/>
    <w:rsid w:val="00CF6119"/>
    <w:rsid w:val="00D00ABB"/>
    <w:rsid w:val="00D00FBC"/>
    <w:rsid w:val="00D018EC"/>
    <w:rsid w:val="00D02EEC"/>
    <w:rsid w:val="00D03551"/>
    <w:rsid w:val="00D06A63"/>
    <w:rsid w:val="00D073AC"/>
    <w:rsid w:val="00D07E0E"/>
    <w:rsid w:val="00D11478"/>
    <w:rsid w:val="00D155EE"/>
    <w:rsid w:val="00D15ED0"/>
    <w:rsid w:val="00D16699"/>
    <w:rsid w:val="00D21B3E"/>
    <w:rsid w:val="00D21FED"/>
    <w:rsid w:val="00D22FE6"/>
    <w:rsid w:val="00D23AA6"/>
    <w:rsid w:val="00D23E57"/>
    <w:rsid w:val="00D24251"/>
    <w:rsid w:val="00D279C0"/>
    <w:rsid w:val="00D30A55"/>
    <w:rsid w:val="00D33657"/>
    <w:rsid w:val="00D339DD"/>
    <w:rsid w:val="00D343E2"/>
    <w:rsid w:val="00D34BAC"/>
    <w:rsid w:val="00D3535C"/>
    <w:rsid w:val="00D361A2"/>
    <w:rsid w:val="00D36EB6"/>
    <w:rsid w:val="00D4494E"/>
    <w:rsid w:val="00D44C2E"/>
    <w:rsid w:val="00D45414"/>
    <w:rsid w:val="00D469DC"/>
    <w:rsid w:val="00D50173"/>
    <w:rsid w:val="00D541E4"/>
    <w:rsid w:val="00D566BD"/>
    <w:rsid w:val="00D57A4D"/>
    <w:rsid w:val="00D6027C"/>
    <w:rsid w:val="00D60AA7"/>
    <w:rsid w:val="00D60D87"/>
    <w:rsid w:val="00D6191B"/>
    <w:rsid w:val="00D6396F"/>
    <w:rsid w:val="00D63FA7"/>
    <w:rsid w:val="00D6435F"/>
    <w:rsid w:val="00D64D69"/>
    <w:rsid w:val="00D65816"/>
    <w:rsid w:val="00D701FD"/>
    <w:rsid w:val="00D72BB0"/>
    <w:rsid w:val="00D75566"/>
    <w:rsid w:val="00D75E28"/>
    <w:rsid w:val="00D772C2"/>
    <w:rsid w:val="00D77DC1"/>
    <w:rsid w:val="00D8008E"/>
    <w:rsid w:val="00D805CC"/>
    <w:rsid w:val="00D811CA"/>
    <w:rsid w:val="00D81F3A"/>
    <w:rsid w:val="00D82C45"/>
    <w:rsid w:val="00D8670E"/>
    <w:rsid w:val="00D908A8"/>
    <w:rsid w:val="00D914BB"/>
    <w:rsid w:val="00D977B6"/>
    <w:rsid w:val="00DA4A31"/>
    <w:rsid w:val="00DA62EC"/>
    <w:rsid w:val="00DA7B04"/>
    <w:rsid w:val="00DB36C2"/>
    <w:rsid w:val="00DB3B10"/>
    <w:rsid w:val="00DB7196"/>
    <w:rsid w:val="00DB71BA"/>
    <w:rsid w:val="00DB721F"/>
    <w:rsid w:val="00DC169B"/>
    <w:rsid w:val="00DC21BA"/>
    <w:rsid w:val="00DC2AB9"/>
    <w:rsid w:val="00DC36A0"/>
    <w:rsid w:val="00DC53AE"/>
    <w:rsid w:val="00DC63F0"/>
    <w:rsid w:val="00DC774F"/>
    <w:rsid w:val="00DC7B67"/>
    <w:rsid w:val="00DD3A9E"/>
    <w:rsid w:val="00DD43D1"/>
    <w:rsid w:val="00DD6EE5"/>
    <w:rsid w:val="00DD724E"/>
    <w:rsid w:val="00DE06DF"/>
    <w:rsid w:val="00DE1383"/>
    <w:rsid w:val="00DE386C"/>
    <w:rsid w:val="00DE4D35"/>
    <w:rsid w:val="00DE4E9D"/>
    <w:rsid w:val="00DE6363"/>
    <w:rsid w:val="00DF01A2"/>
    <w:rsid w:val="00DF0549"/>
    <w:rsid w:val="00DF098B"/>
    <w:rsid w:val="00DF11C4"/>
    <w:rsid w:val="00DF210C"/>
    <w:rsid w:val="00DF2ED1"/>
    <w:rsid w:val="00DF33D8"/>
    <w:rsid w:val="00DF427C"/>
    <w:rsid w:val="00DF4B6A"/>
    <w:rsid w:val="00E017B5"/>
    <w:rsid w:val="00E02C09"/>
    <w:rsid w:val="00E04D59"/>
    <w:rsid w:val="00E04EFD"/>
    <w:rsid w:val="00E0716F"/>
    <w:rsid w:val="00E07DA1"/>
    <w:rsid w:val="00E11EE8"/>
    <w:rsid w:val="00E123CB"/>
    <w:rsid w:val="00E12F78"/>
    <w:rsid w:val="00E140F5"/>
    <w:rsid w:val="00E15B12"/>
    <w:rsid w:val="00E20E13"/>
    <w:rsid w:val="00E21DBC"/>
    <w:rsid w:val="00E24FF9"/>
    <w:rsid w:val="00E2698A"/>
    <w:rsid w:val="00E2718B"/>
    <w:rsid w:val="00E275D7"/>
    <w:rsid w:val="00E27DBE"/>
    <w:rsid w:val="00E31B30"/>
    <w:rsid w:val="00E32AB1"/>
    <w:rsid w:val="00E32F49"/>
    <w:rsid w:val="00E35303"/>
    <w:rsid w:val="00E36C71"/>
    <w:rsid w:val="00E40404"/>
    <w:rsid w:val="00E459C6"/>
    <w:rsid w:val="00E47589"/>
    <w:rsid w:val="00E50C91"/>
    <w:rsid w:val="00E535CB"/>
    <w:rsid w:val="00E55882"/>
    <w:rsid w:val="00E565F2"/>
    <w:rsid w:val="00E60B22"/>
    <w:rsid w:val="00E62ABA"/>
    <w:rsid w:val="00E6458B"/>
    <w:rsid w:val="00E64915"/>
    <w:rsid w:val="00E661D4"/>
    <w:rsid w:val="00E6661C"/>
    <w:rsid w:val="00E70091"/>
    <w:rsid w:val="00E720F5"/>
    <w:rsid w:val="00E74A3C"/>
    <w:rsid w:val="00E74B63"/>
    <w:rsid w:val="00E74F51"/>
    <w:rsid w:val="00E75029"/>
    <w:rsid w:val="00E76D47"/>
    <w:rsid w:val="00E779DB"/>
    <w:rsid w:val="00E80E96"/>
    <w:rsid w:val="00E838E1"/>
    <w:rsid w:val="00E8411C"/>
    <w:rsid w:val="00E849F7"/>
    <w:rsid w:val="00E8604E"/>
    <w:rsid w:val="00E87533"/>
    <w:rsid w:val="00E90302"/>
    <w:rsid w:val="00E90A78"/>
    <w:rsid w:val="00E9597F"/>
    <w:rsid w:val="00E96122"/>
    <w:rsid w:val="00E96BD0"/>
    <w:rsid w:val="00E97396"/>
    <w:rsid w:val="00EA089B"/>
    <w:rsid w:val="00EA185E"/>
    <w:rsid w:val="00EA3678"/>
    <w:rsid w:val="00EA4B88"/>
    <w:rsid w:val="00EA5853"/>
    <w:rsid w:val="00EA592A"/>
    <w:rsid w:val="00EB14E4"/>
    <w:rsid w:val="00EB2786"/>
    <w:rsid w:val="00EB2EC1"/>
    <w:rsid w:val="00EB32A5"/>
    <w:rsid w:val="00EB34ED"/>
    <w:rsid w:val="00EB7BE0"/>
    <w:rsid w:val="00EC051F"/>
    <w:rsid w:val="00EC308F"/>
    <w:rsid w:val="00EC315E"/>
    <w:rsid w:val="00EC5F06"/>
    <w:rsid w:val="00ED077C"/>
    <w:rsid w:val="00ED1190"/>
    <w:rsid w:val="00ED3F14"/>
    <w:rsid w:val="00ED6544"/>
    <w:rsid w:val="00ED6CD8"/>
    <w:rsid w:val="00ED7DD1"/>
    <w:rsid w:val="00EE0277"/>
    <w:rsid w:val="00EE1DA9"/>
    <w:rsid w:val="00EE3E00"/>
    <w:rsid w:val="00EE55D2"/>
    <w:rsid w:val="00EE5DD2"/>
    <w:rsid w:val="00EE70EA"/>
    <w:rsid w:val="00EE7D92"/>
    <w:rsid w:val="00EF2236"/>
    <w:rsid w:val="00EF41F1"/>
    <w:rsid w:val="00EF4F08"/>
    <w:rsid w:val="00EF6FA6"/>
    <w:rsid w:val="00F0066B"/>
    <w:rsid w:val="00F00A79"/>
    <w:rsid w:val="00F00E86"/>
    <w:rsid w:val="00F040F8"/>
    <w:rsid w:val="00F07C1E"/>
    <w:rsid w:val="00F105DB"/>
    <w:rsid w:val="00F10EE4"/>
    <w:rsid w:val="00F122AF"/>
    <w:rsid w:val="00F132BC"/>
    <w:rsid w:val="00F13D80"/>
    <w:rsid w:val="00F13E6D"/>
    <w:rsid w:val="00F1534E"/>
    <w:rsid w:val="00F16AAA"/>
    <w:rsid w:val="00F16E2E"/>
    <w:rsid w:val="00F21161"/>
    <w:rsid w:val="00F218EF"/>
    <w:rsid w:val="00F21BC7"/>
    <w:rsid w:val="00F24B7F"/>
    <w:rsid w:val="00F266A2"/>
    <w:rsid w:val="00F26F08"/>
    <w:rsid w:val="00F32269"/>
    <w:rsid w:val="00F33258"/>
    <w:rsid w:val="00F36100"/>
    <w:rsid w:val="00F3750F"/>
    <w:rsid w:val="00F4417F"/>
    <w:rsid w:val="00F44404"/>
    <w:rsid w:val="00F4736B"/>
    <w:rsid w:val="00F5237C"/>
    <w:rsid w:val="00F56A6F"/>
    <w:rsid w:val="00F5709C"/>
    <w:rsid w:val="00F611AD"/>
    <w:rsid w:val="00F648CF"/>
    <w:rsid w:val="00F64EF1"/>
    <w:rsid w:val="00F76B6F"/>
    <w:rsid w:val="00F77D43"/>
    <w:rsid w:val="00F801B2"/>
    <w:rsid w:val="00F80BB0"/>
    <w:rsid w:val="00F83691"/>
    <w:rsid w:val="00F8765F"/>
    <w:rsid w:val="00F879CC"/>
    <w:rsid w:val="00F90767"/>
    <w:rsid w:val="00F95253"/>
    <w:rsid w:val="00F9724C"/>
    <w:rsid w:val="00F972F5"/>
    <w:rsid w:val="00FA5354"/>
    <w:rsid w:val="00FA685B"/>
    <w:rsid w:val="00FB0C01"/>
    <w:rsid w:val="00FB51D2"/>
    <w:rsid w:val="00FB701B"/>
    <w:rsid w:val="00FC1078"/>
    <w:rsid w:val="00FC18F2"/>
    <w:rsid w:val="00FC2C85"/>
    <w:rsid w:val="00FC39E5"/>
    <w:rsid w:val="00FC3A78"/>
    <w:rsid w:val="00FC3AD1"/>
    <w:rsid w:val="00FC44D4"/>
    <w:rsid w:val="00FC49F3"/>
    <w:rsid w:val="00FC51AB"/>
    <w:rsid w:val="00FC5FFE"/>
    <w:rsid w:val="00FD0A2A"/>
    <w:rsid w:val="00FD1005"/>
    <w:rsid w:val="00FD1574"/>
    <w:rsid w:val="00FD3180"/>
    <w:rsid w:val="00FD5207"/>
    <w:rsid w:val="00FD57F4"/>
    <w:rsid w:val="00FD6C75"/>
    <w:rsid w:val="00FE0109"/>
    <w:rsid w:val="00FE2740"/>
    <w:rsid w:val="00FE2883"/>
    <w:rsid w:val="00FE449A"/>
    <w:rsid w:val="00FE71B3"/>
    <w:rsid w:val="00FF0FDE"/>
    <w:rsid w:val="00FF2826"/>
    <w:rsid w:val="00FF42C5"/>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2">
    <w:lsdException w:name="Normal" w:uiPriority="0"/>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0" w:unhideWhenUsed="1"/>
    <w:lsdException w:name="header" w:semiHidden="1" w:uiPriority="57" w:unhideWhenUsed="1"/>
    <w:lsdException w:name="footer" w:semiHidden="1" w:uiPriority="57"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iPriority="0"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0"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qFormat="1"/>
    <w:lsdException w:name="Intense Emphasis" w:qFormat="1"/>
    <w:lsdException w:name="Subtle Reference" w:qFormat="1"/>
    <w:lsdException w:name="Intense Reference" w:qFormat="1"/>
    <w:lsdException w:name="Book Title"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avaden">
    <w:name w:val="Normal"/>
    <w:semiHidden/>
    <w:rsid w:val="0092038F"/>
    <w:pPr>
      <w:jc w:val="both"/>
    </w:pPr>
    <w:rPr>
      <w:rFonts w:eastAsiaTheme="minorEastAsia"/>
      <w:sz w:val="24"/>
    </w:rPr>
  </w:style>
  <w:style w:type="paragraph" w:styleId="Naslov1">
    <w:name w:val="heading 1"/>
    <w:basedOn w:val="Navaden"/>
    <w:next w:val="Navaden"/>
    <w:link w:val="Naslov1Znak"/>
    <w:uiPriority w:val="99"/>
    <w:semiHidden/>
    <w:rsid w:val="0092038F"/>
    <w:pPr>
      <w:spacing w:before="480"/>
      <w:contextualSpacing/>
      <w:outlineLvl w:val="0"/>
    </w:pPr>
    <w:rPr>
      <w:rFonts w:asciiTheme="majorHAnsi" w:eastAsiaTheme="majorEastAsia" w:hAnsiTheme="majorHAnsi" w:cstheme="majorBidi"/>
      <w:b/>
      <w:bCs/>
      <w:color w:val="333333"/>
      <w:sz w:val="28"/>
      <w:szCs w:val="28"/>
    </w:rPr>
  </w:style>
  <w:style w:type="paragraph" w:styleId="Naslov2">
    <w:name w:val="heading 2"/>
    <w:basedOn w:val="Navaden"/>
    <w:next w:val="Navaden"/>
    <w:link w:val="Naslov2Znak"/>
    <w:uiPriority w:val="99"/>
    <w:semiHidden/>
    <w:rsid w:val="0092038F"/>
    <w:pPr>
      <w:spacing w:before="200"/>
      <w:outlineLvl w:val="1"/>
    </w:pPr>
    <w:rPr>
      <w:rFonts w:asciiTheme="majorHAnsi" w:eastAsiaTheme="majorEastAsia" w:hAnsiTheme="majorHAnsi" w:cstheme="majorBidi"/>
      <w:b/>
      <w:bCs/>
      <w:color w:val="4D4D4D"/>
      <w:sz w:val="26"/>
      <w:szCs w:val="26"/>
    </w:rPr>
  </w:style>
  <w:style w:type="paragraph" w:styleId="Naslov3">
    <w:name w:val="heading 3"/>
    <w:basedOn w:val="Navaden"/>
    <w:next w:val="Navaden"/>
    <w:link w:val="Naslov3Znak"/>
    <w:uiPriority w:val="99"/>
    <w:semiHidden/>
    <w:rsid w:val="0092038F"/>
    <w:pPr>
      <w:spacing w:before="200" w:line="271" w:lineRule="auto"/>
      <w:outlineLvl w:val="2"/>
    </w:pPr>
    <w:rPr>
      <w:rFonts w:asciiTheme="majorHAnsi" w:eastAsiaTheme="majorEastAsia" w:hAnsiTheme="majorHAnsi" w:cstheme="majorBidi"/>
      <w:b/>
      <w:bCs/>
      <w:color w:val="5F5F5F"/>
    </w:rPr>
  </w:style>
  <w:style w:type="paragraph" w:styleId="Naslov4">
    <w:name w:val="heading 4"/>
    <w:basedOn w:val="Navaden"/>
    <w:next w:val="Navaden"/>
    <w:link w:val="Naslov4Znak"/>
    <w:uiPriority w:val="99"/>
    <w:semiHidden/>
    <w:rsid w:val="0092038F"/>
    <w:pPr>
      <w:spacing w:before="200"/>
      <w:outlineLvl w:val="3"/>
    </w:pPr>
    <w:rPr>
      <w:rFonts w:asciiTheme="majorHAnsi" w:eastAsiaTheme="majorEastAsia" w:hAnsiTheme="majorHAnsi" w:cstheme="majorBidi"/>
      <w:b/>
      <w:bCs/>
      <w:i/>
      <w:iCs/>
      <w:color w:val="777777"/>
    </w:rPr>
  </w:style>
  <w:style w:type="paragraph" w:styleId="Naslov5">
    <w:name w:val="heading 5"/>
    <w:basedOn w:val="Navaden"/>
    <w:next w:val="Navaden"/>
    <w:link w:val="Naslov5Znak"/>
    <w:uiPriority w:val="99"/>
    <w:semiHidden/>
    <w:qFormat/>
    <w:rsid w:val="0092038F"/>
    <w:pPr>
      <w:spacing w:before="200"/>
      <w:outlineLvl w:val="4"/>
    </w:pPr>
    <w:rPr>
      <w:rFonts w:asciiTheme="majorHAnsi" w:eastAsiaTheme="majorEastAsia" w:hAnsiTheme="majorHAnsi" w:cstheme="majorBidi"/>
      <w:b/>
      <w:bCs/>
      <w:color w:val="808080"/>
      <w:sz w:val="22"/>
    </w:rPr>
  </w:style>
  <w:style w:type="paragraph" w:styleId="Naslov6">
    <w:name w:val="heading 6"/>
    <w:basedOn w:val="Navaden"/>
    <w:next w:val="Navaden"/>
    <w:link w:val="Naslov6Znak"/>
    <w:uiPriority w:val="99"/>
    <w:semiHidden/>
    <w:rsid w:val="0092038F"/>
    <w:pPr>
      <w:spacing w:line="271" w:lineRule="auto"/>
      <w:outlineLvl w:val="5"/>
    </w:pPr>
    <w:rPr>
      <w:rFonts w:asciiTheme="majorHAnsi" w:eastAsiaTheme="majorEastAsia" w:hAnsiTheme="majorHAnsi" w:cstheme="majorBidi"/>
      <w:b/>
      <w:bCs/>
      <w:i/>
      <w:iCs/>
      <w:color w:val="7F7F7F" w:themeColor="text1" w:themeTint="80"/>
      <w:lang w:bidi="en-US"/>
    </w:rPr>
  </w:style>
  <w:style w:type="paragraph" w:styleId="Naslov7">
    <w:name w:val="heading 7"/>
    <w:basedOn w:val="Navaden"/>
    <w:next w:val="Navaden"/>
    <w:link w:val="Naslov7Znak"/>
    <w:uiPriority w:val="99"/>
    <w:semiHidden/>
    <w:qFormat/>
    <w:rsid w:val="0092038F"/>
    <w:pPr>
      <w:outlineLvl w:val="6"/>
    </w:pPr>
    <w:rPr>
      <w:rFonts w:asciiTheme="majorHAnsi" w:eastAsiaTheme="majorEastAsia" w:hAnsiTheme="majorHAnsi" w:cstheme="majorBidi"/>
      <w:i/>
      <w:iCs/>
      <w:sz w:val="22"/>
      <w:lang w:bidi="en-US"/>
    </w:rPr>
  </w:style>
  <w:style w:type="paragraph" w:styleId="Naslov8">
    <w:name w:val="heading 8"/>
    <w:basedOn w:val="Navaden"/>
    <w:next w:val="Navaden"/>
    <w:link w:val="Naslov8Znak"/>
    <w:uiPriority w:val="99"/>
    <w:semiHidden/>
    <w:qFormat/>
    <w:rsid w:val="0092038F"/>
    <w:pPr>
      <w:outlineLvl w:val="7"/>
    </w:pPr>
    <w:rPr>
      <w:rFonts w:asciiTheme="majorHAnsi" w:eastAsiaTheme="majorEastAsia" w:hAnsiTheme="majorHAnsi" w:cstheme="majorBidi"/>
      <w:sz w:val="20"/>
      <w:szCs w:val="20"/>
      <w:lang w:bidi="en-US"/>
    </w:rPr>
  </w:style>
  <w:style w:type="paragraph" w:styleId="Naslov9">
    <w:name w:val="heading 9"/>
    <w:basedOn w:val="Navaden"/>
    <w:next w:val="Navaden"/>
    <w:link w:val="Naslov9Znak"/>
    <w:uiPriority w:val="99"/>
    <w:semiHidden/>
    <w:qFormat/>
    <w:rsid w:val="0092038F"/>
    <w:pPr>
      <w:outlineLvl w:val="8"/>
    </w:pPr>
    <w:rPr>
      <w:rFonts w:asciiTheme="majorHAnsi" w:eastAsiaTheme="majorEastAsia" w:hAnsiTheme="majorHAnsi" w:cstheme="majorBidi"/>
      <w:i/>
      <w:iCs/>
      <w:spacing w:val="5"/>
      <w:sz w:val="20"/>
      <w:szCs w:val="20"/>
      <w:lang w:bidi="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Besedilooblaka">
    <w:name w:val="Balloon Text"/>
    <w:basedOn w:val="Navaden"/>
    <w:link w:val="BesedilooblakaZnak"/>
    <w:uiPriority w:val="99"/>
    <w:semiHidden/>
    <w:rsid w:val="0092038F"/>
    <w:rPr>
      <w:rFonts w:ascii="Tahoma" w:hAnsi="Tahoma" w:cs="Tahoma"/>
      <w:sz w:val="16"/>
      <w:szCs w:val="16"/>
    </w:rPr>
  </w:style>
  <w:style w:type="character" w:customStyle="1" w:styleId="BesedilooblakaZnak">
    <w:name w:val="Besedilo oblačka Znak"/>
    <w:basedOn w:val="Privzetapisavaodstavka"/>
    <w:link w:val="Besedilooblaka"/>
    <w:uiPriority w:val="99"/>
    <w:semiHidden/>
    <w:rsid w:val="0092038F"/>
    <w:rPr>
      <w:rFonts w:ascii="Tahoma" w:eastAsiaTheme="minorEastAsia" w:hAnsi="Tahoma" w:cs="Tahoma"/>
      <w:sz w:val="16"/>
      <w:szCs w:val="16"/>
    </w:rPr>
  </w:style>
  <w:style w:type="character" w:styleId="Naslovknjige">
    <w:name w:val="Book Title"/>
    <w:uiPriority w:val="99"/>
    <w:semiHidden/>
    <w:qFormat/>
    <w:rsid w:val="0092038F"/>
    <w:rPr>
      <w:i/>
      <w:iCs/>
      <w:smallCaps/>
      <w:spacing w:val="5"/>
    </w:rPr>
  </w:style>
  <w:style w:type="paragraph" w:customStyle="1" w:styleId="ECHRHeader">
    <w:name w:val="ECHR_Header"/>
    <w:aliases w:val="Ju_Header"/>
    <w:basedOn w:val="Glava"/>
    <w:uiPriority w:val="4"/>
    <w:qFormat/>
    <w:rsid w:val="0092038F"/>
    <w:pPr>
      <w:tabs>
        <w:tab w:val="clear" w:pos="4536"/>
        <w:tab w:val="clear" w:pos="9072"/>
        <w:tab w:val="center" w:pos="3686"/>
        <w:tab w:val="right" w:pos="7371"/>
      </w:tabs>
      <w:jc w:val="left"/>
    </w:pPr>
    <w:rPr>
      <w:sz w:val="18"/>
    </w:rPr>
  </w:style>
  <w:style w:type="paragraph" w:customStyle="1" w:styleId="ECHRFooter">
    <w:name w:val="ECHR_Footer"/>
    <w:aliases w:val="Footer_ECHR"/>
    <w:basedOn w:val="Noga"/>
    <w:uiPriority w:val="57"/>
    <w:semiHidden/>
    <w:rsid w:val="0092038F"/>
    <w:pPr>
      <w:jc w:val="left"/>
    </w:pPr>
    <w:rPr>
      <w:sz w:val="8"/>
    </w:rPr>
  </w:style>
  <w:style w:type="character" w:styleId="Krepko">
    <w:name w:val="Strong"/>
    <w:uiPriority w:val="99"/>
    <w:semiHidden/>
    <w:qFormat/>
    <w:rsid w:val="0092038F"/>
    <w:rPr>
      <w:b/>
      <w:bCs/>
    </w:rPr>
  </w:style>
  <w:style w:type="paragraph" w:styleId="Brezrazmikov">
    <w:name w:val="No Spacing"/>
    <w:basedOn w:val="Navaden"/>
    <w:link w:val="BrezrazmikovZnak"/>
    <w:semiHidden/>
    <w:qFormat/>
    <w:rsid w:val="0092038F"/>
    <w:rPr>
      <w:sz w:val="22"/>
    </w:rPr>
  </w:style>
  <w:style w:type="character" w:customStyle="1" w:styleId="BrezrazmikovZnak">
    <w:name w:val="Brez razmikov Znak"/>
    <w:basedOn w:val="Privzetapisavaodstavka"/>
    <w:link w:val="Brezrazmikov"/>
    <w:semiHidden/>
    <w:rsid w:val="0092038F"/>
    <w:rPr>
      <w:rFonts w:eastAsiaTheme="minorEastAsia"/>
    </w:rPr>
  </w:style>
  <w:style w:type="paragraph" w:customStyle="1" w:styleId="ECHRFooterLine">
    <w:name w:val="ECHR_Footer_Line"/>
    <w:aliases w:val="Footer_Line"/>
    <w:basedOn w:val="Navaden"/>
    <w:next w:val="ECHRFooter"/>
    <w:uiPriority w:val="57"/>
    <w:semiHidden/>
    <w:rsid w:val="0092038F"/>
    <w:pPr>
      <w:pBdr>
        <w:top w:val="single" w:sz="6" w:space="1" w:color="5F5F5F"/>
      </w:pBdr>
      <w:tabs>
        <w:tab w:val="center" w:pos="4536"/>
        <w:tab w:val="right" w:pos="9696"/>
      </w:tabs>
      <w:ind w:left="-680" w:right="-680"/>
      <w:jc w:val="left"/>
    </w:pPr>
    <w:rPr>
      <w:color w:val="5F5F5F"/>
    </w:rPr>
  </w:style>
  <w:style w:type="paragraph" w:customStyle="1" w:styleId="JuAppQuestion">
    <w:name w:val="Ju_App_Question"/>
    <w:basedOn w:val="Navaden"/>
    <w:uiPriority w:val="5"/>
    <w:qFormat/>
    <w:rsid w:val="0092038F"/>
    <w:pPr>
      <w:numPr>
        <w:numId w:val="14"/>
      </w:numPr>
      <w:jc w:val="left"/>
    </w:pPr>
    <w:rPr>
      <w:b/>
    </w:rPr>
  </w:style>
  <w:style w:type="paragraph" w:customStyle="1" w:styleId="OpiPara">
    <w:name w:val="Opi_Para"/>
    <w:basedOn w:val="ECHRPara"/>
    <w:uiPriority w:val="46"/>
    <w:qFormat/>
    <w:rsid w:val="0092038F"/>
  </w:style>
  <w:style w:type="paragraph" w:customStyle="1" w:styleId="JuParaSub">
    <w:name w:val="Ju_Para_Sub"/>
    <w:basedOn w:val="ECHRPara"/>
    <w:uiPriority w:val="13"/>
    <w:unhideWhenUsed/>
    <w:qFormat/>
    <w:rsid w:val="0092038F"/>
    <w:pPr>
      <w:ind w:left="284"/>
    </w:pPr>
  </w:style>
  <w:style w:type="paragraph" w:customStyle="1" w:styleId="ECHRTitleCentre3">
    <w:name w:val="ECHR_Title_Centre_3"/>
    <w:aliases w:val="Ju_H_Article"/>
    <w:basedOn w:val="Navaden"/>
    <w:next w:val="ECHRParaQuote"/>
    <w:uiPriority w:val="27"/>
    <w:qFormat/>
    <w:rsid w:val="0092038F"/>
    <w:pPr>
      <w:keepNext/>
      <w:keepLines/>
      <w:spacing w:before="240" w:after="120"/>
      <w:jc w:val="center"/>
      <w:outlineLvl w:val="3"/>
    </w:pPr>
    <w:rPr>
      <w:rFonts w:asciiTheme="majorHAnsi" w:hAnsiTheme="majorHAnsi"/>
      <w:b/>
      <w:sz w:val="20"/>
      <w:lang w:bidi="en-US"/>
    </w:rPr>
  </w:style>
  <w:style w:type="paragraph" w:customStyle="1" w:styleId="ECHRTitleCentre1">
    <w:name w:val="ECHR_Title_Centre_1"/>
    <w:aliases w:val="Opi_H_Head"/>
    <w:basedOn w:val="Navaden"/>
    <w:next w:val="OpiPara"/>
    <w:uiPriority w:val="39"/>
    <w:qFormat/>
    <w:rsid w:val="0092038F"/>
    <w:pPr>
      <w:keepNext/>
      <w:keepLines/>
      <w:spacing w:after="240"/>
      <w:jc w:val="center"/>
      <w:outlineLvl w:val="0"/>
    </w:pPr>
    <w:rPr>
      <w:rFonts w:asciiTheme="majorHAnsi" w:hAnsiTheme="majorHAnsi"/>
      <w:sz w:val="28"/>
    </w:rPr>
  </w:style>
  <w:style w:type="paragraph" w:customStyle="1" w:styleId="OpiParaSub">
    <w:name w:val="Opi_Para_Sub"/>
    <w:basedOn w:val="JuParaSub"/>
    <w:uiPriority w:val="47"/>
    <w:unhideWhenUsed/>
    <w:qFormat/>
    <w:rsid w:val="0092038F"/>
  </w:style>
  <w:style w:type="paragraph" w:customStyle="1" w:styleId="OpiQuot">
    <w:name w:val="Opi_Quot"/>
    <w:basedOn w:val="ECHRParaQuote"/>
    <w:uiPriority w:val="48"/>
    <w:qFormat/>
    <w:rsid w:val="0092038F"/>
  </w:style>
  <w:style w:type="paragraph" w:customStyle="1" w:styleId="OpiQuotSub">
    <w:name w:val="Opi_Quot_Sub"/>
    <w:basedOn w:val="JuQuotSub"/>
    <w:uiPriority w:val="49"/>
    <w:qFormat/>
    <w:rsid w:val="0092038F"/>
  </w:style>
  <w:style w:type="paragraph" w:customStyle="1" w:styleId="ECHRTitleCentre2">
    <w:name w:val="ECHR_Title_Centre_2"/>
    <w:aliases w:val="Dec_H_Case"/>
    <w:basedOn w:val="Navaden"/>
    <w:next w:val="ECHRPara"/>
    <w:uiPriority w:val="8"/>
    <w:qFormat/>
    <w:rsid w:val="0092038F"/>
    <w:pPr>
      <w:spacing w:after="240"/>
      <w:jc w:val="center"/>
      <w:outlineLvl w:val="0"/>
    </w:pPr>
    <w:rPr>
      <w:rFonts w:asciiTheme="majorHAnsi" w:hAnsiTheme="majorHAnsi"/>
      <w:i/>
    </w:rPr>
  </w:style>
  <w:style w:type="paragraph" w:customStyle="1" w:styleId="JuTitle">
    <w:name w:val="Ju_Title"/>
    <w:basedOn w:val="Navaden"/>
    <w:next w:val="ECHRPara"/>
    <w:uiPriority w:val="3"/>
    <w:qFormat/>
    <w:rsid w:val="0092038F"/>
    <w:pPr>
      <w:spacing w:before="720" w:after="240"/>
      <w:jc w:val="center"/>
      <w:outlineLvl w:val="0"/>
    </w:pPr>
    <w:rPr>
      <w:rFonts w:asciiTheme="majorHAnsi" w:hAnsiTheme="majorHAnsi"/>
      <w:b/>
      <w:caps/>
    </w:rPr>
  </w:style>
  <w:style w:type="paragraph" w:styleId="Naslov">
    <w:name w:val="Title"/>
    <w:basedOn w:val="Navaden"/>
    <w:next w:val="Navaden"/>
    <w:link w:val="NaslovZnak"/>
    <w:uiPriority w:val="99"/>
    <w:semiHidden/>
    <w:qFormat/>
    <w:rsid w:val="0092038F"/>
    <w:pPr>
      <w:pBdr>
        <w:bottom w:val="single" w:sz="4" w:space="1" w:color="auto"/>
      </w:pBdr>
      <w:contextualSpacing/>
    </w:pPr>
    <w:rPr>
      <w:rFonts w:asciiTheme="majorHAnsi" w:eastAsiaTheme="majorEastAsia" w:hAnsiTheme="majorHAnsi" w:cstheme="majorBidi"/>
      <w:spacing w:val="5"/>
      <w:sz w:val="52"/>
      <w:szCs w:val="52"/>
      <w:lang w:bidi="en-US"/>
    </w:rPr>
  </w:style>
  <w:style w:type="character" w:customStyle="1" w:styleId="NaslovZnak">
    <w:name w:val="Naslov Znak"/>
    <w:basedOn w:val="Privzetapisavaodstavka"/>
    <w:link w:val="Naslov"/>
    <w:uiPriority w:val="99"/>
    <w:semiHidden/>
    <w:rsid w:val="0092038F"/>
    <w:rPr>
      <w:rFonts w:asciiTheme="majorHAnsi" w:eastAsiaTheme="majorEastAsia" w:hAnsiTheme="majorHAnsi" w:cstheme="majorBidi"/>
      <w:spacing w:val="5"/>
      <w:sz w:val="52"/>
      <w:szCs w:val="52"/>
      <w:lang w:bidi="en-US"/>
    </w:rPr>
  </w:style>
  <w:style w:type="paragraph" w:customStyle="1" w:styleId="ECHRHeading3">
    <w:name w:val="ECHR_Heading_3"/>
    <w:aliases w:val="Ju_H_1."/>
    <w:basedOn w:val="Naslov3"/>
    <w:next w:val="ECHRPara"/>
    <w:uiPriority w:val="21"/>
    <w:qFormat/>
    <w:rsid w:val="0092038F"/>
    <w:pPr>
      <w:keepNext/>
      <w:keepLines/>
      <w:tabs>
        <w:tab w:val="left" w:pos="731"/>
      </w:tabs>
      <w:spacing w:before="240" w:after="120" w:line="240" w:lineRule="auto"/>
      <w:ind w:left="732" w:hanging="301"/>
    </w:pPr>
    <w:rPr>
      <w:b w:val="0"/>
      <w:i/>
      <w:color w:val="auto"/>
    </w:rPr>
  </w:style>
  <w:style w:type="paragraph" w:customStyle="1" w:styleId="ECHRHeading4">
    <w:name w:val="ECHR_Heading_4"/>
    <w:aliases w:val="Ju_H_a"/>
    <w:basedOn w:val="Naslov4"/>
    <w:next w:val="ECHRPara"/>
    <w:uiPriority w:val="22"/>
    <w:qFormat/>
    <w:rsid w:val="0092038F"/>
    <w:pPr>
      <w:keepNext/>
      <w:keepLines/>
      <w:tabs>
        <w:tab w:val="left" w:pos="975"/>
      </w:tabs>
      <w:spacing w:before="240" w:after="120"/>
      <w:ind w:left="975" w:hanging="340"/>
    </w:pPr>
    <w:rPr>
      <w:i w:val="0"/>
      <w:color w:val="auto"/>
      <w:sz w:val="20"/>
    </w:rPr>
  </w:style>
  <w:style w:type="paragraph" w:customStyle="1" w:styleId="ECHRHeading5">
    <w:name w:val="ECHR_Heading_5"/>
    <w:aliases w:val="Ju_H_i"/>
    <w:basedOn w:val="Naslov5"/>
    <w:next w:val="ECHRPara"/>
    <w:uiPriority w:val="23"/>
    <w:qFormat/>
    <w:rsid w:val="0092038F"/>
    <w:pPr>
      <w:keepNext/>
      <w:keepLines/>
      <w:tabs>
        <w:tab w:val="left" w:pos="1191"/>
      </w:tabs>
      <w:spacing w:before="240" w:after="120"/>
      <w:ind w:left="1190" w:hanging="357"/>
    </w:pPr>
    <w:rPr>
      <w:b w:val="0"/>
      <w:i/>
      <w:color w:val="auto"/>
      <w:sz w:val="20"/>
    </w:rPr>
  </w:style>
  <w:style w:type="paragraph" w:customStyle="1" w:styleId="ECHRHeading6">
    <w:name w:val="ECHR_Heading_6"/>
    <w:aliases w:val="Ju_H_alpha"/>
    <w:basedOn w:val="Naslov6"/>
    <w:next w:val="ECHRPara"/>
    <w:uiPriority w:val="24"/>
    <w:qFormat/>
    <w:rsid w:val="0092038F"/>
    <w:pPr>
      <w:keepNext/>
      <w:keepLines/>
      <w:tabs>
        <w:tab w:val="left" w:pos="1372"/>
      </w:tabs>
      <w:spacing w:before="240" w:after="120" w:line="240" w:lineRule="auto"/>
      <w:ind w:left="1373" w:hanging="335"/>
    </w:pPr>
    <w:rPr>
      <w:b w:val="0"/>
      <w:i w:val="0"/>
      <w:color w:val="auto"/>
      <w:sz w:val="20"/>
    </w:rPr>
  </w:style>
  <w:style w:type="paragraph" w:customStyle="1" w:styleId="ECHRHeading7">
    <w:name w:val="ECHR_Heading_7"/>
    <w:aliases w:val="Ju_H_–"/>
    <w:basedOn w:val="Naslov7"/>
    <w:next w:val="ECHRPara"/>
    <w:uiPriority w:val="25"/>
    <w:qFormat/>
    <w:rsid w:val="0092038F"/>
    <w:pPr>
      <w:keepNext/>
      <w:keepLines/>
      <w:spacing w:before="240" w:after="120"/>
      <w:ind w:left="1236"/>
    </w:pPr>
    <w:rPr>
      <w:sz w:val="20"/>
    </w:rPr>
  </w:style>
  <w:style w:type="paragraph" w:customStyle="1" w:styleId="JuCase">
    <w:name w:val="Ju_Case"/>
    <w:basedOn w:val="Navaden"/>
    <w:next w:val="ECHRPara"/>
    <w:uiPriority w:val="10"/>
    <w:semiHidden/>
    <w:rsid w:val="0092038F"/>
    <w:pPr>
      <w:ind w:firstLine="284"/>
    </w:pPr>
    <w:rPr>
      <w:b/>
    </w:rPr>
  </w:style>
  <w:style w:type="paragraph" w:customStyle="1" w:styleId="JuQuotSub">
    <w:name w:val="Ju_Quot_Sub"/>
    <w:basedOn w:val="ECHRParaQuote"/>
    <w:uiPriority w:val="15"/>
    <w:qFormat/>
    <w:rsid w:val="0092038F"/>
    <w:pPr>
      <w:ind w:left="567"/>
    </w:pPr>
  </w:style>
  <w:style w:type="paragraph" w:customStyle="1" w:styleId="JuInitialled">
    <w:name w:val="Ju_Initialled"/>
    <w:basedOn w:val="Navaden"/>
    <w:uiPriority w:val="31"/>
    <w:qFormat/>
    <w:rsid w:val="0092038F"/>
    <w:pPr>
      <w:tabs>
        <w:tab w:val="center" w:pos="6407"/>
      </w:tabs>
      <w:spacing w:before="720"/>
      <w:jc w:val="right"/>
    </w:pPr>
  </w:style>
  <w:style w:type="paragraph" w:styleId="Glava">
    <w:name w:val="header"/>
    <w:basedOn w:val="Navaden"/>
    <w:link w:val="GlavaZnak"/>
    <w:uiPriority w:val="57"/>
    <w:semiHidden/>
    <w:rsid w:val="0092038F"/>
    <w:pPr>
      <w:tabs>
        <w:tab w:val="center" w:pos="4536"/>
        <w:tab w:val="right" w:pos="9072"/>
      </w:tabs>
    </w:pPr>
    <w:rPr>
      <w:rFonts w:eastAsiaTheme="minorHAnsi"/>
    </w:rPr>
  </w:style>
  <w:style w:type="character" w:customStyle="1" w:styleId="GlavaZnak">
    <w:name w:val="Glava Znak"/>
    <w:basedOn w:val="Privzetapisavaodstavka"/>
    <w:link w:val="Glava"/>
    <w:uiPriority w:val="57"/>
    <w:semiHidden/>
    <w:rsid w:val="0092038F"/>
    <w:rPr>
      <w:sz w:val="24"/>
    </w:rPr>
  </w:style>
  <w:style w:type="character" w:customStyle="1" w:styleId="Naslov1Znak">
    <w:name w:val="Naslov 1 Znak"/>
    <w:basedOn w:val="Privzetapisavaodstavka"/>
    <w:link w:val="Naslov1"/>
    <w:uiPriority w:val="99"/>
    <w:semiHidden/>
    <w:rsid w:val="0092038F"/>
    <w:rPr>
      <w:rFonts w:asciiTheme="majorHAnsi" w:eastAsiaTheme="majorEastAsia" w:hAnsiTheme="majorHAnsi" w:cstheme="majorBidi"/>
      <w:b/>
      <w:bCs/>
      <w:color w:val="333333"/>
      <w:sz w:val="28"/>
      <w:szCs w:val="28"/>
    </w:rPr>
  </w:style>
  <w:style w:type="paragraph" w:customStyle="1" w:styleId="ECHRHeading1">
    <w:name w:val="ECHR_Heading_1"/>
    <w:aliases w:val="Ju_H_I_Roman"/>
    <w:basedOn w:val="Naslov1"/>
    <w:next w:val="ECHRPara"/>
    <w:uiPriority w:val="19"/>
    <w:qFormat/>
    <w:rsid w:val="0092038F"/>
    <w:pPr>
      <w:keepNext/>
      <w:keepLines/>
      <w:tabs>
        <w:tab w:val="left" w:pos="357"/>
      </w:tabs>
      <w:spacing w:before="360" w:after="240"/>
      <w:ind w:left="357" w:hanging="357"/>
      <w:contextualSpacing w:val="0"/>
    </w:pPr>
    <w:rPr>
      <w:b w:val="0"/>
      <w:color w:val="auto"/>
      <w:sz w:val="24"/>
    </w:rPr>
  </w:style>
  <w:style w:type="paragraph" w:customStyle="1" w:styleId="ECHRHeading2">
    <w:name w:val="ECHR_Heading_2"/>
    <w:aliases w:val="Ju_H_A"/>
    <w:basedOn w:val="Naslov2"/>
    <w:next w:val="ECHRPara"/>
    <w:uiPriority w:val="20"/>
    <w:qFormat/>
    <w:rsid w:val="0092038F"/>
    <w:pPr>
      <w:keepNext/>
      <w:keepLines/>
      <w:tabs>
        <w:tab w:val="left" w:pos="584"/>
      </w:tabs>
      <w:spacing w:before="360" w:after="240"/>
      <w:ind w:left="584" w:hanging="352"/>
    </w:pPr>
    <w:rPr>
      <w:color w:val="auto"/>
      <w:sz w:val="24"/>
    </w:rPr>
  </w:style>
  <w:style w:type="character" w:customStyle="1" w:styleId="Naslov2Znak">
    <w:name w:val="Naslov 2 Znak"/>
    <w:basedOn w:val="Privzetapisavaodstavka"/>
    <w:link w:val="Naslov2"/>
    <w:uiPriority w:val="99"/>
    <w:semiHidden/>
    <w:rsid w:val="0092038F"/>
    <w:rPr>
      <w:rFonts w:asciiTheme="majorHAnsi" w:eastAsiaTheme="majorEastAsia" w:hAnsiTheme="majorHAnsi" w:cstheme="majorBidi"/>
      <w:b/>
      <w:bCs/>
      <w:color w:val="4D4D4D"/>
      <w:sz w:val="26"/>
      <w:szCs w:val="26"/>
    </w:rPr>
  </w:style>
  <w:style w:type="paragraph" w:customStyle="1" w:styleId="OpiHA">
    <w:name w:val="Opi_H_A"/>
    <w:basedOn w:val="ECHRHeading1"/>
    <w:next w:val="OpiPara"/>
    <w:uiPriority w:val="41"/>
    <w:qFormat/>
    <w:rsid w:val="0092038F"/>
    <w:pPr>
      <w:tabs>
        <w:tab w:val="clear" w:pos="357"/>
      </w:tabs>
      <w:outlineLvl w:val="1"/>
    </w:pPr>
    <w:rPr>
      <w:b/>
    </w:rPr>
  </w:style>
  <w:style w:type="character" w:customStyle="1" w:styleId="JUNAMES">
    <w:name w:val="JU_NAMES"/>
    <w:uiPriority w:val="17"/>
    <w:qFormat/>
    <w:rsid w:val="0092038F"/>
    <w:rPr>
      <w:caps w:val="0"/>
      <w:smallCaps/>
    </w:rPr>
  </w:style>
  <w:style w:type="character" w:customStyle="1" w:styleId="Naslov3Znak">
    <w:name w:val="Naslov 3 Znak"/>
    <w:basedOn w:val="Privzetapisavaodstavka"/>
    <w:link w:val="Naslov3"/>
    <w:uiPriority w:val="99"/>
    <w:semiHidden/>
    <w:rsid w:val="0092038F"/>
    <w:rPr>
      <w:rFonts w:asciiTheme="majorHAnsi" w:eastAsiaTheme="majorEastAsia" w:hAnsiTheme="majorHAnsi" w:cstheme="majorBidi"/>
      <w:b/>
      <w:bCs/>
      <w:color w:val="5F5F5F"/>
      <w:sz w:val="24"/>
    </w:rPr>
  </w:style>
  <w:style w:type="character" w:customStyle="1" w:styleId="Naslov4Znak">
    <w:name w:val="Naslov 4 Znak"/>
    <w:basedOn w:val="Privzetapisavaodstavka"/>
    <w:link w:val="Naslov4"/>
    <w:uiPriority w:val="99"/>
    <w:semiHidden/>
    <w:rsid w:val="0092038F"/>
    <w:rPr>
      <w:rFonts w:asciiTheme="majorHAnsi" w:eastAsiaTheme="majorEastAsia" w:hAnsiTheme="majorHAnsi" w:cstheme="majorBidi"/>
      <w:b/>
      <w:bCs/>
      <w:i/>
      <w:iCs/>
      <w:color w:val="777777"/>
      <w:sz w:val="24"/>
    </w:rPr>
  </w:style>
  <w:style w:type="character" w:customStyle="1" w:styleId="Naslov5Znak">
    <w:name w:val="Naslov 5 Znak"/>
    <w:basedOn w:val="Privzetapisavaodstavka"/>
    <w:link w:val="Naslov5"/>
    <w:uiPriority w:val="99"/>
    <w:semiHidden/>
    <w:rsid w:val="0092038F"/>
    <w:rPr>
      <w:rFonts w:asciiTheme="majorHAnsi" w:eastAsiaTheme="majorEastAsia" w:hAnsiTheme="majorHAnsi" w:cstheme="majorBidi"/>
      <w:b/>
      <w:bCs/>
      <w:color w:val="808080"/>
    </w:rPr>
  </w:style>
  <w:style w:type="character" w:styleId="Neenpoudarek">
    <w:name w:val="Subtle Emphasis"/>
    <w:uiPriority w:val="99"/>
    <w:semiHidden/>
    <w:qFormat/>
    <w:rsid w:val="0092038F"/>
    <w:rPr>
      <w:i/>
      <w:iCs/>
    </w:rPr>
  </w:style>
  <w:style w:type="table" w:customStyle="1" w:styleId="ECHRTable">
    <w:name w:val="ECHR_Table"/>
    <w:basedOn w:val="Navadnatabela"/>
    <w:rsid w:val="00860B03"/>
    <w:rPr>
      <w:rFonts w:eastAsia="Times New Roman" w:cs="Times New Roman"/>
      <w:sz w:val="20"/>
      <w:szCs w:val="20"/>
      <w:lang w:val="en-GB"/>
    </w:rPr>
    <w:tblPr>
      <w:tblStyleRowBandSize w:val="1"/>
      <w:tblStyleColBandSize w:val="1"/>
      <w:tbl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blBorders>
      <w:tblCellMar>
        <w:top w:w="28" w:type="dxa"/>
        <w:bottom w:w="28" w:type="dxa"/>
      </w:tblCellMar>
    </w:tblPr>
    <w:tblStylePr w:type="firstRow">
      <w:rPr>
        <w:rFonts w:asciiTheme="majorHAnsi" w:hAnsiTheme="majorHAnsi"/>
        <w:b/>
        <w:i w:val="0"/>
        <w:color w:val="474747" w:themeColor="accent3" w:themeShade="BF"/>
        <w:sz w:val="22"/>
      </w:rPr>
      <w:tblPr/>
      <w:tcPr>
        <w:tc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l2br w:val="nil"/>
          <w:tr2bl w:val="nil"/>
        </w:tcBorders>
        <w:shd w:val="clear" w:color="auto" w:fill="DFDFDF" w:themeFill="background2" w:themeFillShade="E6"/>
      </w:tcPr>
    </w:tblStylePr>
    <w:tblStylePr w:type="firstCol">
      <w:rPr>
        <w:b/>
      </w:rPr>
    </w:tblStylePr>
    <w:tblStylePr w:type="band2Vert">
      <w:tblPr/>
      <w:tcPr>
        <w:tcBorders>
          <w:top w:val="nil"/>
          <w:left w:val="nil"/>
          <w:bottom w:val="nil"/>
          <w:right w:val="nil"/>
          <w:insideH w:val="nil"/>
          <w:insideV w:val="nil"/>
          <w:tl2br w:val="nil"/>
          <w:tr2bl w:val="nil"/>
        </w:tcBorders>
        <w:shd w:val="clear" w:color="auto" w:fill="DFDFDF" w:themeFill="background2" w:themeFillShade="E6"/>
      </w:tcPr>
    </w:tblStylePr>
    <w:tblStylePr w:type="band2Horz">
      <w:tblPr/>
      <w:tcPr>
        <w:tc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l2br w:val="nil"/>
          <w:tr2bl w:val="nil"/>
        </w:tcBorders>
        <w:shd w:val="clear" w:color="auto" w:fill="DFDFDF" w:themeFill="background2" w:themeFillShade="E6"/>
      </w:tcPr>
    </w:tblStylePr>
  </w:style>
  <w:style w:type="table" w:customStyle="1" w:styleId="ECHRTableBoxHeader">
    <w:name w:val="ECHR_Table_Box_Header"/>
    <w:basedOn w:val="Navadnatabela"/>
    <w:rsid w:val="004C086C"/>
    <w:rPr>
      <w:rFonts w:ascii="Verdana" w:eastAsia="Times New Roman" w:hAnsi="Verdana" w:cs="Times New Roman"/>
      <w:sz w:val="20"/>
      <w:szCs w:val="20"/>
      <w:lang w:val="en-GB"/>
    </w:rPr>
    <w:tblPr>
      <w:tblCellMar>
        <w:top w:w="57" w:type="dxa"/>
        <w:left w:w="57" w:type="dxa"/>
        <w:bottom w:w="57" w:type="dxa"/>
        <w:right w:w="57" w:type="dxa"/>
      </w:tblCellMar>
    </w:tblPr>
    <w:tcPr>
      <w:shd w:val="clear" w:color="auto" w:fill="F8F8F8" w:themeFill="background2"/>
    </w:tcPr>
    <w:tblStylePr w:type="firstCol">
      <w:rPr>
        <w:b/>
        <w:color w:val="5F5F5F" w:themeColor="accent3"/>
      </w:rPr>
    </w:tblStylePr>
  </w:style>
  <w:style w:type="paragraph" w:customStyle="1" w:styleId="ECHRTitle1">
    <w:name w:val="ECHR_Title_1"/>
    <w:aliases w:val="Ju_H_Head"/>
    <w:basedOn w:val="Navaden"/>
    <w:next w:val="ECHRPara"/>
    <w:uiPriority w:val="18"/>
    <w:qFormat/>
    <w:rsid w:val="0092038F"/>
    <w:pPr>
      <w:keepNext/>
      <w:keepLines/>
      <w:spacing w:before="720" w:after="240"/>
      <w:outlineLvl w:val="0"/>
    </w:pPr>
    <w:rPr>
      <w:rFonts w:asciiTheme="majorHAnsi" w:hAnsiTheme="majorHAnsi"/>
      <w:sz w:val="28"/>
    </w:rPr>
  </w:style>
  <w:style w:type="character" w:styleId="Poudarek">
    <w:name w:val="Emphasis"/>
    <w:uiPriority w:val="99"/>
    <w:semiHidden/>
    <w:qFormat/>
    <w:rsid w:val="0092038F"/>
    <w:rPr>
      <w:b/>
      <w:bCs/>
      <w:i/>
      <w:iCs/>
      <w:spacing w:val="10"/>
      <w:bdr w:val="none" w:sz="0" w:space="0" w:color="auto"/>
      <w:shd w:val="clear" w:color="auto" w:fill="auto"/>
    </w:rPr>
  </w:style>
  <w:style w:type="paragraph" w:styleId="Noga">
    <w:name w:val="footer"/>
    <w:basedOn w:val="Navaden"/>
    <w:link w:val="NogaZnak"/>
    <w:uiPriority w:val="57"/>
    <w:semiHidden/>
    <w:rsid w:val="0092038F"/>
    <w:pPr>
      <w:tabs>
        <w:tab w:val="center" w:pos="4536"/>
        <w:tab w:val="right" w:pos="9696"/>
      </w:tabs>
      <w:ind w:left="-680" w:right="-680"/>
    </w:pPr>
    <w:rPr>
      <w:rFonts w:eastAsiaTheme="minorHAnsi"/>
    </w:rPr>
  </w:style>
  <w:style w:type="character" w:customStyle="1" w:styleId="NogaZnak">
    <w:name w:val="Noga Znak"/>
    <w:basedOn w:val="Privzetapisavaodstavka"/>
    <w:link w:val="Noga"/>
    <w:uiPriority w:val="57"/>
    <w:semiHidden/>
    <w:rsid w:val="0092038F"/>
    <w:rPr>
      <w:sz w:val="24"/>
    </w:rPr>
  </w:style>
  <w:style w:type="character" w:styleId="Sprotnaopomba-sklic">
    <w:name w:val="footnote reference"/>
    <w:basedOn w:val="Privzetapisavaodstavka"/>
    <w:uiPriority w:val="99"/>
    <w:semiHidden/>
    <w:rsid w:val="0092038F"/>
    <w:rPr>
      <w:vertAlign w:val="superscript"/>
    </w:rPr>
  </w:style>
  <w:style w:type="paragraph" w:styleId="Sprotnaopomba-besedilo">
    <w:name w:val="footnote text"/>
    <w:basedOn w:val="Navaden"/>
    <w:link w:val="Sprotnaopomba-besediloZnak"/>
    <w:uiPriority w:val="99"/>
    <w:semiHidden/>
    <w:rsid w:val="0092038F"/>
    <w:rPr>
      <w:sz w:val="20"/>
      <w:szCs w:val="20"/>
    </w:rPr>
  </w:style>
  <w:style w:type="character" w:customStyle="1" w:styleId="Sprotnaopomba-besediloZnak">
    <w:name w:val="Sprotna opomba - besedilo Znak"/>
    <w:basedOn w:val="Privzetapisavaodstavka"/>
    <w:link w:val="Sprotnaopomba-besedilo"/>
    <w:uiPriority w:val="99"/>
    <w:semiHidden/>
    <w:rsid w:val="0092038F"/>
    <w:rPr>
      <w:rFonts w:eastAsiaTheme="minorEastAsia"/>
      <w:sz w:val="20"/>
      <w:szCs w:val="20"/>
    </w:rPr>
  </w:style>
  <w:style w:type="character" w:customStyle="1" w:styleId="Naslov6Znak">
    <w:name w:val="Naslov 6 Znak"/>
    <w:basedOn w:val="Privzetapisavaodstavka"/>
    <w:link w:val="Naslov6"/>
    <w:uiPriority w:val="99"/>
    <w:semiHidden/>
    <w:rsid w:val="0092038F"/>
    <w:rPr>
      <w:rFonts w:asciiTheme="majorHAnsi" w:eastAsiaTheme="majorEastAsia" w:hAnsiTheme="majorHAnsi" w:cstheme="majorBidi"/>
      <w:b/>
      <w:bCs/>
      <w:i/>
      <w:iCs/>
      <w:color w:val="7F7F7F" w:themeColor="text1" w:themeTint="80"/>
      <w:sz w:val="24"/>
      <w:lang w:bidi="en-US"/>
    </w:rPr>
  </w:style>
  <w:style w:type="character" w:customStyle="1" w:styleId="Naslov7Znak">
    <w:name w:val="Naslov 7 Znak"/>
    <w:basedOn w:val="Privzetapisavaodstavka"/>
    <w:link w:val="Naslov7"/>
    <w:uiPriority w:val="99"/>
    <w:semiHidden/>
    <w:rsid w:val="0092038F"/>
    <w:rPr>
      <w:rFonts w:asciiTheme="majorHAnsi" w:eastAsiaTheme="majorEastAsia" w:hAnsiTheme="majorHAnsi" w:cstheme="majorBidi"/>
      <w:i/>
      <w:iCs/>
      <w:lang w:bidi="en-US"/>
    </w:rPr>
  </w:style>
  <w:style w:type="character" w:customStyle="1" w:styleId="Naslov8Znak">
    <w:name w:val="Naslov 8 Znak"/>
    <w:basedOn w:val="Privzetapisavaodstavka"/>
    <w:link w:val="Naslov8"/>
    <w:uiPriority w:val="99"/>
    <w:semiHidden/>
    <w:rsid w:val="0092038F"/>
    <w:rPr>
      <w:rFonts w:asciiTheme="majorHAnsi" w:eastAsiaTheme="majorEastAsia" w:hAnsiTheme="majorHAnsi" w:cstheme="majorBidi"/>
      <w:sz w:val="20"/>
      <w:szCs w:val="20"/>
      <w:lang w:bidi="en-US"/>
    </w:rPr>
  </w:style>
  <w:style w:type="character" w:customStyle="1" w:styleId="Naslov9Znak">
    <w:name w:val="Naslov 9 Znak"/>
    <w:basedOn w:val="Privzetapisavaodstavka"/>
    <w:link w:val="Naslov9"/>
    <w:uiPriority w:val="99"/>
    <w:semiHidden/>
    <w:rsid w:val="0092038F"/>
    <w:rPr>
      <w:rFonts w:asciiTheme="majorHAnsi" w:eastAsiaTheme="majorEastAsia" w:hAnsiTheme="majorHAnsi" w:cstheme="majorBidi"/>
      <w:i/>
      <w:iCs/>
      <w:spacing w:val="5"/>
      <w:sz w:val="20"/>
      <w:szCs w:val="20"/>
      <w:lang w:bidi="en-US"/>
    </w:rPr>
  </w:style>
  <w:style w:type="character" w:styleId="Hiperpovezava">
    <w:name w:val="Hyperlink"/>
    <w:basedOn w:val="Privzetapisavaodstavka"/>
    <w:uiPriority w:val="99"/>
    <w:semiHidden/>
    <w:rsid w:val="0092038F"/>
    <w:rPr>
      <w:color w:val="0072BC" w:themeColor="hyperlink"/>
      <w:u w:val="single"/>
    </w:rPr>
  </w:style>
  <w:style w:type="character" w:styleId="Intenzivenpoudarek">
    <w:name w:val="Intense Emphasis"/>
    <w:uiPriority w:val="99"/>
    <w:semiHidden/>
    <w:qFormat/>
    <w:rsid w:val="0092038F"/>
    <w:rPr>
      <w:b/>
      <w:bCs/>
    </w:rPr>
  </w:style>
  <w:style w:type="paragraph" w:styleId="Intenzivencitat">
    <w:name w:val="Intense Quote"/>
    <w:basedOn w:val="Navaden"/>
    <w:next w:val="Navaden"/>
    <w:link w:val="IntenzivencitatZnak"/>
    <w:uiPriority w:val="99"/>
    <w:semiHidden/>
    <w:qFormat/>
    <w:rsid w:val="0092038F"/>
    <w:pPr>
      <w:pBdr>
        <w:bottom w:val="single" w:sz="4" w:space="1" w:color="auto"/>
      </w:pBdr>
      <w:spacing w:before="200" w:after="280"/>
      <w:ind w:left="1008" w:right="1152"/>
    </w:pPr>
    <w:rPr>
      <w:b/>
      <w:bCs/>
      <w:i/>
      <w:iCs/>
      <w:sz w:val="22"/>
      <w:lang w:bidi="en-US"/>
    </w:rPr>
  </w:style>
  <w:style w:type="character" w:customStyle="1" w:styleId="IntenzivencitatZnak">
    <w:name w:val="Intenziven citat Znak"/>
    <w:basedOn w:val="Privzetapisavaodstavka"/>
    <w:link w:val="Intenzivencitat"/>
    <w:uiPriority w:val="99"/>
    <w:semiHidden/>
    <w:rsid w:val="0092038F"/>
    <w:rPr>
      <w:rFonts w:eastAsiaTheme="minorEastAsia"/>
      <w:b/>
      <w:bCs/>
      <w:i/>
      <w:iCs/>
      <w:lang w:bidi="en-US"/>
    </w:rPr>
  </w:style>
  <w:style w:type="character" w:styleId="Intenzivensklic">
    <w:name w:val="Intense Reference"/>
    <w:uiPriority w:val="99"/>
    <w:semiHidden/>
    <w:qFormat/>
    <w:rsid w:val="0092038F"/>
    <w:rPr>
      <w:smallCaps/>
      <w:spacing w:val="5"/>
      <w:u w:val="single"/>
    </w:rPr>
  </w:style>
  <w:style w:type="paragraph" w:styleId="Odstavekseznama">
    <w:name w:val="List Paragraph"/>
    <w:basedOn w:val="Navaden"/>
    <w:uiPriority w:val="99"/>
    <w:semiHidden/>
    <w:qFormat/>
    <w:rsid w:val="0092038F"/>
    <w:pPr>
      <w:ind w:left="720"/>
      <w:contextualSpacing/>
    </w:pPr>
  </w:style>
  <w:style w:type="table" w:customStyle="1" w:styleId="LtrTableAddress">
    <w:name w:val="Ltr_Table_Address"/>
    <w:basedOn w:val="Navadnatabela"/>
    <w:uiPriority w:val="99"/>
    <w:rsid w:val="001E6F32"/>
    <w:tblPr>
      <w:tblInd w:w="5103" w:type="dxa"/>
    </w:tblPr>
  </w:style>
  <w:style w:type="paragraph" w:styleId="Citat">
    <w:name w:val="Quote"/>
    <w:basedOn w:val="Navaden"/>
    <w:next w:val="Navaden"/>
    <w:link w:val="CitatZnak"/>
    <w:uiPriority w:val="99"/>
    <w:semiHidden/>
    <w:qFormat/>
    <w:rsid w:val="0092038F"/>
    <w:pPr>
      <w:spacing w:before="200"/>
      <w:ind w:left="360" w:right="360"/>
    </w:pPr>
    <w:rPr>
      <w:i/>
      <w:iCs/>
      <w:sz w:val="22"/>
      <w:lang w:bidi="en-US"/>
    </w:rPr>
  </w:style>
  <w:style w:type="character" w:customStyle="1" w:styleId="CitatZnak">
    <w:name w:val="Citat Znak"/>
    <w:basedOn w:val="Privzetapisavaodstavka"/>
    <w:link w:val="Citat"/>
    <w:uiPriority w:val="99"/>
    <w:semiHidden/>
    <w:rsid w:val="0092038F"/>
    <w:rPr>
      <w:rFonts w:eastAsiaTheme="minorEastAsia"/>
      <w:i/>
      <w:iCs/>
      <w:lang w:bidi="en-US"/>
    </w:rPr>
  </w:style>
  <w:style w:type="character" w:styleId="Neensklic">
    <w:name w:val="Subtle Reference"/>
    <w:uiPriority w:val="99"/>
    <w:semiHidden/>
    <w:qFormat/>
    <w:rsid w:val="0092038F"/>
    <w:rPr>
      <w:smallCaps/>
    </w:rPr>
  </w:style>
  <w:style w:type="table" w:styleId="Tabelamrea">
    <w:name w:val="Table Grid"/>
    <w:basedOn w:val="Navadnatabela"/>
    <w:uiPriority w:val="59"/>
    <w:semiHidden/>
    <w:rsid w:val="0092038F"/>
    <w:rPr>
      <w:rFonts w:eastAsiaTheme="minorEastAs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Kazalovsebine1">
    <w:name w:val="toc 1"/>
    <w:basedOn w:val="Navaden"/>
    <w:next w:val="Navaden"/>
    <w:autoRedefine/>
    <w:uiPriority w:val="99"/>
    <w:semiHidden/>
    <w:rsid w:val="0092038F"/>
    <w:pPr>
      <w:keepNext/>
      <w:tabs>
        <w:tab w:val="right" w:leader="dot" w:pos="7371"/>
      </w:tabs>
      <w:spacing w:before="160" w:after="60" w:line="240" w:lineRule="exact"/>
      <w:ind w:left="340" w:right="567" w:hanging="340"/>
    </w:pPr>
    <w:rPr>
      <w:b/>
      <w:sz w:val="22"/>
    </w:rPr>
  </w:style>
  <w:style w:type="paragraph" w:styleId="Kazalovsebine2">
    <w:name w:val="toc 2"/>
    <w:basedOn w:val="Navaden"/>
    <w:next w:val="Navaden"/>
    <w:autoRedefine/>
    <w:uiPriority w:val="99"/>
    <w:semiHidden/>
    <w:rsid w:val="0092038F"/>
    <w:pPr>
      <w:keepNext/>
      <w:tabs>
        <w:tab w:val="right" w:leader="dot" w:pos="7371"/>
      </w:tabs>
      <w:spacing w:after="60" w:line="240" w:lineRule="exact"/>
      <w:ind w:left="680" w:right="567" w:hanging="340"/>
    </w:pPr>
    <w:rPr>
      <w:sz w:val="22"/>
    </w:rPr>
  </w:style>
  <w:style w:type="paragraph" w:styleId="Kazalovsebine3">
    <w:name w:val="toc 3"/>
    <w:basedOn w:val="Navaden"/>
    <w:next w:val="Navaden"/>
    <w:autoRedefine/>
    <w:uiPriority w:val="99"/>
    <w:semiHidden/>
    <w:rsid w:val="0092038F"/>
    <w:pPr>
      <w:keepNext/>
      <w:tabs>
        <w:tab w:val="right" w:leader="dot" w:pos="7371"/>
      </w:tabs>
      <w:spacing w:after="60" w:line="240" w:lineRule="exact"/>
      <w:ind w:left="1020" w:right="567" w:hanging="340"/>
    </w:pPr>
    <w:rPr>
      <w:sz w:val="20"/>
    </w:rPr>
  </w:style>
  <w:style w:type="paragraph" w:styleId="Kazalovsebine4">
    <w:name w:val="toc 4"/>
    <w:basedOn w:val="Navaden"/>
    <w:next w:val="Navaden"/>
    <w:autoRedefine/>
    <w:uiPriority w:val="99"/>
    <w:semiHidden/>
    <w:rsid w:val="0092038F"/>
    <w:pPr>
      <w:tabs>
        <w:tab w:val="right" w:leader="dot" w:pos="7371"/>
      </w:tabs>
      <w:spacing w:after="60" w:line="240" w:lineRule="exact"/>
      <w:ind w:left="1361" w:right="567" w:hanging="340"/>
    </w:pPr>
    <w:rPr>
      <w:sz w:val="20"/>
    </w:rPr>
  </w:style>
  <w:style w:type="paragraph" w:styleId="Kazalovsebine5">
    <w:name w:val="toc 5"/>
    <w:basedOn w:val="Navaden"/>
    <w:next w:val="Navaden"/>
    <w:autoRedefine/>
    <w:uiPriority w:val="99"/>
    <w:semiHidden/>
    <w:rsid w:val="0092038F"/>
    <w:pPr>
      <w:tabs>
        <w:tab w:val="right" w:leader="dot" w:pos="7371"/>
      </w:tabs>
      <w:spacing w:after="60" w:line="240" w:lineRule="exact"/>
      <w:ind w:left="1701" w:right="567" w:hanging="340"/>
    </w:pPr>
    <w:rPr>
      <w:sz w:val="20"/>
    </w:rPr>
  </w:style>
  <w:style w:type="paragraph" w:styleId="NaslovTOC">
    <w:name w:val="TOC Heading"/>
    <w:basedOn w:val="Navaden"/>
    <w:next w:val="Navaden"/>
    <w:uiPriority w:val="99"/>
    <w:semiHidden/>
    <w:qFormat/>
    <w:rsid w:val="0092038F"/>
    <w:pPr>
      <w:keepNext/>
      <w:keepLines/>
      <w:spacing w:before="240"/>
      <w:contextualSpacing/>
      <w:jc w:val="center"/>
    </w:pPr>
    <w:rPr>
      <w:rFonts w:asciiTheme="majorHAnsi" w:eastAsiaTheme="minorHAnsi" w:hAnsiTheme="majorHAnsi"/>
      <w:b/>
      <w:color w:val="474747" w:themeColor="accent3" w:themeShade="BF"/>
      <w:sz w:val="28"/>
    </w:rPr>
  </w:style>
  <w:style w:type="table" w:customStyle="1" w:styleId="UGTable">
    <w:name w:val="UG_Table"/>
    <w:basedOn w:val="Navadnatabela"/>
    <w:uiPriority w:val="99"/>
    <w:rsid w:val="00801300"/>
    <w:rPr>
      <w:rFonts w:eastAsiaTheme="minorEastAsia"/>
      <w:sz w:val="20"/>
      <w:lang w:val="en-GB" w:eastAsia="en-GB"/>
    </w:rPr>
    <w:tblPr>
      <w:tblInd w:w="-1191" w:type="dxa"/>
      <w:tblCellMar>
        <w:top w:w="57" w:type="dxa"/>
        <w:left w:w="0" w:type="dxa"/>
        <w:right w:w="0" w:type="dxa"/>
      </w:tblCellMar>
    </w:tblPr>
    <w:tblStylePr w:type="swCell">
      <w:tblPr/>
      <w:tcPr>
        <w:tcBorders>
          <w:top w:val="nil"/>
          <w:left w:val="nil"/>
          <w:bottom w:val="nil"/>
          <w:right w:val="nil"/>
          <w:insideH w:val="nil"/>
          <w:insideV w:val="nil"/>
          <w:tl2br w:val="nil"/>
          <w:tr2bl w:val="nil"/>
        </w:tcBorders>
        <w:shd w:val="clear" w:color="auto" w:fill="EAEAEA"/>
      </w:tcPr>
    </w:tblStylePr>
  </w:style>
  <w:style w:type="table" w:customStyle="1" w:styleId="UGTableWhiteBox">
    <w:name w:val="UG_Table_White_Box"/>
    <w:basedOn w:val="Navadnatabela"/>
    <w:uiPriority w:val="99"/>
    <w:rsid w:val="00801300"/>
    <w:rPr>
      <w:rFonts w:eastAsiaTheme="minorEastAsia"/>
      <w:lang w:val="en-GB" w:eastAsia="en-GB"/>
    </w:rPr>
    <w:tblPr>
      <w:tblBorders>
        <w:top w:val="single" w:sz="4" w:space="0" w:color="B9B9B9" w:themeColor="background2" w:themeShade="BF"/>
        <w:left w:val="single" w:sz="4" w:space="0" w:color="B9B9B9" w:themeColor="background2" w:themeShade="BF"/>
        <w:bottom w:val="single" w:sz="4" w:space="0" w:color="B9B9B9" w:themeColor="background2" w:themeShade="BF"/>
        <w:right w:val="single" w:sz="4" w:space="0" w:color="B9B9B9" w:themeColor="background2" w:themeShade="BF"/>
      </w:tblBorders>
      <w:tblCellMar>
        <w:top w:w="113" w:type="dxa"/>
        <w:left w:w="113" w:type="dxa"/>
        <w:bottom w:w="113" w:type="dxa"/>
        <w:right w:w="113" w:type="dxa"/>
      </w:tblCellMar>
    </w:tblPr>
    <w:tcPr>
      <w:shd w:val="clear" w:color="auto" w:fill="FFFFFF"/>
    </w:tcPr>
  </w:style>
  <w:style w:type="table" w:customStyle="1" w:styleId="PCFTableStyle">
    <w:name w:val="PCF_Table_Style"/>
    <w:basedOn w:val="Navadnatabela"/>
    <w:uiPriority w:val="99"/>
    <w:rsid w:val="00810B38"/>
    <w:rPr>
      <w:color w:val="000000" w:themeColor="text1"/>
      <w:sz w:val="18"/>
    </w:rPr>
    <w:tblPr>
      <w:tblBorders>
        <w:top w:val="single" w:sz="8" w:space="0" w:color="9F9F9F" w:themeColor="accent3" w:themeTint="99"/>
        <w:left w:val="single" w:sz="8" w:space="0" w:color="9F9F9F" w:themeColor="accent3" w:themeTint="99"/>
        <w:bottom w:val="single" w:sz="8" w:space="0" w:color="9F9F9F" w:themeColor="accent3" w:themeTint="99"/>
        <w:right w:val="single" w:sz="8" w:space="0" w:color="9F9F9F" w:themeColor="accent3" w:themeTint="99"/>
        <w:insideH w:val="single" w:sz="8" w:space="0" w:color="9F9F9F" w:themeColor="accent3" w:themeTint="99"/>
        <w:insideV w:val="single" w:sz="8" w:space="0" w:color="9F9F9F" w:themeColor="accent3" w:themeTint="99"/>
      </w:tblBorders>
    </w:tblPr>
    <w:tblStylePr w:type="firstRow">
      <w:pPr>
        <w:wordWrap/>
        <w:spacing w:beforeLines="0" w:before="120" w:beforeAutospacing="0" w:afterLines="0" w:after="120" w:afterAutospacing="0" w:line="240" w:lineRule="auto"/>
        <w:contextualSpacing/>
        <w:jc w:val="center"/>
      </w:pPr>
      <w:rPr>
        <w:b/>
        <w:i w:val="0"/>
        <w:color w:val="FFFFFF"/>
        <w:sz w:val="20"/>
      </w:rPr>
      <w:tblPr/>
      <w:tcPr>
        <w:tcBorders>
          <w:top w:val="nil"/>
          <w:left w:val="nil"/>
          <w:bottom w:val="nil"/>
          <w:right w:val="nil"/>
          <w:insideH w:val="nil"/>
          <w:insideV w:val="nil"/>
          <w:tl2br w:val="nil"/>
          <w:tr2bl w:val="nil"/>
        </w:tcBorders>
        <w:shd w:val="clear" w:color="auto" w:fill="0072BC" w:themeFill="accent1"/>
        <w:vAlign w:val="center"/>
      </w:tcPr>
    </w:tblStylePr>
    <w:tblStylePr w:type="firstCol">
      <w:pPr>
        <w:jc w:val="left"/>
      </w:pPr>
      <w:tblPr/>
      <w:tcPr>
        <w:vAlign w:val="center"/>
      </w:tcPr>
    </w:tblStylePr>
  </w:style>
  <w:style w:type="table" w:customStyle="1" w:styleId="ECHRTableFax">
    <w:name w:val="ECHR_Table_Fax"/>
    <w:basedOn w:val="Navadnatabela"/>
    <w:uiPriority w:val="99"/>
    <w:rsid w:val="00893576"/>
    <w:rPr>
      <w:color w:val="000000" w:themeColor="text1"/>
    </w:rPr>
    <w:tblPr>
      <w:tblInd w:w="-680" w:type="dxa"/>
      <w:tblBorders>
        <w:insideH w:val="single" w:sz="4" w:space="0" w:color="C6C6C6" w:themeColor="text2"/>
        <w:insideV w:val="single" w:sz="4" w:space="0" w:color="C6C6C6" w:themeColor="text2"/>
      </w:tblBorders>
      <w:tblCellMar>
        <w:top w:w="142" w:type="dxa"/>
        <w:bottom w:w="142" w:type="dxa"/>
      </w:tblCellMar>
    </w:tblPr>
    <w:trPr>
      <w:cantSplit/>
    </w:trPr>
  </w:style>
  <w:style w:type="table" w:customStyle="1" w:styleId="ECHRTableMemo">
    <w:name w:val="ECHR_Table_Memo"/>
    <w:basedOn w:val="Navadnatabela"/>
    <w:uiPriority w:val="99"/>
    <w:rsid w:val="00210338"/>
    <w:tblPr>
      <w:jc w:val="center"/>
      <w:tblCellMar>
        <w:top w:w="113" w:type="dxa"/>
        <w:left w:w="0" w:type="dxa"/>
        <w:bottom w:w="113" w:type="dxa"/>
        <w:right w:w="0" w:type="dxa"/>
      </w:tblCellMar>
    </w:tblPr>
    <w:trPr>
      <w:jc w:val="center"/>
    </w:trPr>
    <w:tblStylePr w:type="lastRow">
      <w:tblPr/>
      <w:tcPr>
        <w:tcBorders>
          <w:top w:val="nil"/>
          <w:left w:val="nil"/>
          <w:bottom w:val="single" w:sz="4" w:space="0" w:color="949494" w:themeColor="text2" w:themeShade="BF"/>
          <w:right w:val="nil"/>
          <w:insideH w:val="nil"/>
          <w:insideV w:val="nil"/>
          <w:tl2br w:val="nil"/>
          <w:tr2bl w:val="nil"/>
        </w:tcBorders>
      </w:tcPr>
    </w:tblStylePr>
  </w:style>
  <w:style w:type="table" w:customStyle="1" w:styleId="ECHRDNTable">
    <w:name w:val="ECHR_DN_Table"/>
    <w:aliases w:val="DN_Table"/>
    <w:basedOn w:val="Navadnatabela"/>
    <w:uiPriority w:val="99"/>
    <w:rsid w:val="0090506B"/>
    <w:tblPr>
      <w:jc w:val="center"/>
      <w:tblBorders>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blBorders>
      <w:tblCellMar>
        <w:top w:w="57" w:type="dxa"/>
        <w:bottom w:w="57" w:type="dxa"/>
      </w:tblCellMar>
    </w:tblPr>
    <w:trPr>
      <w:jc w:val="center"/>
    </w:trPr>
    <w:tcPr>
      <w:vAlign w:val="center"/>
    </w:tcPr>
    <w:tblStylePr w:type="firstRow">
      <w:pPr>
        <w:wordWrap/>
        <w:spacing w:beforeLines="0"/>
        <w:ind w:leftChars="0" w:left="0"/>
      </w:pPr>
      <w:rPr>
        <w:rFonts w:asciiTheme="majorHAnsi" w:hAnsiTheme="majorHAnsi"/>
        <w:b/>
        <w:i w:val="0"/>
        <w:color w:val="474747" w:themeColor="accent3" w:themeShade="BF"/>
        <w:sz w:val="24"/>
      </w:rPr>
      <w:tblPr/>
      <w:tcPr>
        <w:tcBorders>
          <w:top w:val="single" w:sz="4" w:space="0" w:color="949494" w:themeColor="text2" w:themeShade="BF"/>
          <w:left w:val="single" w:sz="4" w:space="0" w:color="949494" w:themeColor="text2" w:themeShade="BF"/>
          <w:bottom w:val="nil"/>
          <w:right w:val="single" w:sz="4" w:space="0" w:color="949494" w:themeColor="text2" w:themeShade="BF"/>
          <w:insideH w:val="nil"/>
          <w:insideV w:val="nil"/>
          <w:tl2br w:val="nil"/>
          <w:tr2bl w:val="nil"/>
        </w:tcBorders>
        <w:shd w:val="clear" w:color="auto" w:fill="DFDFDF" w:themeFill="background2" w:themeFillShade="E6"/>
      </w:tcPr>
    </w:tblStylePr>
  </w:style>
  <w:style w:type="paragraph" w:styleId="Kazalovirov-naslov">
    <w:name w:val="toa heading"/>
    <w:basedOn w:val="Navaden"/>
    <w:next w:val="Navaden"/>
    <w:uiPriority w:val="99"/>
    <w:semiHidden/>
    <w:rsid w:val="0092038F"/>
    <w:pPr>
      <w:keepNext/>
      <w:keepLines/>
      <w:spacing w:before="240"/>
      <w:contextualSpacing/>
      <w:jc w:val="center"/>
    </w:pPr>
    <w:rPr>
      <w:rFonts w:asciiTheme="majorHAnsi" w:eastAsiaTheme="majorEastAsia" w:hAnsiTheme="majorHAnsi" w:cstheme="majorBidi"/>
      <w:b/>
      <w:bCs/>
      <w:color w:val="474747" w:themeColor="accent3" w:themeShade="BF"/>
      <w:sz w:val="28"/>
      <w:szCs w:val="24"/>
    </w:rPr>
  </w:style>
  <w:style w:type="paragraph" w:customStyle="1" w:styleId="ECHRParaQuote">
    <w:name w:val="ECHR_Para_Quote"/>
    <w:aliases w:val="Ju_Quot"/>
    <w:basedOn w:val="Navaden"/>
    <w:uiPriority w:val="14"/>
    <w:qFormat/>
    <w:rsid w:val="0092038F"/>
    <w:pPr>
      <w:spacing w:before="120" w:after="120"/>
      <w:ind w:left="425" w:firstLine="142"/>
    </w:pPr>
    <w:rPr>
      <w:sz w:val="20"/>
    </w:rPr>
  </w:style>
  <w:style w:type="paragraph" w:customStyle="1" w:styleId="ECHRPara">
    <w:name w:val="ECHR_Para"/>
    <w:aliases w:val="Ju_Para"/>
    <w:basedOn w:val="Navaden"/>
    <w:link w:val="ECHRParaChar"/>
    <w:uiPriority w:val="12"/>
    <w:qFormat/>
    <w:rsid w:val="0092038F"/>
    <w:pPr>
      <w:ind w:firstLine="284"/>
    </w:pPr>
  </w:style>
  <w:style w:type="table" w:customStyle="1" w:styleId="ECHRTableSimpleBox">
    <w:name w:val="ECHR_Table_Simple_Box"/>
    <w:basedOn w:val="Navadnatabela"/>
    <w:uiPriority w:val="99"/>
    <w:rsid w:val="00AE354C"/>
    <w:tblPr>
      <w:tblBorders>
        <w:top w:val="single" w:sz="4" w:space="0" w:color="9F9F9F" w:themeColor="accent3" w:themeTint="99"/>
        <w:left w:val="single" w:sz="4" w:space="0" w:color="9F9F9F" w:themeColor="accent3" w:themeTint="99"/>
        <w:bottom w:val="single" w:sz="4" w:space="0" w:color="9F9F9F" w:themeColor="accent3" w:themeTint="99"/>
        <w:right w:val="single" w:sz="4" w:space="0" w:color="9F9F9F" w:themeColor="accent3" w:themeTint="99"/>
      </w:tblBorders>
      <w:tblCellMar>
        <w:top w:w="113" w:type="dxa"/>
        <w:bottom w:w="113" w:type="dxa"/>
      </w:tblCellMar>
    </w:tblPr>
  </w:style>
  <w:style w:type="table" w:customStyle="1" w:styleId="ECHRTableNoLines">
    <w:name w:val="ECHR_Table_No_Lines"/>
    <w:basedOn w:val="Navadnatabela"/>
    <w:uiPriority w:val="99"/>
    <w:rsid w:val="00F218EF"/>
    <w:tblPr>
      <w:tblCellMar>
        <w:top w:w="85" w:type="dxa"/>
        <w:left w:w="142" w:type="dxa"/>
        <w:bottom w:w="28" w:type="dxa"/>
        <w:right w:w="142" w:type="dxa"/>
      </w:tblCellMar>
    </w:tblPr>
    <w:tblStylePr w:type="firstRow">
      <w:rPr>
        <w:rFonts w:asciiTheme="majorHAnsi" w:hAnsiTheme="majorHAnsi"/>
        <w:b/>
        <w:i w:val="0"/>
        <w:color w:val="474747" w:themeColor="accent3" w:themeShade="BF"/>
        <w:sz w:val="24"/>
      </w:rPr>
      <w:tblPr/>
      <w:tcPr>
        <w:tc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nil"/>
          <w:insideV w:val="nil"/>
          <w:tl2br w:val="nil"/>
          <w:tr2bl w:val="nil"/>
        </w:tcBorders>
        <w:shd w:val="clear" w:color="auto" w:fill="DFDFDF" w:themeFill="background2" w:themeFillShade="E6"/>
      </w:tcPr>
    </w:tblStylePr>
    <w:tblStylePr w:type="firstCol">
      <w:tblPr/>
      <w:tcPr>
        <w:tc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cBorders>
      </w:tcPr>
    </w:tblStylePr>
  </w:style>
  <w:style w:type="table" w:customStyle="1" w:styleId="ECHRTableForInternalUse">
    <w:name w:val="ECHR_Table_For_Internal_Use"/>
    <w:basedOn w:val="Navadnatabela"/>
    <w:uiPriority w:val="99"/>
    <w:rsid w:val="005474E7"/>
    <w:rPr>
      <w:color w:val="636363" w:themeColor="text2" w:themeShade="80"/>
      <w:sz w:val="18"/>
    </w:rPr>
    <w:tblPr>
      <w:tblStyleColBandSize w:val="1"/>
      <w:jc w:val="right"/>
      <w:tblCellMar>
        <w:top w:w="113" w:type="dxa"/>
        <w:bottom w:w="28" w:type="dxa"/>
      </w:tblCellMar>
    </w:tblPr>
    <w:trPr>
      <w:jc w:val="right"/>
    </w:trPr>
    <w:tblStylePr w:type="firstRow">
      <w:rPr>
        <w:b/>
      </w:rPr>
    </w:tblStylePr>
    <w:tblStylePr w:type="lastCol">
      <w:pPr>
        <w:jc w:val="right"/>
      </w:pPr>
      <w:tblPr/>
      <w:tcPr>
        <w:tc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l2br w:val="nil"/>
          <w:tr2bl w:val="nil"/>
        </w:tcBorders>
      </w:tcPr>
    </w:tblStylePr>
    <w:tblStylePr w:type="band1Vert">
      <w:tblPr/>
      <w:tcPr>
        <w:tc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l2br w:val="nil"/>
          <w:tr2bl w:val="nil"/>
        </w:tcBorders>
      </w:tcPr>
    </w:tblStylePr>
  </w:style>
  <w:style w:type="table" w:customStyle="1" w:styleId="ECHRListTable">
    <w:name w:val="ECHR_List_Table"/>
    <w:basedOn w:val="Navadnatabela"/>
    <w:uiPriority w:val="99"/>
    <w:rsid w:val="0092038F"/>
    <w:tblPr>
      <w:tbl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blBorders>
      <w:tblCellMar>
        <w:top w:w="28" w:type="dxa"/>
        <w:bottom w:w="28" w:type="dxa"/>
      </w:tblCellMar>
    </w:tblPr>
    <w:tblStylePr w:type="firstRow">
      <w:rPr>
        <w:b/>
        <w:color w:val="474747" w:themeColor="accent3" w:themeShade="BF"/>
      </w:rPr>
      <w:tblPr/>
      <w:trPr>
        <w:tblHeader/>
      </w:trPr>
      <w:tcPr>
        <w:tc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cBorders>
        <w:shd w:val="clear" w:color="auto" w:fill="DFDFDF" w:themeFill="background2" w:themeFillShade="E6"/>
      </w:tcPr>
    </w:tblStylePr>
  </w:style>
  <w:style w:type="table" w:customStyle="1" w:styleId="ECHRHeaderTable">
    <w:name w:val="ECHR_Header_Table"/>
    <w:basedOn w:val="Navadnatabela"/>
    <w:uiPriority w:val="99"/>
    <w:rsid w:val="00661971"/>
    <w:tblPr>
      <w:tblInd w:w="-680" w:type="dxa"/>
      <w:tblBorders>
        <w:bottom w:val="single" w:sz="6" w:space="0" w:color="949494" w:themeColor="text2" w:themeShade="BF"/>
      </w:tblBorders>
      <w:tblCellMar>
        <w:left w:w="0" w:type="dxa"/>
        <w:bottom w:w="28" w:type="dxa"/>
        <w:right w:w="0" w:type="dxa"/>
      </w:tblCellMar>
    </w:tblPr>
    <w:tcPr>
      <w:vAlign w:val="bottom"/>
    </w:tcPr>
    <w:tblStylePr w:type="lastCol">
      <w:pPr>
        <w:wordWrap/>
        <w:jc w:val="both"/>
      </w:pPr>
    </w:tblStylePr>
  </w:style>
  <w:style w:type="table" w:customStyle="1" w:styleId="ECHRTableOddBanded">
    <w:name w:val="ECHR_Table_Odd_Banded"/>
    <w:basedOn w:val="Navadnatabela"/>
    <w:uiPriority w:val="99"/>
    <w:rsid w:val="00860B03"/>
    <w:tblPr>
      <w:tblStyleRowBandSize w:val="1"/>
      <w:tblStyleColBandSize w:val="1"/>
      <w:tbl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blBorders>
      <w:tblCellMar>
        <w:top w:w="28" w:type="dxa"/>
        <w:bottom w:w="28" w:type="dxa"/>
      </w:tblCellMar>
    </w:tblPr>
    <w:tblStylePr w:type="firstRow">
      <w:rPr>
        <w:rFonts w:asciiTheme="majorHAnsi" w:hAnsiTheme="majorHAnsi"/>
        <w:b/>
        <w:i w:val="0"/>
        <w:color w:val="474747" w:themeColor="accent3" w:themeShade="BF"/>
        <w:sz w:val="22"/>
      </w:rPr>
      <w:tblPr/>
      <w:tcPr>
        <w:tc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nil"/>
          <w:insideV w:val="single" w:sz="4" w:space="0" w:color="949494" w:themeColor="text2" w:themeShade="BF"/>
          <w:tl2br w:val="nil"/>
          <w:tr2bl w:val="nil"/>
        </w:tcBorders>
        <w:shd w:val="clear" w:color="auto" w:fill="DFDFDF" w:themeFill="background2" w:themeFillShade="E6"/>
      </w:tcPr>
    </w:tblStylePr>
    <w:tblStylePr w:type="band1Vert">
      <w:tblPr/>
      <w:tcPr>
        <w:tcBorders>
          <w:top w:val="nil"/>
          <w:left w:val="nil"/>
          <w:bottom w:val="nil"/>
          <w:right w:val="nil"/>
          <w:insideH w:val="nil"/>
          <w:insideV w:val="nil"/>
          <w:tl2br w:val="nil"/>
          <w:tr2bl w:val="nil"/>
        </w:tcBorders>
        <w:shd w:val="clear" w:color="auto" w:fill="DFDFDF" w:themeFill="background2" w:themeFillShade="E6"/>
      </w:tcPr>
    </w:tblStylePr>
    <w:tblStylePr w:type="band1Horz">
      <w:rPr>
        <w:b/>
      </w:rPr>
      <w:tblPr/>
      <w:tcPr>
        <w:shd w:val="clear" w:color="auto" w:fill="DFDFDF" w:themeFill="background2" w:themeFillShade="E6"/>
      </w:tcPr>
    </w:tblStylePr>
  </w:style>
  <w:style w:type="paragraph" w:customStyle="1" w:styleId="ECHRDecisionBody">
    <w:name w:val="ECHR_Decision_Body"/>
    <w:aliases w:val="Ju_Judges"/>
    <w:basedOn w:val="Navaden"/>
    <w:uiPriority w:val="11"/>
    <w:qFormat/>
    <w:rsid w:val="0092038F"/>
    <w:pPr>
      <w:tabs>
        <w:tab w:val="left" w:pos="567"/>
        <w:tab w:val="left" w:pos="1134"/>
      </w:tabs>
      <w:jc w:val="left"/>
    </w:pPr>
  </w:style>
  <w:style w:type="table" w:customStyle="1" w:styleId="ECHRHeaderTableReduced">
    <w:name w:val="ECHR_Header_Table_Reduced"/>
    <w:basedOn w:val="Navadnatabela"/>
    <w:uiPriority w:val="99"/>
    <w:rsid w:val="00B52BE0"/>
    <w:tblPr>
      <w:tblInd w:w="-680" w:type="dxa"/>
      <w:tblCellMar>
        <w:left w:w="0" w:type="dxa"/>
        <w:right w:w="0" w:type="dxa"/>
      </w:tblCellMar>
    </w:tblPr>
    <w:tcPr>
      <w:vAlign w:val="bottom"/>
    </w:tcPr>
    <w:tblStylePr w:type="firstRow">
      <w:tblPr/>
      <w:tcPr>
        <w:tcBorders>
          <w:top w:val="nil"/>
          <w:left w:val="nil"/>
          <w:bottom w:val="single" w:sz="6" w:space="0" w:color="949494" w:themeColor="text2" w:themeShade="BF"/>
          <w:right w:val="nil"/>
          <w:insideH w:val="nil"/>
          <w:insideV w:val="nil"/>
          <w:tl2br w:val="nil"/>
          <w:tr2bl w:val="nil"/>
        </w:tcBorders>
      </w:tcPr>
    </w:tblStylePr>
    <w:tblStylePr w:type="lastRow">
      <w:pPr>
        <w:jc w:val="right"/>
      </w:pPr>
      <w:tblPr/>
      <w:tcPr>
        <w:tcBorders>
          <w:top w:val="single" w:sz="6" w:space="0" w:color="949494" w:themeColor="text2" w:themeShade="BF"/>
          <w:left w:val="nil"/>
          <w:bottom w:val="nil"/>
          <w:right w:val="nil"/>
          <w:insideH w:val="nil"/>
          <w:insideV w:val="nil"/>
          <w:tl2br w:val="nil"/>
          <w:tr2bl w:val="nil"/>
        </w:tcBorders>
      </w:tcPr>
    </w:tblStylePr>
  </w:style>
  <w:style w:type="paragraph" w:customStyle="1" w:styleId="JuList">
    <w:name w:val="Ju_List"/>
    <w:basedOn w:val="Navaden"/>
    <w:uiPriority w:val="28"/>
    <w:qFormat/>
    <w:rsid w:val="0092038F"/>
    <w:pPr>
      <w:ind w:left="340" w:hanging="340"/>
    </w:pPr>
  </w:style>
  <w:style w:type="paragraph" w:customStyle="1" w:styleId="JuSigned">
    <w:name w:val="Ju_Signed"/>
    <w:basedOn w:val="Navaden"/>
    <w:next w:val="JuParaLast"/>
    <w:uiPriority w:val="32"/>
    <w:qFormat/>
    <w:rsid w:val="0092038F"/>
    <w:pPr>
      <w:tabs>
        <w:tab w:val="center" w:pos="851"/>
        <w:tab w:val="center" w:pos="6407"/>
      </w:tabs>
      <w:spacing w:before="720"/>
      <w:jc w:val="left"/>
    </w:pPr>
  </w:style>
  <w:style w:type="paragraph" w:customStyle="1" w:styleId="JuParaLast">
    <w:name w:val="Ju_Para_Last"/>
    <w:basedOn w:val="Navaden"/>
    <w:next w:val="ECHRPara"/>
    <w:uiPriority w:val="30"/>
    <w:qFormat/>
    <w:rsid w:val="0092038F"/>
    <w:pPr>
      <w:keepNext/>
      <w:keepLines/>
      <w:spacing w:before="240"/>
      <w:ind w:firstLine="284"/>
    </w:pPr>
  </w:style>
  <w:style w:type="character" w:customStyle="1" w:styleId="JuITMark">
    <w:name w:val="Ju_ITMark"/>
    <w:basedOn w:val="Privzetapisavaodstavka"/>
    <w:uiPriority w:val="38"/>
    <w:qFormat/>
    <w:rsid w:val="0092038F"/>
    <w:rPr>
      <w:vanish w:val="0"/>
      <w:color w:val="auto"/>
      <w:sz w:val="14"/>
    </w:rPr>
  </w:style>
  <w:style w:type="character" w:styleId="tevilkastrani">
    <w:name w:val="page number"/>
    <w:uiPriority w:val="99"/>
    <w:semiHidden/>
    <w:rsid w:val="00014566"/>
    <w:rPr>
      <w:sz w:val="18"/>
    </w:rPr>
  </w:style>
  <w:style w:type="paragraph" w:customStyle="1" w:styleId="OpiTranslation">
    <w:name w:val="Opi_Translation"/>
    <w:basedOn w:val="Navaden"/>
    <w:next w:val="OpiPara"/>
    <w:uiPriority w:val="40"/>
    <w:qFormat/>
    <w:rsid w:val="0092038F"/>
    <w:pPr>
      <w:jc w:val="center"/>
      <w:outlineLvl w:val="0"/>
    </w:pPr>
    <w:rPr>
      <w:i/>
    </w:rPr>
  </w:style>
  <w:style w:type="paragraph" w:customStyle="1" w:styleId="DecHTitle">
    <w:name w:val="Dec_H_Title"/>
    <w:basedOn w:val="ECHRTitleCentre1"/>
    <w:uiPriority w:val="7"/>
    <w:qFormat/>
    <w:rsid w:val="0092038F"/>
  </w:style>
  <w:style w:type="character" w:styleId="Pripombasklic">
    <w:name w:val="annotation reference"/>
    <w:semiHidden/>
    <w:rsid w:val="00014566"/>
    <w:rPr>
      <w:sz w:val="16"/>
    </w:rPr>
  </w:style>
  <w:style w:type="paragraph" w:styleId="Pripombabesedilo">
    <w:name w:val="annotation text"/>
    <w:basedOn w:val="Navaden"/>
    <w:link w:val="PripombabesediloZnak"/>
    <w:semiHidden/>
    <w:rsid w:val="00014566"/>
    <w:rPr>
      <w:sz w:val="20"/>
    </w:rPr>
  </w:style>
  <w:style w:type="character" w:customStyle="1" w:styleId="PripombabesediloZnak">
    <w:name w:val="Pripomba – besedilo Znak"/>
    <w:basedOn w:val="Privzetapisavaodstavka"/>
    <w:link w:val="Pripombabesedilo"/>
    <w:semiHidden/>
    <w:rsid w:val="00014566"/>
    <w:rPr>
      <w:rFonts w:eastAsiaTheme="minorEastAsia"/>
      <w:sz w:val="20"/>
    </w:rPr>
  </w:style>
  <w:style w:type="paragraph" w:styleId="Zadevapripombe">
    <w:name w:val="annotation subject"/>
    <w:basedOn w:val="Pripombabesedilo"/>
    <w:next w:val="Pripombabesedilo"/>
    <w:link w:val="ZadevapripombeZnak"/>
    <w:uiPriority w:val="99"/>
    <w:semiHidden/>
    <w:rsid w:val="00014566"/>
    <w:rPr>
      <w:b/>
      <w:bCs/>
    </w:rPr>
  </w:style>
  <w:style w:type="character" w:customStyle="1" w:styleId="ZadevapripombeZnak">
    <w:name w:val="Zadeva pripombe Znak"/>
    <w:basedOn w:val="PripombabesediloZnak"/>
    <w:link w:val="Zadevapripombe"/>
    <w:uiPriority w:val="99"/>
    <w:semiHidden/>
    <w:rsid w:val="00014566"/>
    <w:rPr>
      <w:rFonts w:eastAsiaTheme="minorEastAsia"/>
      <w:b/>
      <w:bCs/>
      <w:sz w:val="20"/>
    </w:rPr>
  </w:style>
  <w:style w:type="character" w:styleId="Konnaopomba-sklic">
    <w:name w:val="endnote reference"/>
    <w:semiHidden/>
    <w:rsid w:val="00014566"/>
    <w:rPr>
      <w:vertAlign w:val="superscript"/>
    </w:rPr>
  </w:style>
  <w:style w:type="paragraph" w:styleId="Konnaopomba-besedilo">
    <w:name w:val="endnote text"/>
    <w:basedOn w:val="Navaden"/>
    <w:link w:val="Konnaopomba-besediloZnak"/>
    <w:uiPriority w:val="99"/>
    <w:semiHidden/>
    <w:rsid w:val="00014566"/>
    <w:rPr>
      <w:sz w:val="20"/>
    </w:rPr>
  </w:style>
  <w:style w:type="character" w:customStyle="1" w:styleId="Konnaopomba-besediloZnak">
    <w:name w:val="Končna opomba - besedilo Znak"/>
    <w:basedOn w:val="Privzetapisavaodstavka"/>
    <w:link w:val="Konnaopomba-besedilo"/>
    <w:uiPriority w:val="99"/>
    <w:semiHidden/>
    <w:rsid w:val="00014566"/>
    <w:rPr>
      <w:rFonts w:eastAsiaTheme="minorEastAsia"/>
      <w:sz w:val="20"/>
    </w:rPr>
  </w:style>
  <w:style w:type="character" w:styleId="SledenaHiperpovezava">
    <w:name w:val="FollowedHyperlink"/>
    <w:uiPriority w:val="99"/>
    <w:semiHidden/>
    <w:rsid w:val="00014566"/>
    <w:rPr>
      <w:color w:val="800080"/>
      <w:u w:val="single"/>
    </w:rPr>
  </w:style>
  <w:style w:type="paragraph" w:styleId="Zgradbadokumenta">
    <w:name w:val="Document Map"/>
    <w:basedOn w:val="Navaden"/>
    <w:link w:val="ZgradbadokumentaZnak"/>
    <w:uiPriority w:val="99"/>
    <w:semiHidden/>
    <w:rsid w:val="00014566"/>
    <w:pPr>
      <w:shd w:val="clear" w:color="auto" w:fill="000080"/>
    </w:pPr>
    <w:rPr>
      <w:rFonts w:ascii="Tahoma" w:hAnsi="Tahoma" w:cs="Tahoma"/>
      <w:sz w:val="20"/>
    </w:rPr>
  </w:style>
  <w:style w:type="character" w:customStyle="1" w:styleId="ZgradbadokumentaZnak">
    <w:name w:val="Zgradba dokumenta Znak"/>
    <w:basedOn w:val="Privzetapisavaodstavka"/>
    <w:link w:val="Zgradbadokumenta"/>
    <w:uiPriority w:val="99"/>
    <w:semiHidden/>
    <w:rsid w:val="00014566"/>
    <w:rPr>
      <w:rFonts w:ascii="Tahoma" w:eastAsiaTheme="minorEastAsia" w:hAnsi="Tahoma" w:cs="Tahoma"/>
      <w:sz w:val="20"/>
      <w:shd w:val="clear" w:color="auto" w:fill="000080"/>
    </w:rPr>
  </w:style>
  <w:style w:type="paragraph" w:customStyle="1" w:styleId="JuCourt">
    <w:name w:val="Ju_Court"/>
    <w:basedOn w:val="Navaden"/>
    <w:next w:val="Navaden"/>
    <w:uiPriority w:val="16"/>
    <w:qFormat/>
    <w:rsid w:val="0092038F"/>
    <w:pPr>
      <w:tabs>
        <w:tab w:val="left" w:pos="907"/>
        <w:tab w:val="left" w:pos="1701"/>
        <w:tab w:val="right" w:pos="7371"/>
      </w:tabs>
      <w:spacing w:before="240"/>
      <w:ind w:left="397" w:hanging="397"/>
      <w:jc w:val="left"/>
    </w:pPr>
    <w:rPr>
      <w:lang w:bidi="en-US"/>
    </w:rPr>
  </w:style>
  <w:style w:type="paragraph" w:styleId="Oznaenseznam">
    <w:name w:val="List Bullet"/>
    <w:basedOn w:val="Navaden"/>
    <w:uiPriority w:val="99"/>
    <w:semiHidden/>
    <w:rsid w:val="00014566"/>
    <w:pPr>
      <w:numPr>
        <w:numId w:val="1"/>
      </w:numPr>
    </w:pPr>
  </w:style>
  <w:style w:type="paragraph" w:customStyle="1" w:styleId="DecList">
    <w:name w:val="Dec_List"/>
    <w:basedOn w:val="Navaden"/>
    <w:uiPriority w:val="9"/>
    <w:qFormat/>
    <w:rsid w:val="0092038F"/>
    <w:pPr>
      <w:spacing w:before="240"/>
      <w:ind w:left="284"/>
    </w:pPr>
  </w:style>
  <w:style w:type="paragraph" w:styleId="Podnaslov">
    <w:name w:val="Subtitle"/>
    <w:basedOn w:val="Navaden"/>
    <w:next w:val="Navaden"/>
    <w:link w:val="PodnaslovZnak"/>
    <w:uiPriority w:val="99"/>
    <w:semiHidden/>
    <w:qFormat/>
    <w:rsid w:val="0092038F"/>
    <w:pPr>
      <w:spacing w:after="600"/>
    </w:pPr>
    <w:rPr>
      <w:rFonts w:asciiTheme="majorHAnsi" w:eastAsiaTheme="majorEastAsia" w:hAnsiTheme="majorHAnsi" w:cstheme="majorBidi"/>
      <w:i/>
      <w:iCs/>
      <w:spacing w:val="13"/>
      <w:szCs w:val="24"/>
      <w:lang w:bidi="en-US"/>
    </w:rPr>
  </w:style>
  <w:style w:type="character" w:customStyle="1" w:styleId="PodnaslovZnak">
    <w:name w:val="Podnaslov Znak"/>
    <w:basedOn w:val="Privzetapisavaodstavka"/>
    <w:link w:val="Podnaslov"/>
    <w:uiPriority w:val="99"/>
    <w:semiHidden/>
    <w:rsid w:val="0092038F"/>
    <w:rPr>
      <w:rFonts w:asciiTheme="majorHAnsi" w:eastAsiaTheme="majorEastAsia" w:hAnsiTheme="majorHAnsi" w:cstheme="majorBidi"/>
      <w:i/>
      <w:iCs/>
      <w:spacing w:val="13"/>
      <w:sz w:val="24"/>
      <w:szCs w:val="24"/>
      <w:lang w:bidi="en-US"/>
    </w:rPr>
  </w:style>
  <w:style w:type="numbering" w:styleId="111111">
    <w:name w:val="Outline List 2"/>
    <w:basedOn w:val="Brezseznama"/>
    <w:uiPriority w:val="99"/>
    <w:semiHidden/>
    <w:rsid w:val="00014566"/>
    <w:pPr>
      <w:numPr>
        <w:numId w:val="2"/>
      </w:numPr>
    </w:pPr>
  </w:style>
  <w:style w:type="numbering" w:styleId="1ai">
    <w:name w:val="Outline List 1"/>
    <w:basedOn w:val="Brezseznama"/>
    <w:uiPriority w:val="99"/>
    <w:semiHidden/>
    <w:rsid w:val="00014566"/>
    <w:pPr>
      <w:numPr>
        <w:numId w:val="3"/>
      </w:numPr>
    </w:pPr>
  </w:style>
  <w:style w:type="numbering" w:styleId="lenOdsek">
    <w:name w:val="Outline List 3"/>
    <w:basedOn w:val="Brezseznama"/>
    <w:uiPriority w:val="99"/>
    <w:semiHidden/>
    <w:rsid w:val="00014566"/>
    <w:pPr>
      <w:numPr>
        <w:numId w:val="4"/>
      </w:numPr>
    </w:pPr>
  </w:style>
  <w:style w:type="paragraph" w:styleId="Bibliografija">
    <w:name w:val="Bibliography"/>
    <w:basedOn w:val="Navaden"/>
    <w:next w:val="Navaden"/>
    <w:uiPriority w:val="99"/>
    <w:semiHidden/>
    <w:unhideWhenUsed/>
    <w:rsid w:val="00014566"/>
  </w:style>
  <w:style w:type="paragraph" w:styleId="Blokbesedila">
    <w:name w:val="Block Text"/>
    <w:basedOn w:val="Navaden"/>
    <w:uiPriority w:val="99"/>
    <w:semiHidden/>
    <w:rsid w:val="00014566"/>
    <w:pPr>
      <w:pBdr>
        <w:top w:val="single" w:sz="2" w:space="10" w:color="0072BC" w:themeColor="accent1" w:shadow="1" w:frame="1"/>
        <w:left w:val="single" w:sz="2" w:space="10" w:color="0072BC" w:themeColor="accent1" w:shadow="1" w:frame="1"/>
        <w:bottom w:val="single" w:sz="2" w:space="10" w:color="0072BC" w:themeColor="accent1" w:shadow="1" w:frame="1"/>
        <w:right w:val="single" w:sz="2" w:space="10" w:color="0072BC" w:themeColor="accent1" w:shadow="1" w:frame="1"/>
      </w:pBdr>
      <w:ind w:left="1152" w:right="1152"/>
    </w:pPr>
    <w:rPr>
      <w:i/>
      <w:iCs/>
      <w:color w:val="0072BC" w:themeColor="accent1"/>
    </w:rPr>
  </w:style>
  <w:style w:type="paragraph" w:styleId="Telobesedila">
    <w:name w:val="Body Text"/>
    <w:basedOn w:val="Navaden"/>
    <w:link w:val="TelobesedilaZnak"/>
    <w:uiPriority w:val="99"/>
    <w:semiHidden/>
    <w:rsid w:val="00014566"/>
    <w:pPr>
      <w:spacing w:after="120"/>
    </w:pPr>
  </w:style>
  <w:style w:type="character" w:customStyle="1" w:styleId="TelobesedilaZnak">
    <w:name w:val="Telo besedila Znak"/>
    <w:basedOn w:val="Privzetapisavaodstavka"/>
    <w:link w:val="Telobesedila"/>
    <w:uiPriority w:val="99"/>
    <w:semiHidden/>
    <w:rsid w:val="00014566"/>
    <w:rPr>
      <w:rFonts w:eastAsiaTheme="minorEastAsia"/>
      <w:sz w:val="24"/>
    </w:rPr>
  </w:style>
  <w:style w:type="paragraph" w:styleId="Telobesedila2">
    <w:name w:val="Body Text 2"/>
    <w:basedOn w:val="Navaden"/>
    <w:link w:val="Telobesedila2Znak"/>
    <w:uiPriority w:val="99"/>
    <w:semiHidden/>
    <w:rsid w:val="00014566"/>
    <w:pPr>
      <w:spacing w:after="120" w:line="480" w:lineRule="auto"/>
    </w:pPr>
  </w:style>
  <w:style w:type="character" w:customStyle="1" w:styleId="Telobesedila2Znak">
    <w:name w:val="Telo besedila 2 Znak"/>
    <w:basedOn w:val="Privzetapisavaodstavka"/>
    <w:link w:val="Telobesedila2"/>
    <w:uiPriority w:val="99"/>
    <w:semiHidden/>
    <w:rsid w:val="00014566"/>
    <w:rPr>
      <w:rFonts w:eastAsiaTheme="minorEastAsia"/>
      <w:sz w:val="24"/>
    </w:rPr>
  </w:style>
  <w:style w:type="paragraph" w:styleId="Telobesedila3">
    <w:name w:val="Body Text 3"/>
    <w:basedOn w:val="Navaden"/>
    <w:link w:val="Telobesedila3Znak"/>
    <w:uiPriority w:val="99"/>
    <w:semiHidden/>
    <w:rsid w:val="00014566"/>
    <w:pPr>
      <w:spacing w:after="120"/>
    </w:pPr>
    <w:rPr>
      <w:sz w:val="16"/>
      <w:szCs w:val="16"/>
    </w:rPr>
  </w:style>
  <w:style w:type="character" w:customStyle="1" w:styleId="Telobesedila3Znak">
    <w:name w:val="Telo besedila 3 Znak"/>
    <w:basedOn w:val="Privzetapisavaodstavka"/>
    <w:link w:val="Telobesedila3"/>
    <w:uiPriority w:val="99"/>
    <w:semiHidden/>
    <w:rsid w:val="00014566"/>
    <w:rPr>
      <w:rFonts w:eastAsiaTheme="minorEastAsia"/>
      <w:sz w:val="16"/>
      <w:szCs w:val="16"/>
    </w:rPr>
  </w:style>
  <w:style w:type="paragraph" w:styleId="Telobesedila-prvizamik">
    <w:name w:val="Body Text First Indent"/>
    <w:basedOn w:val="Telobesedila"/>
    <w:link w:val="Telobesedila-prvizamikZnak"/>
    <w:uiPriority w:val="99"/>
    <w:semiHidden/>
    <w:rsid w:val="00014566"/>
    <w:pPr>
      <w:spacing w:after="0"/>
      <w:ind w:firstLine="360"/>
    </w:pPr>
  </w:style>
  <w:style w:type="character" w:customStyle="1" w:styleId="Telobesedila-prvizamikZnak">
    <w:name w:val="Telo besedila - prvi zamik Znak"/>
    <w:basedOn w:val="TelobesedilaZnak"/>
    <w:link w:val="Telobesedila-prvizamik"/>
    <w:uiPriority w:val="99"/>
    <w:semiHidden/>
    <w:rsid w:val="00014566"/>
    <w:rPr>
      <w:rFonts w:eastAsiaTheme="minorEastAsia"/>
      <w:sz w:val="24"/>
    </w:rPr>
  </w:style>
  <w:style w:type="paragraph" w:styleId="Telobesedila-zamik">
    <w:name w:val="Body Text Indent"/>
    <w:basedOn w:val="Navaden"/>
    <w:link w:val="Telobesedila-zamikZnak"/>
    <w:uiPriority w:val="99"/>
    <w:semiHidden/>
    <w:rsid w:val="00014566"/>
    <w:pPr>
      <w:spacing w:after="120"/>
      <w:ind w:left="283"/>
    </w:pPr>
  </w:style>
  <w:style w:type="character" w:customStyle="1" w:styleId="Telobesedila-zamikZnak">
    <w:name w:val="Telo besedila - zamik Znak"/>
    <w:basedOn w:val="Privzetapisavaodstavka"/>
    <w:link w:val="Telobesedila-zamik"/>
    <w:uiPriority w:val="99"/>
    <w:semiHidden/>
    <w:rsid w:val="00014566"/>
    <w:rPr>
      <w:rFonts w:eastAsiaTheme="minorEastAsia"/>
      <w:sz w:val="24"/>
    </w:rPr>
  </w:style>
  <w:style w:type="paragraph" w:styleId="Telobesedila-prvizamik2">
    <w:name w:val="Body Text First Indent 2"/>
    <w:basedOn w:val="Telobesedila-zamik"/>
    <w:link w:val="Telobesedila-prvizamik2Znak"/>
    <w:uiPriority w:val="99"/>
    <w:semiHidden/>
    <w:rsid w:val="00014566"/>
    <w:pPr>
      <w:spacing w:after="0"/>
      <w:ind w:left="360" w:firstLine="360"/>
    </w:pPr>
  </w:style>
  <w:style w:type="character" w:customStyle="1" w:styleId="Telobesedila-prvizamik2Znak">
    <w:name w:val="Telo besedila - prvi zamik 2 Znak"/>
    <w:basedOn w:val="Telobesedila-zamikZnak"/>
    <w:link w:val="Telobesedila-prvizamik2"/>
    <w:uiPriority w:val="99"/>
    <w:semiHidden/>
    <w:rsid w:val="00014566"/>
    <w:rPr>
      <w:rFonts w:eastAsiaTheme="minorEastAsia"/>
      <w:sz w:val="24"/>
    </w:rPr>
  </w:style>
  <w:style w:type="paragraph" w:styleId="Telobesedila-zamik2">
    <w:name w:val="Body Text Indent 2"/>
    <w:basedOn w:val="Navaden"/>
    <w:link w:val="Telobesedila-zamik2Znak"/>
    <w:uiPriority w:val="99"/>
    <w:semiHidden/>
    <w:rsid w:val="00014566"/>
    <w:pPr>
      <w:spacing w:after="120" w:line="480" w:lineRule="auto"/>
      <w:ind w:left="283"/>
    </w:pPr>
  </w:style>
  <w:style w:type="character" w:customStyle="1" w:styleId="Telobesedila-zamik2Znak">
    <w:name w:val="Telo besedila - zamik 2 Znak"/>
    <w:basedOn w:val="Privzetapisavaodstavka"/>
    <w:link w:val="Telobesedila-zamik2"/>
    <w:uiPriority w:val="99"/>
    <w:semiHidden/>
    <w:rsid w:val="00014566"/>
    <w:rPr>
      <w:rFonts w:eastAsiaTheme="minorEastAsia"/>
      <w:sz w:val="24"/>
    </w:rPr>
  </w:style>
  <w:style w:type="paragraph" w:styleId="Telobesedila-zamik3">
    <w:name w:val="Body Text Indent 3"/>
    <w:basedOn w:val="Navaden"/>
    <w:link w:val="Telobesedila-zamik3Znak"/>
    <w:uiPriority w:val="99"/>
    <w:semiHidden/>
    <w:rsid w:val="00014566"/>
    <w:pPr>
      <w:spacing w:after="120"/>
      <w:ind w:left="283"/>
    </w:pPr>
    <w:rPr>
      <w:sz w:val="16"/>
      <w:szCs w:val="16"/>
    </w:rPr>
  </w:style>
  <w:style w:type="character" w:customStyle="1" w:styleId="Telobesedila-zamik3Znak">
    <w:name w:val="Telo besedila - zamik 3 Znak"/>
    <w:basedOn w:val="Privzetapisavaodstavka"/>
    <w:link w:val="Telobesedila-zamik3"/>
    <w:uiPriority w:val="99"/>
    <w:semiHidden/>
    <w:rsid w:val="00014566"/>
    <w:rPr>
      <w:rFonts w:eastAsiaTheme="minorEastAsia"/>
      <w:sz w:val="16"/>
      <w:szCs w:val="16"/>
    </w:rPr>
  </w:style>
  <w:style w:type="paragraph" w:styleId="Napis">
    <w:name w:val="caption"/>
    <w:basedOn w:val="Navaden"/>
    <w:next w:val="Navaden"/>
    <w:uiPriority w:val="99"/>
    <w:semiHidden/>
    <w:qFormat/>
    <w:rsid w:val="00014566"/>
    <w:pPr>
      <w:spacing w:after="200"/>
    </w:pPr>
    <w:rPr>
      <w:b/>
      <w:bCs/>
      <w:color w:val="0072BC" w:themeColor="accent1"/>
      <w:sz w:val="18"/>
      <w:szCs w:val="18"/>
    </w:rPr>
  </w:style>
  <w:style w:type="paragraph" w:styleId="Zakljunipozdrav">
    <w:name w:val="Closing"/>
    <w:basedOn w:val="Navaden"/>
    <w:link w:val="ZakljunipozdravZnak"/>
    <w:uiPriority w:val="99"/>
    <w:semiHidden/>
    <w:rsid w:val="00014566"/>
    <w:pPr>
      <w:ind w:left="4252"/>
    </w:pPr>
  </w:style>
  <w:style w:type="character" w:customStyle="1" w:styleId="ZakljunipozdravZnak">
    <w:name w:val="Zaključni pozdrav Znak"/>
    <w:basedOn w:val="Privzetapisavaodstavka"/>
    <w:link w:val="Zakljunipozdrav"/>
    <w:uiPriority w:val="99"/>
    <w:semiHidden/>
    <w:rsid w:val="00014566"/>
    <w:rPr>
      <w:rFonts w:eastAsiaTheme="minorEastAsia"/>
      <w:sz w:val="24"/>
    </w:rPr>
  </w:style>
  <w:style w:type="table" w:styleId="Barvnamrea">
    <w:name w:val="Colorful Grid"/>
    <w:basedOn w:val="Navadnatabela"/>
    <w:uiPriority w:val="99"/>
    <w:semiHidden/>
    <w:rsid w:val="00014566"/>
    <w:rPr>
      <w:color w:val="000000" w:themeColor="text1"/>
      <w:lang w:val="fr-FR" w:eastAsia="fr-FR"/>
    </w:rPr>
    <w:tblPr>
      <w:tblStyleRowBandSize w:val="1"/>
      <w:tblStyleColBandSize w:val="1"/>
      <w:tblBorders>
        <w:insideH w:val="single" w:sz="4" w:space="0" w:color="0072BC"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0072BC" w:themeColor="background1"/>
      </w:rPr>
      <w:tblPr/>
      <w:tcPr>
        <w:shd w:val="clear" w:color="auto" w:fill="000000" w:themeFill="text1" w:themeFillShade="BF"/>
      </w:tcPr>
    </w:tblStylePr>
    <w:tblStylePr w:type="lastCol">
      <w:rPr>
        <w:color w:val="0072BC"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Barvnamreapoudarek1">
    <w:name w:val="Colorful Grid Accent 1"/>
    <w:basedOn w:val="Navadnatabela"/>
    <w:uiPriority w:val="99"/>
    <w:semiHidden/>
    <w:rsid w:val="00014566"/>
    <w:rPr>
      <w:color w:val="000000" w:themeColor="text1"/>
      <w:lang w:val="fr-FR" w:eastAsia="fr-FR"/>
    </w:rPr>
    <w:tblPr>
      <w:tblStyleRowBandSize w:val="1"/>
      <w:tblStyleColBandSize w:val="1"/>
      <w:tblBorders>
        <w:insideH w:val="single" w:sz="4" w:space="0" w:color="0072BC" w:themeColor="background1"/>
      </w:tblBorders>
    </w:tblPr>
    <w:tcPr>
      <w:shd w:val="clear" w:color="auto" w:fill="BEE5FF" w:themeFill="accent1" w:themeFillTint="33"/>
    </w:tcPr>
    <w:tblStylePr w:type="firstRow">
      <w:rPr>
        <w:b/>
        <w:bCs/>
      </w:rPr>
      <w:tblPr/>
      <w:tcPr>
        <w:shd w:val="clear" w:color="auto" w:fill="7ECBFF" w:themeFill="accent1" w:themeFillTint="66"/>
      </w:tcPr>
    </w:tblStylePr>
    <w:tblStylePr w:type="lastRow">
      <w:rPr>
        <w:b/>
        <w:bCs/>
        <w:color w:val="000000" w:themeColor="text1"/>
      </w:rPr>
      <w:tblPr/>
      <w:tcPr>
        <w:shd w:val="clear" w:color="auto" w:fill="7ECBFF" w:themeFill="accent1" w:themeFillTint="66"/>
      </w:tcPr>
    </w:tblStylePr>
    <w:tblStylePr w:type="firstCol">
      <w:rPr>
        <w:color w:val="0072BC" w:themeColor="background1"/>
      </w:rPr>
      <w:tblPr/>
      <w:tcPr>
        <w:shd w:val="clear" w:color="auto" w:fill="00548C" w:themeFill="accent1" w:themeFillShade="BF"/>
      </w:tcPr>
    </w:tblStylePr>
    <w:tblStylePr w:type="lastCol">
      <w:rPr>
        <w:color w:val="0072BC" w:themeColor="background1"/>
      </w:rPr>
      <w:tblPr/>
      <w:tcPr>
        <w:shd w:val="clear" w:color="auto" w:fill="00548C" w:themeFill="accent1" w:themeFillShade="BF"/>
      </w:tcPr>
    </w:tblStylePr>
    <w:tblStylePr w:type="band1Vert">
      <w:tblPr/>
      <w:tcPr>
        <w:shd w:val="clear" w:color="auto" w:fill="5EBFFF" w:themeFill="accent1" w:themeFillTint="7F"/>
      </w:tcPr>
    </w:tblStylePr>
    <w:tblStylePr w:type="band1Horz">
      <w:tblPr/>
      <w:tcPr>
        <w:shd w:val="clear" w:color="auto" w:fill="5EBFFF" w:themeFill="accent1" w:themeFillTint="7F"/>
      </w:tcPr>
    </w:tblStylePr>
  </w:style>
  <w:style w:type="table" w:styleId="Barvnamreapoudarek2">
    <w:name w:val="Colorful Grid Accent 2"/>
    <w:basedOn w:val="Navadnatabela"/>
    <w:uiPriority w:val="99"/>
    <w:semiHidden/>
    <w:rsid w:val="00014566"/>
    <w:rPr>
      <w:color w:val="000000" w:themeColor="text1"/>
      <w:lang w:val="fr-FR" w:eastAsia="fr-FR"/>
    </w:rPr>
    <w:tblPr>
      <w:tblStyleRowBandSize w:val="1"/>
      <w:tblStyleColBandSize w:val="1"/>
      <w:tblBorders>
        <w:insideH w:val="single" w:sz="4" w:space="0" w:color="0072BC" w:themeColor="background1"/>
      </w:tblBorders>
    </w:tblPr>
    <w:tcPr>
      <w:shd w:val="clear" w:color="auto" w:fill="FFBFBF" w:themeFill="accent2" w:themeFillTint="33"/>
    </w:tcPr>
    <w:tblStylePr w:type="firstRow">
      <w:rPr>
        <w:b/>
        <w:bCs/>
      </w:rPr>
      <w:tblPr/>
      <w:tcPr>
        <w:shd w:val="clear" w:color="auto" w:fill="FF7F7F" w:themeFill="accent2" w:themeFillTint="66"/>
      </w:tcPr>
    </w:tblStylePr>
    <w:tblStylePr w:type="lastRow">
      <w:rPr>
        <w:b/>
        <w:bCs/>
        <w:color w:val="000000" w:themeColor="text1"/>
      </w:rPr>
      <w:tblPr/>
      <w:tcPr>
        <w:shd w:val="clear" w:color="auto" w:fill="FF7F7F" w:themeFill="accent2" w:themeFillTint="66"/>
      </w:tcPr>
    </w:tblStylePr>
    <w:tblStylePr w:type="firstCol">
      <w:rPr>
        <w:color w:val="0072BC" w:themeColor="background1"/>
      </w:rPr>
      <w:tblPr/>
      <w:tcPr>
        <w:shd w:val="clear" w:color="auto" w:fill="8F0000" w:themeFill="accent2" w:themeFillShade="BF"/>
      </w:tcPr>
    </w:tblStylePr>
    <w:tblStylePr w:type="lastCol">
      <w:rPr>
        <w:color w:val="0072BC" w:themeColor="background1"/>
      </w:rPr>
      <w:tblPr/>
      <w:tcPr>
        <w:shd w:val="clear" w:color="auto" w:fill="8F0000" w:themeFill="accent2" w:themeFillShade="BF"/>
      </w:tcPr>
    </w:tblStylePr>
    <w:tblStylePr w:type="band1Vert">
      <w:tblPr/>
      <w:tcPr>
        <w:shd w:val="clear" w:color="auto" w:fill="FF6060" w:themeFill="accent2" w:themeFillTint="7F"/>
      </w:tcPr>
    </w:tblStylePr>
    <w:tblStylePr w:type="band1Horz">
      <w:tblPr/>
      <w:tcPr>
        <w:shd w:val="clear" w:color="auto" w:fill="FF6060" w:themeFill="accent2" w:themeFillTint="7F"/>
      </w:tcPr>
    </w:tblStylePr>
  </w:style>
  <w:style w:type="table" w:styleId="Barvnamreapoudarek3">
    <w:name w:val="Colorful Grid Accent 3"/>
    <w:basedOn w:val="Navadnatabela"/>
    <w:uiPriority w:val="99"/>
    <w:semiHidden/>
    <w:rsid w:val="00014566"/>
    <w:rPr>
      <w:color w:val="000000" w:themeColor="text1"/>
      <w:lang w:val="fr-FR" w:eastAsia="fr-FR"/>
    </w:rPr>
    <w:tblPr>
      <w:tblStyleRowBandSize w:val="1"/>
      <w:tblStyleColBandSize w:val="1"/>
      <w:tblBorders>
        <w:insideH w:val="single" w:sz="4" w:space="0" w:color="0072BC" w:themeColor="background1"/>
      </w:tblBorders>
    </w:tblPr>
    <w:tcPr>
      <w:shd w:val="clear" w:color="auto" w:fill="DFDFDF" w:themeFill="accent3" w:themeFillTint="33"/>
    </w:tcPr>
    <w:tblStylePr w:type="firstRow">
      <w:rPr>
        <w:b/>
        <w:bCs/>
      </w:rPr>
      <w:tblPr/>
      <w:tcPr>
        <w:shd w:val="clear" w:color="auto" w:fill="BFBFBF" w:themeFill="accent3" w:themeFillTint="66"/>
      </w:tcPr>
    </w:tblStylePr>
    <w:tblStylePr w:type="lastRow">
      <w:rPr>
        <w:b/>
        <w:bCs/>
        <w:color w:val="000000" w:themeColor="text1"/>
      </w:rPr>
      <w:tblPr/>
      <w:tcPr>
        <w:shd w:val="clear" w:color="auto" w:fill="BFBFBF" w:themeFill="accent3" w:themeFillTint="66"/>
      </w:tcPr>
    </w:tblStylePr>
    <w:tblStylePr w:type="firstCol">
      <w:rPr>
        <w:color w:val="0072BC" w:themeColor="background1"/>
      </w:rPr>
      <w:tblPr/>
      <w:tcPr>
        <w:shd w:val="clear" w:color="auto" w:fill="474747" w:themeFill="accent3" w:themeFillShade="BF"/>
      </w:tcPr>
    </w:tblStylePr>
    <w:tblStylePr w:type="lastCol">
      <w:rPr>
        <w:color w:val="0072BC" w:themeColor="background1"/>
      </w:rPr>
      <w:tblPr/>
      <w:tcPr>
        <w:shd w:val="clear" w:color="auto" w:fill="474747" w:themeFill="accent3" w:themeFillShade="BF"/>
      </w:tcPr>
    </w:tblStylePr>
    <w:tblStylePr w:type="band1Vert">
      <w:tblPr/>
      <w:tcPr>
        <w:shd w:val="clear" w:color="auto" w:fill="AFAFAF" w:themeFill="accent3" w:themeFillTint="7F"/>
      </w:tcPr>
    </w:tblStylePr>
    <w:tblStylePr w:type="band1Horz">
      <w:tblPr/>
      <w:tcPr>
        <w:shd w:val="clear" w:color="auto" w:fill="AFAFAF" w:themeFill="accent3" w:themeFillTint="7F"/>
      </w:tcPr>
    </w:tblStylePr>
  </w:style>
  <w:style w:type="table" w:styleId="Barvnamreapoudarek4">
    <w:name w:val="Colorful Grid Accent 4"/>
    <w:basedOn w:val="Navadnatabela"/>
    <w:uiPriority w:val="99"/>
    <w:semiHidden/>
    <w:rsid w:val="00014566"/>
    <w:rPr>
      <w:color w:val="000000" w:themeColor="text1"/>
      <w:lang w:val="fr-FR" w:eastAsia="fr-FR"/>
    </w:rPr>
    <w:tblPr>
      <w:tblStyleRowBandSize w:val="1"/>
      <w:tblStyleColBandSize w:val="1"/>
      <w:tblBorders>
        <w:insideH w:val="single" w:sz="4" w:space="0" w:color="0072BC" w:themeColor="background1"/>
      </w:tblBorders>
    </w:tblPr>
    <w:tcPr>
      <w:shd w:val="clear" w:color="auto" w:fill="EAEAEA" w:themeFill="accent4" w:themeFillTint="33"/>
    </w:tcPr>
    <w:tblStylePr w:type="firstRow">
      <w:rPr>
        <w:b/>
        <w:bCs/>
      </w:rPr>
      <w:tblPr/>
      <w:tcPr>
        <w:shd w:val="clear" w:color="auto" w:fill="D5D5D5" w:themeFill="accent4" w:themeFillTint="66"/>
      </w:tcPr>
    </w:tblStylePr>
    <w:tblStylePr w:type="lastRow">
      <w:rPr>
        <w:b/>
        <w:bCs/>
        <w:color w:val="000000" w:themeColor="text1"/>
      </w:rPr>
      <w:tblPr/>
      <w:tcPr>
        <w:shd w:val="clear" w:color="auto" w:fill="D5D5D5" w:themeFill="accent4" w:themeFillTint="66"/>
      </w:tcPr>
    </w:tblStylePr>
    <w:tblStylePr w:type="firstCol">
      <w:rPr>
        <w:color w:val="0072BC" w:themeColor="background1"/>
      </w:rPr>
      <w:tblPr/>
      <w:tcPr>
        <w:shd w:val="clear" w:color="auto" w:fill="707070" w:themeFill="accent4" w:themeFillShade="BF"/>
      </w:tcPr>
    </w:tblStylePr>
    <w:tblStylePr w:type="lastCol">
      <w:rPr>
        <w:color w:val="0072BC" w:themeColor="background1"/>
      </w:rPr>
      <w:tblPr/>
      <w:tcPr>
        <w:shd w:val="clear" w:color="auto" w:fill="707070" w:themeFill="accent4" w:themeFillShade="BF"/>
      </w:tcPr>
    </w:tblStylePr>
    <w:tblStylePr w:type="band1Vert">
      <w:tblPr/>
      <w:tcPr>
        <w:shd w:val="clear" w:color="auto" w:fill="CACACA" w:themeFill="accent4" w:themeFillTint="7F"/>
      </w:tcPr>
    </w:tblStylePr>
    <w:tblStylePr w:type="band1Horz">
      <w:tblPr/>
      <w:tcPr>
        <w:shd w:val="clear" w:color="auto" w:fill="CACACA" w:themeFill="accent4" w:themeFillTint="7F"/>
      </w:tcPr>
    </w:tblStylePr>
  </w:style>
  <w:style w:type="table" w:styleId="Barvnamreapoudarek5">
    <w:name w:val="Colorful Grid Accent 5"/>
    <w:basedOn w:val="Navadnatabela"/>
    <w:uiPriority w:val="99"/>
    <w:semiHidden/>
    <w:rsid w:val="00014566"/>
    <w:rPr>
      <w:color w:val="000000" w:themeColor="text1"/>
      <w:lang w:val="fr-FR" w:eastAsia="fr-FR"/>
    </w:rPr>
    <w:tblPr>
      <w:tblStyleRowBandSize w:val="1"/>
      <w:tblStyleColBandSize w:val="1"/>
      <w:tblBorders>
        <w:insideH w:val="single" w:sz="4" w:space="0" w:color="0072BC" w:themeColor="background1"/>
      </w:tblBorders>
    </w:tblPr>
    <w:tcPr>
      <w:shd w:val="clear" w:color="auto" w:fill="DFDFDF" w:themeFill="accent5" w:themeFillTint="33"/>
    </w:tcPr>
    <w:tblStylePr w:type="firstRow">
      <w:rPr>
        <w:b/>
        <w:bCs/>
      </w:rPr>
      <w:tblPr/>
      <w:tcPr>
        <w:shd w:val="clear" w:color="auto" w:fill="BFBFBF" w:themeFill="accent5" w:themeFillTint="66"/>
      </w:tcPr>
    </w:tblStylePr>
    <w:tblStylePr w:type="lastRow">
      <w:rPr>
        <w:b/>
        <w:bCs/>
        <w:color w:val="000000" w:themeColor="text1"/>
      </w:rPr>
      <w:tblPr/>
      <w:tcPr>
        <w:shd w:val="clear" w:color="auto" w:fill="BFBFBF" w:themeFill="accent5" w:themeFillTint="66"/>
      </w:tcPr>
    </w:tblStylePr>
    <w:tblStylePr w:type="firstCol">
      <w:rPr>
        <w:color w:val="0072BC" w:themeColor="background1"/>
      </w:rPr>
      <w:tblPr/>
      <w:tcPr>
        <w:shd w:val="clear" w:color="auto" w:fill="474747" w:themeFill="accent5" w:themeFillShade="BF"/>
      </w:tcPr>
    </w:tblStylePr>
    <w:tblStylePr w:type="lastCol">
      <w:rPr>
        <w:color w:val="0072BC" w:themeColor="background1"/>
      </w:rPr>
      <w:tblPr/>
      <w:tcPr>
        <w:shd w:val="clear" w:color="auto" w:fill="474747" w:themeFill="accent5" w:themeFillShade="BF"/>
      </w:tcPr>
    </w:tblStylePr>
    <w:tblStylePr w:type="band1Vert">
      <w:tblPr/>
      <w:tcPr>
        <w:shd w:val="clear" w:color="auto" w:fill="AFAFAF" w:themeFill="accent5" w:themeFillTint="7F"/>
      </w:tcPr>
    </w:tblStylePr>
    <w:tblStylePr w:type="band1Horz">
      <w:tblPr/>
      <w:tcPr>
        <w:shd w:val="clear" w:color="auto" w:fill="AFAFAF" w:themeFill="accent5" w:themeFillTint="7F"/>
      </w:tcPr>
    </w:tblStylePr>
  </w:style>
  <w:style w:type="table" w:styleId="Barvnamreapoudarek6">
    <w:name w:val="Colorful Grid Accent 6"/>
    <w:basedOn w:val="Navadnatabela"/>
    <w:uiPriority w:val="99"/>
    <w:semiHidden/>
    <w:rsid w:val="00014566"/>
    <w:rPr>
      <w:color w:val="000000" w:themeColor="text1"/>
      <w:lang w:val="fr-FR" w:eastAsia="fr-FR"/>
    </w:rPr>
    <w:tblPr>
      <w:tblStyleRowBandSize w:val="1"/>
      <w:tblStyleColBandSize w:val="1"/>
      <w:tblBorders>
        <w:insideH w:val="single" w:sz="4" w:space="0" w:color="0072BC" w:themeColor="background1"/>
      </w:tblBorders>
    </w:tblPr>
    <w:tcPr>
      <w:shd w:val="clear" w:color="auto" w:fill="DBDBDB" w:themeFill="accent6" w:themeFillTint="33"/>
    </w:tcPr>
    <w:tblStylePr w:type="firstRow">
      <w:rPr>
        <w:b/>
        <w:bCs/>
      </w:rPr>
      <w:tblPr/>
      <w:tcPr>
        <w:shd w:val="clear" w:color="auto" w:fill="B7B7B7" w:themeFill="accent6" w:themeFillTint="66"/>
      </w:tcPr>
    </w:tblStylePr>
    <w:tblStylePr w:type="lastRow">
      <w:rPr>
        <w:b/>
        <w:bCs/>
        <w:color w:val="000000" w:themeColor="text1"/>
      </w:rPr>
      <w:tblPr/>
      <w:tcPr>
        <w:shd w:val="clear" w:color="auto" w:fill="B7B7B7" w:themeFill="accent6" w:themeFillTint="66"/>
      </w:tcPr>
    </w:tblStylePr>
    <w:tblStylePr w:type="firstCol">
      <w:rPr>
        <w:color w:val="0072BC" w:themeColor="background1"/>
      </w:rPr>
      <w:tblPr/>
      <w:tcPr>
        <w:shd w:val="clear" w:color="auto" w:fill="393939" w:themeFill="accent6" w:themeFillShade="BF"/>
      </w:tcPr>
    </w:tblStylePr>
    <w:tblStylePr w:type="lastCol">
      <w:rPr>
        <w:color w:val="0072BC" w:themeColor="background1"/>
      </w:rPr>
      <w:tblPr/>
      <w:tcPr>
        <w:shd w:val="clear" w:color="auto" w:fill="393939" w:themeFill="accent6" w:themeFillShade="BF"/>
      </w:tcPr>
    </w:tblStylePr>
    <w:tblStylePr w:type="band1Vert">
      <w:tblPr/>
      <w:tcPr>
        <w:shd w:val="clear" w:color="auto" w:fill="A6A6A6" w:themeFill="accent6" w:themeFillTint="7F"/>
      </w:tcPr>
    </w:tblStylePr>
    <w:tblStylePr w:type="band1Horz">
      <w:tblPr/>
      <w:tcPr>
        <w:shd w:val="clear" w:color="auto" w:fill="A6A6A6" w:themeFill="accent6" w:themeFillTint="7F"/>
      </w:tcPr>
    </w:tblStylePr>
  </w:style>
  <w:style w:type="table" w:styleId="Barvniseznam">
    <w:name w:val="Colorful List"/>
    <w:basedOn w:val="Navadnatabela"/>
    <w:uiPriority w:val="99"/>
    <w:semiHidden/>
    <w:rsid w:val="00014566"/>
    <w:rPr>
      <w:color w:val="000000" w:themeColor="text1"/>
      <w:lang w:val="fr-FR" w:eastAsia="fr-FR"/>
    </w:rPr>
    <w:tblPr>
      <w:tblStyleRowBandSize w:val="1"/>
      <w:tblStyleColBandSize w:val="1"/>
    </w:tblPr>
    <w:tcPr>
      <w:shd w:val="clear" w:color="auto" w:fill="E6E6E6" w:themeFill="text1" w:themeFillTint="19"/>
    </w:tcPr>
    <w:tblStylePr w:type="firstRow">
      <w:rPr>
        <w:b/>
        <w:bCs/>
        <w:color w:val="0072BC" w:themeColor="background1"/>
      </w:rPr>
      <w:tblPr/>
      <w:tcPr>
        <w:tcBorders>
          <w:bottom w:val="single" w:sz="12" w:space="0" w:color="0072BC" w:themeColor="background1"/>
        </w:tcBorders>
        <w:shd w:val="clear" w:color="auto" w:fill="990000" w:themeFill="accent2" w:themeFillShade="CC"/>
      </w:tcPr>
    </w:tblStylePr>
    <w:tblStylePr w:type="lastRow">
      <w:rPr>
        <w:b/>
        <w:bCs/>
        <w:color w:val="990000" w:themeColor="accent2"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Barvniseznampoudarek1">
    <w:name w:val="Colorful List Accent 1"/>
    <w:basedOn w:val="Navadnatabela"/>
    <w:uiPriority w:val="99"/>
    <w:semiHidden/>
    <w:rsid w:val="00014566"/>
    <w:rPr>
      <w:color w:val="000000" w:themeColor="text1"/>
      <w:lang w:val="fr-FR" w:eastAsia="fr-FR"/>
    </w:rPr>
    <w:tblPr>
      <w:tblStyleRowBandSize w:val="1"/>
      <w:tblStyleColBandSize w:val="1"/>
    </w:tblPr>
    <w:tcPr>
      <w:shd w:val="clear" w:color="auto" w:fill="DFF2FF" w:themeFill="accent1" w:themeFillTint="19"/>
    </w:tcPr>
    <w:tblStylePr w:type="firstRow">
      <w:rPr>
        <w:b/>
        <w:bCs/>
        <w:color w:val="0072BC" w:themeColor="background1"/>
      </w:rPr>
      <w:tblPr/>
      <w:tcPr>
        <w:tcBorders>
          <w:bottom w:val="single" w:sz="12" w:space="0" w:color="0072BC" w:themeColor="background1"/>
        </w:tcBorders>
        <w:shd w:val="clear" w:color="auto" w:fill="990000" w:themeFill="accent2" w:themeFillShade="CC"/>
      </w:tcPr>
    </w:tblStylePr>
    <w:tblStylePr w:type="lastRow">
      <w:rPr>
        <w:b/>
        <w:bCs/>
        <w:color w:val="990000" w:themeColor="accent2"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AFDFFF" w:themeFill="accent1" w:themeFillTint="3F"/>
      </w:tcPr>
    </w:tblStylePr>
    <w:tblStylePr w:type="band1Horz">
      <w:tblPr/>
      <w:tcPr>
        <w:shd w:val="clear" w:color="auto" w:fill="BEE5FF" w:themeFill="accent1" w:themeFillTint="33"/>
      </w:tcPr>
    </w:tblStylePr>
  </w:style>
  <w:style w:type="table" w:styleId="Barvniseznampoudarek2">
    <w:name w:val="Colorful List Accent 2"/>
    <w:basedOn w:val="Navadnatabela"/>
    <w:uiPriority w:val="99"/>
    <w:semiHidden/>
    <w:rsid w:val="00014566"/>
    <w:rPr>
      <w:color w:val="000000" w:themeColor="text1"/>
      <w:lang w:val="fr-FR" w:eastAsia="fr-FR"/>
    </w:rPr>
    <w:tblPr>
      <w:tblStyleRowBandSize w:val="1"/>
      <w:tblStyleColBandSize w:val="1"/>
    </w:tblPr>
    <w:tcPr>
      <w:shd w:val="clear" w:color="auto" w:fill="FFDFDF" w:themeFill="accent2" w:themeFillTint="19"/>
    </w:tcPr>
    <w:tblStylePr w:type="firstRow">
      <w:rPr>
        <w:b/>
        <w:bCs/>
        <w:color w:val="0072BC" w:themeColor="background1"/>
      </w:rPr>
      <w:tblPr/>
      <w:tcPr>
        <w:tcBorders>
          <w:bottom w:val="single" w:sz="12" w:space="0" w:color="0072BC" w:themeColor="background1"/>
        </w:tcBorders>
        <w:shd w:val="clear" w:color="auto" w:fill="990000" w:themeFill="accent2" w:themeFillShade="CC"/>
      </w:tcPr>
    </w:tblStylePr>
    <w:tblStylePr w:type="lastRow">
      <w:rPr>
        <w:b/>
        <w:bCs/>
        <w:color w:val="990000" w:themeColor="accent2"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B0B0" w:themeFill="accent2" w:themeFillTint="3F"/>
      </w:tcPr>
    </w:tblStylePr>
    <w:tblStylePr w:type="band1Horz">
      <w:tblPr/>
      <w:tcPr>
        <w:shd w:val="clear" w:color="auto" w:fill="FFBFBF" w:themeFill="accent2" w:themeFillTint="33"/>
      </w:tcPr>
    </w:tblStylePr>
  </w:style>
  <w:style w:type="table" w:styleId="Barvenseznampoudarek3">
    <w:name w:val="Colorful List Accent 3"/>
    <w:basedOn w:val="Navadnatabela"/>
    <w:uiPriority w:val="99"/>
    <w:semiHidden/>
    <w:rsid w:val="00014566"/>
    <w:rPr>
      <w:color w:val="000000" w:themeColor="text1"/>
      <w:lang w:val="fr-FR" w:eastAsia="fr-FR"/>
    </w:rPr>
    <w:tblPr>
      <w:tblStyleRowBandSize w:val="1"/>
      <w:tblStyleColBandSize w:val="1"/>
    </w:tblPr>
    <w:tcPr>
      <w:shd w:val="clear" w:color="auto" w:fill="EFEFEF" w:themeFill="accent3" w:themeFillTint="19"/>
    </w:tcPr>
    <w:tblStylePr w:type="firstRow">
      <w:rPr>
        <w:b/>
        <w:bCs/>
        <w:color w:val="0072BC" w:themeColor="background1"/>
      </w:rPr>
      <w:tblPr/>
      <w:tcPr>
        <w:tcBorders>
          <w:bottom w:val="single" w:sz="12" w:space="0" w:color="0072BC" w:themeColor="background1"/>
        </w:tcBorders>
        <w:shd w:val="clear" w:color="auto" w:fill="787878" w:themeFill="accent4" w:themeFillShade="CC"/>
      </w:tcPr>
    </w:tblStylePr>
    <w:tblStylePr w:type="lastRow">
      <w:rPr>
        <w:b/>
        <w:bCs/>
        <w:color w:val="787878" w:themeColor="accent4"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7D7D7" w:themeFill="accent3" w:themeFillTint="3F"/>
      </w:tcPr>
    </w:tblStylePr>
    <w:tblStylePr w:type="band1Horz">
      <w:tblPr/>
      <w:tcPr>
        <w:shd w:val="clear" w:color="auto" w:fill="DFDFDF" w:themeFill="accent3" w:themeFillTint="33"/>
      </w:tcPr>
    </w:tblStylePr>
  </w:style>
  <w:style w:type="table" w:styleId="Barvniseznampoudarek4">
    <w:name w:val="Colorful List Accent 4"/>
    <w:basedOn w:val="Navadnatabela"/>
    <w:uiPriority w:val="99"/>
    <w:semiHidden/>
    <w:rsid w:val="00014566"/>
    <w:rPr>
      <w:color w:val="000000" w:themeColor="text1"/>
      <w:lang w:val="fr-FR" w:eastAsia="fr-FR"/>
    </w:rPr>
    <w:tblPr>
      <w:tblStyleRowBandSize w:val="1"/>
      <w:tblStyleColBandSize w:val="1"/>
    </w:tblPr>
    <w:tcPr>
      <w:shd w:val="clear" w:color="auto" w:fill="F4F4F4" w:themeFill="accent4" w:themeFillTint="19"/>
    </w:tcPr>
    <w:tblStylePr w:type="firstRow">
      <w:rPr>
        <w:b/>
        <w:bCs/>
        <w:color w:val="0072BC" w:themeColor="background1"/>
      </w:rPr>
      <w:tblPr/>
      <w:tcPr>
        <w:tcBorders>
          <w:bottom w:val="single" w:sz="12" w:space="0" w:color="0072BC" w:themeColor="background1"/>
        </w:tcBorders>
        <w:shd w:val="clear" w:color="auto" w:fill="4C4C4C" w:themeFill="accent3" w:themeFillShade="CC"/>
      </w:tcPr>
    </w:tblStylePr>
    <w:tblStylePr w:type="lastRow">
      <w:rPr>
        <w:b/>
        <w:bCs/>
        <w:color w:val="4C4C4C" w:themeColor="accent3"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5E5E5" w:themeFill="accent4" w:themeFillTint="3F"/>
      </w:tcPr>
    </w:tblStylePr>
    <w:tblStylePr w:type="band1Horz">
      <w:tblPr/>
      <w:tcPr>
        <w:shd w:val="clear" w:color="auto" w:fill="EAEAEA" w:themeFill="accent4" w:themeFillTint="33"/>
      </w:tcPr>
    </w:tblStylePr>
  </w:style>
  <w:style w:type="table" w:styleId="Barvniseznampoudarek5">
    <w:name w:val="Colorful List Accent 5"/>
    <w:basedOn w:val="Navadnatabela"/>
    <w:uiPriority w:val="99"/>
    <w:semiHidden/>
    <w:rsid w:val="00014566"/>
    <w:rPr>
      <w:color w:val="000000" w:themeColor="text1"/>
      <w:lang w:val="fr-FR" w:eastAsia="fr-FR"/>
    </w:rPr>
    <w:tblPr>
      <w:tblStyleRowBandSize w:val="1"/>
      <w:tblStyleColBandSize w:val="1"/>
    </w:tblPr>
    <w:tcPr>
      <w:shd w:val="clear" w:color="auto" w:fill="EFEFEF" w:themeFill="accent5" w:themeFillTint="19"/>
    </w:tcPr>
    <w:tblStylePr w:type="firstRow">
      <w:rPr>
        <w:b/>
        <w:bCs/>
        <w:color w:val="0072BC" w:themeColor="background1"/>
      </w:rPr>
      <w:tblPr/>
      <w:tcPr>
        <w:tcBorders>
          <w:bottom w:val="single" w:sz="12" w:space="0" w:color="0072BC" w:themeColor="background1"/>
        </w:tcBorders>
        <w:shd w:val="clear" w:color="auto" w:fill="3D3D3D" w:themeFill="accent6" w:themeFillShade="CC"/>
      </w:tcPr>
    </w:tblStylePr>
    <w:tblStylePr w:type="lastRow">
      <w:rPr>
        <w:b/>
        <w:bCs/>
        <w:color w:val="3D3D3D" w:themeColor="accent6"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7D7D7" w:themeFill="accent5" w:themeFillTint="3F"/>
      </w:tcPr>
    </w:tblStylePr>
    <w:tblStylePr w:type="band1Horz">
      <w:tblPr/>
      <w:tcPr>
        <w:shd w:val="clear" w:color="auto" w:fill="DFDFDF" w:themeFill="accent5" w:themeFillTint="33"/>
      </w:tcPr>
    </w:tblStylePr>
  </w:style>
  <w:style w:type="table" w:styleId="Barvniseznampoudarek6">
    <w:name w:val="Colorful List Accent 6"/>
    <w:basedOn w:val="Navadnatabela"/>
    <w:uiPriority w:val="99"/>
    <w:semiHidden/>
    <w:rsid w:val="00014566"/>
    <w:rPr>
      <w:color w:val="000000" w:themeColor="text1"/>
      <w:lang w:val="fr-FR" w:eastAsia="fr-FR"/>
    </w:rPr>
    <w:tblPr>
      <w:tblStyleRowBandSize w:val="1"/>
      <w:tblStyleColBandSize w:val="1"/>
    </w:tblPr>
    <w:tcPr>
      <w:shd w:val="clear" w:color="auto" w:fill="EDEDED" w:themeFill="accent6" w:themeFillTint="19"/>
    </w:tcPr>
    <w:tblStylePr w:type="firstRow">
      <w:rPr>
        <w:b/>
        <w:bCs/>
        <w:color w:val="0072BC" w:themeColor="background1"/>
      </w:rPr>
      <w:tblPr/>
      <w:tcPr>
        <w:tcBorders>
          <w:bottom w:val="single" w:sz="12" w:space="0" w:color="0072BC" w:themeColor="background1"/>
        </w:tcBorders>
        <w:shd w:val="clear" w:color="auto" w:fill="4C4C4C" w:themeFill="accent5" w:themeFillShade="CC"/>
      </w:tcPr>
    </w:tblStylePr>
    <w:tblStylePr w:type="lastRow">
      <w:rPr>
        <w:b/>
        <w:bCs/>
        <w:color w:val="4C4C4C" w:themeColor="accent5"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3D3" w:themeFill="accent6" w:themeFillTint="3F"/>
      </w:tcPr>
    </w:tblStylePr>
    <w:tblStylePr w:type="band1Horz">
      <w:tblPr/>
      <w:tcPr>
        <w:shd w:val="clear" w:color="auto" w:fill="DBDBDB" w:themeFill="accent6" w:themeFillTint="33"/>
      </w:tcPr>
    </w:tblStylePr>
  </w:style>
  <w:style w:type="table" w:styleId="Barvnosenenje">
    <w:name w:val="Colorful Shading"/>
    <w:basedOn w:val="Navadnatabela"/>
    <w:uiPriority w:val="99"/>
    <w:semiHidden/>
    <w:rsid w:val="00014566"/>
    <w:rPr>
      <w:color w:val="000000" w:themeColor="text1"/>
      <w:lang w:val="fr-FR" w:eastAsia="fr-FR"/>
    </w:rPr>
    <w:tblPr>
      <w:tblStyleRowBandSize w:val="1"/>
      <w:tblStyleColBandSize w:val="1"/>
      <w:tblBorders>
        <w:top w:val="single" w:sz="24" w:space="0" w:color="C00000" w:themeColor="accent2"/>
        <w:left w:val="single" w:sz="4" w:space="0" w:color="000000" w:themeColor="text1"/>
        <w:bottom w:val="single" w:sz="4" w:space="0" w:color="000000" w:themeColor="text1"/>
        <w:right w:val="single" w:sz="4" w:space="0" w:color="000000" w:themeColor="text1"/>
        <w:insideH w:val="single" w:sz="4" w:space="0" w:color="0072BC" w:themeColor="background1"/>
        <w:insideV w:val="single" w:sz="4" w:space="0" w:color="0072BC" w:themeColor="background1"/>
      </w:tblBorders>
    </w:tblPr>
    <w:tcPr>
      <w:shd w:val="clear" w:color="auto" w:fill="E6E6E6" w:themeFill="text1" w:themeFillTint="19"/>
    </w:tcPr>
    <w:tblStylePr w:type="firstRow">
      <w:rPr>
        <w:b/>
        <w:bCs/>
      </w:rPr>
      <w:tblPr/>
      <w:tcPr>
        <w:tcBorders>
          <w:top w:val="nil"/>
          <w:left w:val="nil"/>
          <w:bottom w:val="single" w:sz="24" w:space="0" w:color="C00000" w:themeColor="accent2"/>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000000" w:themeFill="text1" w:themeFillShade="99"/>
      </w:tcPr>
    </w:tblStylePr>
    <w:tblStylePr w:type="firstCol">
      <w:rPr>
        <w:color w:val="0072BC"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0072BC"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Barvnosenenjepoudarek1">
    <w:name w:val="Colorful Shading Accent 1"/>
    <w:basedOn w:val="Navadnatabela"/>
    <w:uiPriority w:val="99"/>
    <w:semiHidden/>
    <w:rsid w:val="00014566"/>
    <w:rPr>
      <w:color w:val="000000" w:themeColor="text1"/>
      <w:lang w:val="fr-FR" w:eastAsia="fr-FR"/>
    </w:rPr>
    <w:tblPr>
      <w:tblStyleRowBandSize w:val="1"/>
      <w:tblStyleColBandSize w:val="1"/>
      <w:tblBorders>
        <w:top w:val="single" w:sz="24" w:space="0" w:color="C00000" w:themeColor="accent2"/>
        <w:left w:val="single" w:sz="4" w:space="0" w:color="0072BC" w:themeColor="accent1"/>
        <w:bottom w:val="single" w:sz="4" w:space="0" w:color="0072BC" w:themeColor="accent1"/>
        <w:right w:val="single" w:sz="4" w:space="0" w:color="0072BC" w:themeColor="accent1"/>
        <w:insideH w:val="single" w:sz="4" w:space="0" w:color="0072BC" w:themeColor="background1"/>
        <w:insideV w:val="single" w:sz="4" w:space="0" w:color="0072BC" w:themeColor="background1"/>
      </w:tblBorders>
    </w:tblPr>
    <w:tcPr>
      <w:shd w:val="clear" w:color="auto" w:fill="DFF2FF" w:themeFill="accent1" w:themeFillTint="19"/>
    </w:tcPr>
    <w:tblStylePr w:type="firstRow">
      <w:rPr>
        <w:b/>
        <w:bCs/>
      </w:rPr>
      <w:tblPr/>
      <w:tcPr>
        <w:tcBorders>
          <w:top w:val="nil"/>
          <w:left w:val="nil"/>
          <w:bottom w:val="single" w:sz="24" w:space="0" w:color="C00000" w:themeColor="accent2"/>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004470" w:themeFill="accent1" w:themeFillShade="99"/>
      </w:tcPr>
    </w:tblStylePr>
    <w:tblStylePr w:type="firstCol">
      <w:rPr>
        <w:color w:val="0072BC" w:themeColor="background1"/>
      </w:rPr>
      <w:tblPr/>
      <w:tcPr>
        <w:tcBorders>
          <w:top w:val="nil"/>
          <w:left w:val="nil"/>
          <w:bottom w:val="nil"/>
          <w:right w:val="nil"/>
          <w:insideH w:val="single" w:sz="4" w:space="0" w:color="004470" w:themeColor="accent1" w:themeShade="99"/>
          <w:insideV w:val="nil"/>
        </w:tcBorders>
        <w:shd w:val="clear" w:color="auto" w:fill="004470" w:themeFill="accent1" w:themeFillShade="99"/>
      </w:tcPr>
    </w:tblStylePr>
    <w:tblStylePr w:type="lastCol">
      <w:rPr>
        <w:color w:val="0072BC" w:themeColor="background1"/>
      </w:rPr>
      <w:tblPr/>
      <w:tcPr>
        <w:tcBorders>
          <w:top w:val="nil"/>
          <w:left w:val="nil"/>
          <w:bottom w:val="nil"/>
          <w:right w:val="nil"/>
          <w:insideH w:val="nil"/>
          <w:insideV w:val="nil"/>
        </w:tcBorders>
        <w:shd w:val="clear" w:color="auto" w:fill="004470" w:themeFill="accent1" w:themeFillShade="99"/>
      </w:tcPr>
    </w:tblStylePr>
    <w:tblStylePr w:type="band1Vert">
      <w:tblPr/>
      <w:tcPr>
        <w:shd w:val="clear" w:color="auto" w:fill="7ECBFF" w:themeFill="accent1" w:themeFillTint="66"/>
      </w:tcPr>
    </w:tblStylePr>
    <w:tblStylePr w:type="band1Horz">
      <w:tblPr/>
      <w:tcPr>
        <w:shd w:val="clear" w:color="auto" w:fill="5EBFFF" w:themeFill="accent1" w:themeFillTint="7F"/>
      </w:tcPr>
    </w:tblStylePr>
    <w:tblStylePr w:type="neCell">
      <w:rPr>
        <w:color w:val="000000" w:themeColor="text1"/>
      </w:rPr>
    </w:tblStylePr>
    <w:tblStylePr w:type="nwCell">
      <w:rPr>
        <w:color w:val="000000" w:themeColor="text1"/>
      </w:rPr>
    </w:tblStylePr>
  </w:style>
  <w:style w:type="table" w:styleId="Barvnosenenjepoudarek2">
    <w:name w:val="Colorful Shading Accent 2"/>
    <w:basedOn w:val="Navadnatabela"/>
    <w:uiPriority w:val="99"/>
    <w:semiHidden/>
    <w:rsid w:val="00014566"/>
    <w:rPr>
      <w:color w:val="000000" w:themeColor="text1"/>
      <w:lang w:val="fr-FR" w:eastAsia="fr-FR"/>
    </w:rPr>
    <w:tblPr>
      <w:tblStyleRowBandSize w:val="1"/>
      <w:tblStyleColBandSize w:val="1"/>
      <w:tblBorders>
        <w:top w:val="single" w:sz="24" w:space="0" w:color="C00000" w:themeColor="accent2"/>
        <w:left w:val="single" w:sz="4" w:space="0" w:color="C00000" w:themeColor="accent2"/>
        <w:bottom w:val="single" w:sz="4" w:space="0" w:color="C00000" w:themeColor="accent2"/>
        <w:right w:val="single" w:sz="4" w:space="0" w:color="C00000" w:themeColor="accent2"/>
        <w:insideH w:val="single" w:sz="4" w:space="0" w:color="0072BC" w:themeColor="background1"/>
        <w:insideV w:val="single" w:sz="4" w:space="0" w:color="0072BC" w:themeColor="background1"/>
      </w:tblBorders>
    </w:tblPr>
    <w:tcPr>
      <w:shd w:val="clear" w:color="auto" w:fill="FFDFDF" w:themeFill="accent2" w:themeFillTint="19"/>
    </w:tcPr>
    <w:tblStylePr w:type="firstRow">
      <w:rPr>
        <w:b/>
        <w:bCs/>
      </w:rPr>
      <w:tblPr/>
      <w:tcPr>
        <w:tcBorders>
          <w:top w:val="nil"/>
          <w:left w:val="nil"/>
          <w:bottom w:val="single" w:sz="24" w:space="0" w:color="C00000" w:themeColor="accent2"/>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730000" w:themeFill="accent2" w:themeFillShade="99"/>
      </w:tcPr>
    </w:tblStylePr>
    <w:tblStylePr w:type="firstCol">
      <w:rPr>
        <w:color w:val="0072BC" w:themeColor="background1"/>
      </w:rPr>
      <w:tblPr/>
      <w:tcPr>
        <w:tcBorders>
          <w:top w:val="nil"/>
          <w:left w:val="nil"/>
          <w:bottom w:val="nil"/>
          <w:right w:val="nil"/>
          <w:insideH w:val="single" w:sz="4" w:space="0" w:color="730000" w:themeColor="accent2" w:themeShade="99"/>
          <w:insideV w:val="nil"/>
        </w:tcBorders>
        <w:shd w:val="clear" w:color="auto" w:fill="730000" w:themeFill="accent2" w:themeFillShade="99"/>
      </w:tcPr>
    </w:tblStylePr>
    <w:tblStylePr w:type="lastCol">
      <w:rPr>
        <w:color w:val="0072BC" w:themeColor="background1"/>
      </w:rPr>
      <w:tblPr/>
      <w:tcPr>
        <w:tcBorders>
          <w:top w:val="nil"/>
          <w:left w:val="nil"/>
          <w:bottom w:val="nil"/>
          <w:right w:val="nil"/>
          <w:insideH w:val="nil"/>
          <w:insideV w:val="nil"/>
        </w:tcBorders>
        <w:shd w:val="clear" w:color="auto" w:fill="730000" w:themeFill="accent2" w:themeFillShade="99"/>
      </w:tcPr>
    </w:tblStylePr>
    <w:tblStylePr w:type="band1Vert">
      <w:tblPr/>
      <w:tcPr>
        <w:shd w:val="clear" w:color="auto" w:fill="FF7F7F" w:themeFill="accent2" w:themeFillTint="66"/>
      </w:tcPr>
    </w:tblStylePr>
    <w:tblStylePr w:type="band1Horz">
      <w:tblPr/>
      <w:tcPr>
        <w:shd w:val="clear" w:color="auto" w:fill="FF6060" w:themeFill="accent2" w:themeFillTint="7F"/>
      </w:tcPr>
    </w:tblStylePr>
    <w:tblStylePr w:type="neCell">
      <w:rPr>
        <w:color w:val="000000" w:themeColor="text1"/>
      </w:rPr>
    </w:tblStylePr>
    <w:tblStylePr w:type="nwCell">
      <w:rPr>
        <w:color w:val="000000" w:themeColor="text1"/>
      </w:rPr>
    </w:tblStylePr>
  </w:style>
  <w:style w:type="table" w:styleId="Barvnosenenjepoudarek3">
    <w:name w:val="Colorful Shading Accent 3"/>
    <w:basedOn w:val="Navadnatabela"/>
    <w:uiPriority w:val="99"/>
    <w:semiHidden/>
    <w:rsid w:val="00014566"/>
    <w:rPr>
      <w:color w:val="000000" w:themeColor="text1"/>
      <w:lang w:val="fr-FR" w:eastAsia="fr-FR"/>
    </w:rPr>
    <w:tblPr>
      <w:tblStyleRowBandSize w:val="1"/>
      <w:tblStyleColBandSize w:val="1"/>
      <w:tblBorders>
        <w:top w:val="single" w:sz="24" w:space="0" w:color="969696" w:themeColor="accent4"/>
        <w:left w:val="single" w:sz="4" w:space="0" w:color="5F5F5F" w:themeColor="accent3"/>
        <w:bottom w:val="single" w:sz="4" w:space="0" w:color="5F5F5F" w:themeColor="accent3"/>
        <w:right w:val="single" w:sz="4" w:space="0" w:color="5F5F5F" w:themeColor="accent3"/>
        <w:insideH w:val="single" w:sz="4" w:space="0" w:color="0072BC" w:themeColor="background1"/>
        <w:insideV w:val="single" w:sz="4" w:space="0" w:color="0072BC" w:themeColor="background1"/>
      </w:tblBorders>
    </w:tblPr>
    <w:tcPr>
      <w:shd w:val="clear" w:color="auto" w:fill="EFEFEF" w:themeFill="accent3" w:themeFillTint="19"/>
    </w:tcPr>
    <w:tblStylePr w:type="firstRow">
      <w:rPr>
        <w:b/>
        <w:bCs/>
      </w:rPr>
      <w:tblPr/>
      <w:tcPr>
        <w:tcBorders>
          <w:top w:val="nil"/>
          <w:left w:val="nil"/>
          <w:bottom w:val="single" w:sz="24" w:space="0" w:color="969696" w:themeColor="accent4"/>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393939" w:themeFill="accent3" w:themeFillShade="99"/>
      </w:tcPr>
    </w:tblStylePr>
    <w:tblStylePr w:type="firstCol">
      <w:rPr>
        <w:color w:val="0072BC" w:themeColor="background1"/>
      </w:rPr>
      <w:tblPr/>
      <w:tcPr>
        <w:tcBorders>
          <w:top w:val="nil"/>
          <w:left w:val="nil"/>
          <w:bottom w:val="nil"/>
          <w:right w:val="nil"/>
          <w:insideH w:val="single" w:sz="4" w:space="0" w:color="393939" w:themeColor="accent3" w:themeShade="99"/>
          <w:insideV w:val="nil"/>
        </w:tcBorders>
        <w:shd w:val="clear" w:color="auto" w:fill="393939" w:themeFill="accent3" w:themeFillShade="99"/>
      </w:tcPr>
    </w:tblStylePr>
    <w:tblStylePr w:type="lastCol">
      <w:rPr>
        <w:color w:val="0072BC" w:themeColor="background1"/>
      </w:rPr>
      <w:tblPr/>
      <w:tcPr>
        <w:tcBorders>
          <w:top w:val="nil"/>
          <w:left w:val="nil"/>
          <w:bottom w:val="nil"/>
          <w:right w:val="nil"/>
          <w:insideH w:val="nil"/>
          <w:insideV w:val="nil"/>
        </w:tcBorders>
        <w:shd w:val="clear" w:color="auto" w:fill="393939" w:themeFill="accent3" w:themeFillShade="99"/>
      </w:tcPr>
    </w:tblStylePr>
    <w:tblStylePr w:type="band1Vert">
      <w:tblPr/>
      <w:tcPr>
        <w:shd w:val="clear" w:color="auto" w:fill="BFBFBF" w:themeFill="accent3" w:themeFillTint="66"/>
      </w:tcPr>
    </w:tblStylePr>
    <w:tblStylePr w:type="band1Horz">
      <w:tblPr/>
      <w:tcPr>
        <w:shd w:val="clear" w:color="auto" w:fill="AFAFAF" w:themeFill="accent3" w:themeFillTint="7F"/>
      </w:tcPr>
    </w:tblStylePr>
  </w:style>
  <w:style w:type="table" w:styleId="Barvnosenenjepoudarek4">
    <w:name w:val="Colorful Shading Accent 4"/>
    <w:basedOn w:val="Navadnatabela"/>
    <w:uiPriority w:val="99"/>
    <w:semiHidden/>
    <w:rsid w:val="00014566"/>
    <w:rPr>
      <w:color w:val="000000" w:themeColor="text1"/>
      <w:lang w:val="fr-FR" w:eastAsia="fr-FR"/>
    </w:rPr>
    <w:tblPr>
      <w:tblStyleRowBandSize w:val="1"/>
      <w:tblStyleColBandSize w:val="1"/>
      <w:tblBorders>
        <w:top w:val="single" w:sz="24" w:space="0" w:color="5F5F5F" w:themeColor="accent3"/>
        <w:left w:val="single" w:sz="4" w:space="0" w:color="969696" w:themeColor="accent4"/>
        <w:bottom w:val="single" w:sz="4" w:space="0" w:color="969696" w:themeColor="accent4"/>
        <w:right w:val="single" w:sz="4" w:space="0" w:color="969696" w:themeColor="accent4"/>
        <w:insideH w:val="single" w:sz="4" w:space="0" w:color="0072BC" w:themeColor="background1"/>
        <w:insideV w:val="single" w:sz="4" w:space="0" w:color="0072BC" w:themeColor="background1"/>
      </w:tblBorders>
    </w:tblPr>
    <w:tcPr>
      <w:shd w:val="clear" w:color="auto" w:fill="F4F4F4" w:themeFill="accent4" w:themeFillTint="19"/>
    </w:tcPr>
    <w:tblStylePr w:type="firstRow">
      <w:rPr>
        <w:b/>
        <w:bCs/>
      </w:rPr>
      <w:tblPr/>
      <w:tcPr>
        <w:tcBorders>
          <w:top w:val="nil"/>
          <w:left w:val="nil"/>
          <w:bottom w:val="single" w:sz="24" w:space="0" w:color="5F5F5F" w:themeColor="accent3"/>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5A5A5A" w:themeFill="accent4" w:themeFillShade="99"/>
      </w:tcPr>
    </w:tblStylePr>
    <w:tblStylePr w:type="firstCol">
      <w:rPr>
        <w:color w:val="0072BC" w:themeColor="background1"/>
      </w:rPr>
      <w:tblPr/>
      <w:tcPr>
        <w:tcBorders>
          <w:top w:val="nil"/>
          <w:left w:val="nil"/>
          <w:bottom w:val="nil"/>
          <w:right w:val="nil"/>
          <w:insideH w:val="single" w:sz="4" w:space="0" w:color="5A5A5A" w:themeColor="accent4" w:themeShade="99"/>
          <w:insideV w:val="nil"/>
        </w:tcBorders>
        <w:shd w:val="clear" w:color="auto" w:fill="5A5A5A" w:themeFill="accent4" w:themeFillShade="99"/>
      </w:tcPr>
    </w:tblStylePr>
    <w:tblStylePr w:type="lastCol">
      <w:rPr>
        <w:color w:val="0072BC" w:themeColor="background1"/>
      </w:rPr>
      <w:tblPr/>
      <w:tcPr>
        <w:tcBorders>
          <w:top w:val="nil"/>
          <w:left w:val="nil"/>
          <w:bottom w:val="nil"/>
          <w:right w:val="nil"/>
          <w:insideH w:val="nil"/>
          <w:insideV w:val="nil"/>
        </w:tcBorders>
        <w:shd w:val="clear" w:color="auto" w:fill="5A5A5A" w:themeFill="accent4" w:themeFillShade="99"/>
      </w:tcPr>
    </w:tblStylePr>
    <w:tblStylePr w:type="band1Vert">
      <w:tblPr/>
      <w:tcPr>
        <w:shd w:val="clear" w:color="auto" w:fill="D5D5D5" w:themeFill="accent4" w:themeFillTint="66"/>
      </w:tcPr>
    </w:tblStylePr>
    <w:tblStylePr w:type="band1Horz">
      <w:tblPr/>
      <w:tcPr>
        <w:shd w:val="clear" w:color="auto" w:fill="CACACA" w:themeFill="accent4" w:themeFillTint="7F"/>
      </w:tcPr>
    </w:tblStylePr>
    <w:tblStylePr w:type="neCell">
      <w:rPr>
        <w:color w:val="000000" w:themeColor="text1"/>
      </w:rPr>
    </w:tblStylePr>
    <w:tblStylePr w:type="nwCell">
      <w:rPr>
        <w:color w:val="000000" w:themeColor="text1"/>
      </w:rPr>
    </w:tblStylePr>
  </w:style>
  <w:style w:type="table" w:styleId="Barvnosenenjepoudarek5">
    <w:name w:val="Colorful Shading Accent 5"/>
    <w:basedOn w:val="Navadnatabela"/>
    <w:uiPriority w:val="99"/>
    <w:semiHidden/>
    <w:rsid w:val="00014566"/>
    <w:rPr>
      <w:color w:val="000000" w:themeColor="text1"/>
      <w:lang w:val="fr-FR" w:eastAsia="fr-FR"/>
    </w:rPr>
    <w:tblPr>
      <w:tblStyleRowBandSize w:val="1"/>
      <w:tblStyleColBandSize w:val="1"/>
      <w:tblBorders>
        <w:top w:val="single" w:sz="24" w:space="0" w:color="4D4D4D" w:themeColor="accent6"/>
        <w:left w:val="single" w:sz="4" w:space="0" w:color="5F5F5F" w:themeColor="accent5"/>
        <w:bottom w:val="single" w:sz="4" w:space="0" w:color="5F5F5F" w:themeColor="accent5"/>
        <w:right w:val="single" w:sz="4" w:space="0" w:color="5F5F5F" w:themeColor="accent5"/>
        <w:insideH w:val="single" w:sz="4" w:space="0" w:color="0072BC" w:themeColor="background1"/>
        <w:insideV w:val="single" w:sz="4" w:space="0" w:color="0072BC" w:themeColor="background1"/>
      </w:tblBorders>
    </w:tblPr>
    <w:tcPr>
      <w:shd w:val="clear" w:color="auto" w:fill="EFEFEF" w:themeFill="accent5" w:themeFillTint="19"/>
    </w:tcPr>
    <w:tblStylePr w:type="firstRow">
      <w:rPr>
        <w:b/>
        <w:bCs/>
      </w:rPr>
      <w:tblPr/>
      <w:tcPr>
        <w:tcBorders>
          <w:top w:val="nil"/>
          <w:left w:val="nil"/>
          <w:bottom w:val="single" w:sz="24" w:space="0" w:color="4D4D4D" w:themeColor="accent6"/>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393939" w:themeFill="accent5" w:themeFillShade="99"/>
      </w:tcPr>
    </w:tblStylePr>
    <w:tblStylePr w:type="firstCol">
      <w:rPr>
        <w:color w:val="0072BC" w:themeColor="background1"/>
      </w:rPr>
      <w:tblPr/>
      <w:tcPr>
        <w:tcBorders>
          <w:top w:val="nil"/>
          <w:left w:val="nil"/>
          <w:bottom w:val="nil"/>
          <w:right w:val="nil"/>
          <w:insideH w:val="single" w:sz="4" w:space="0" w:color="393939" w:themeColor="accent5" w:themeShade="99"/>
          <w:insideV w:val="nil"/>
        </w:tcBorders>
        <w:shd w:val="clear" w:color="auto" w:fill="393939" w:themeFill="accent5" w:themeFillShade="99"/>
      </w:tcPr>
    </w:tblStylePr>
    <w:tblStylePr w:type="lastCol">
      <w:rPr>
        <w:color w:val="0072BC" w:themeColor="background1"/>
      </w:rPr>
      <w:tblPr/>
      <w:tcPr>
        <w:tcBorders>
          <w:top w:val="nil"/>
          <w:left w:val="nil"/>
          <w:bottom w:val="nil"/>
          <w:right w:val="nil"/>
          <w:insideH w:val="nil"/>
          <w:insideV w:val="nil"/>
        </w:tcBorders>
        <w:shd w:val="clear" w:color="auto" w:fill="393939" w:themeFill="accent5" w:themeFillShade="99"/>
      </w:tcPr>
    </w:tblStylePr>
    <w:tblStylePr w:type="band1Vert">
      <w:tblPr/>
      <w:tcPr>
        <w:shd w:val="clear" w:color="auto" w:fill="BFBFBF" w:themeFill="accent5" w:themeFillTint="66"/>
      </w:tcPr>
    </w:tblStylePr>
    <w:tblStylePr w:type="band1Horz">
      <w:tblPr/>
      <w:tcPr>
        <w:shd w:val="clear" w:color="auto" w:fill="AFAFAF" w:themeFill="accent5" w:themeFillTint="7F"/>
      </w:tcPr>
    </w:tblStylePr>
    <w:tblStylePr w:type="neCell">
      <w:rPr>
        <w:color w:val="000000" w:themeColor="text1"/>
      </w:rPr>
    </w:tblStylePr>
    <w:tblStylePr w:type="nwCell">
      <w:rPr>
        <w:color w:val="000000" w:themeColor="text1"/>
      </w:rPr>
    </w:tblStylePr>
  </w:style>
  <w:style w:type="table" w:styleId="Barvnosenenjepoudarek6">
    <w:name w:val="Colorful Shading Accent 6"/>
    <w:basedOn w:val="Navadnatabela"/>
    <w:uiPriority w:val="99"/>
    <w:semiHidden/>
    <w:rsid w:val="00014566"/>
    <w:rPr>
      <w:color w:val="000000" w:themeColor="text1"/>
      <w:lang w:val="fr-FR" w:eastAsia="fr-FR"/>
    </w:rPr>
    <w:tblPr>
      <w:tblStyleRowBandSize w:val="1"/>
      <w:tblStyleColBandSize w:val="1"/>
      <w:tblBorders>
        <w:top w:val="single" w:sz="24" w:space="0" w:color="5F5F5F" w:themeColor="accent5"/>
        <w:left w:val="single" w:sz="4" w:space="0" w:color="4D4D4D" w:themeColor="accent6"/>
        <w:bottom w:val="single" w:sz="4" w:space="0" w:color="4D4D4D" w:themeColor="accent6"/>
        <w:right w:val="single" w:sz="4" w:space="0" w:color="4D4D4D" w:themeColor="accent6"/>
        <w:insideH w:val="single" w:sz="4" w:space="0" w:color="0072BC" w:themeColor="background1"/>
        <w:insideV w:val="single" w:sz="4" w:space="0" w:color="0072BC" w:themeColor="background1"/>
      </w:tblBorders>
    </w:tblPr>
    <w:tcPr>
      <w:shd w:val="clear" w:color="auto" w:fill="EDEDED" w:themeFill="accent6" w:themeFillTint="19"/>
    </w:tcPr>
    <w:tblStylePr w:type="firstRow">
      <w:rPr>
        <w:b/>
        <w:bCs/>
      </w:rPr>
      <w:tblPr/>
      <w:tcPr>
        <w:tcBorders>
          <w:top w:val="nil"/>
          <w:left w:val="nil"/>
          <w:bottom w:val="single" w:sz="24" w:space="0" w:color="5F5F5F" w:themeColor="accent5"/>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2E2E2E" w:themeFill="accent6" w:themeFillShade="99"/>
      </w:tcPr>
    </w:tblStylePr>
    <w:tblStylePr w:type="firstCol">
      <w:rPr>
        <w:color w:val="0072BC" w:themeColor="background1"/>
      </w:rPr>
      <w:tblPr/>
      <w:tcPr>
        <w:tcBorders>
          <w:top w:val="nil"/>
          <w:left w:val="nil"/>
          <w:bottom w:val="nil"/>
          <w:right w:val="nil"/>
          <w:insideH w:val="single" w:sz="4" w:space="0" w:color="2E2E2E" w:themeColor="accent6" w:themeShade="99"/>
          <w:insideV w:val="nil"/>
        </w:tcBorders>
        <w:shd w:val="clear" w:color="auto" w:fill="2E2E2E" w:themeFill="accent6" w:themeFillShade="99"/>
      </w:tcPr>
    </w:tblStylePr>
    <w:tblStylePr w:type="lastCol">
      <w:rPr>
        <w:color w:val="0072BC" w:themeColor="background1"/>
      </w:rPr>
      <w:tblPr/>
      <w:tcPr>
        <w:tcBorders>
          <w:top w:val="nil"/>
          <w:left w:val="nil"/>
          <w:bottom w:val="nil"/>
          <w:right w:val="nil"/>
          <w:insideH w:val="nil"/>
          <w:insideV w:val="nil"/>
        </w:tcBorders>
        <w:shd w:val="clear" w:color="auto" w:fill="2E2E2E" w:themeFill="accent6" w:themeFillShade="99"/>
      </w:tcPr>
    </w:tblStylePr>
    <w:tblStylePr w:type="band1Vert">
      <w:tblPr/>
      <w:tcPr>
        <w:shd w:val="clear" w:color="auto" w:fill="B7B7B7" w:themeFill="accent6" w:themeFillTint="66"/>
      </w:tcPr>
    </w:tblStylePr>
    <w:tblStylePr w:type="band1Horz">
      <w:tblPr/>
      <w:tcPr>
        <w:shd w:val="clear" w:color="auto" w:fill="A6A6A6" w:themeFill="accent6" w:themeFillTint="7F"/>
      </w:tcPr>
    </w:tblStylePr>
    <w:tblStylePr w:type="neCell">
      <w:rPr>
        <w:color w:val="000000" w:themeColor="text1"/>
      </w:rPr>
    </w:tblStylePr>
    <w:tblStylePr w:type="nwCell">
      <w:rPr>
        <w:color w:val="000000" w:themeColor="text1"/>
      </w:rPr>
    </w:tblStylePr>
  </w:style>
  <w:style w:type="table" w:styleId="Temenseznam">
    <w:name w:val="Dark List"/>
    <w:basedOn w:val="Navadnatabela"/>
    <w:uiPriority w:val="99"/>
    <w:semiHidden/>
    <w:rsid w:val="00014566"/>
    <w:rPr>
      <w:color w:val="0072BC" w:themeColor="background1"/>
      <w:lang w:val="fr-FR" w:eastAsia="fr-FR"/>
    </w:rPr>
    <w:tblPr>
      <w:tblStyleRowBandSize w:val="1"/>
      <w:tblStyleColBandSize w:val="1"/>
    </w:tblPr>
    <w:tcPr>
      <w:shd w:val="clear" w:color="auto" w:fill="000000" w:themeFill="text1"/>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0072BC" w:themeColor="background1"/>
          <w:insideH w:val="nil"/>
          <w:insideV w:val="nil"/>
        </w:tcBorders>
        <w:shd w:val="clear" w:color="auto" w:fill="000000" w:themeFill="text1" w:themeFillShade="BF"/>
      </w:tcPr>
    </w:tblStylePr>
    <w:tblStylePr w:type="lastCol">
      <w:tblPr/>
      <w:tcPr>
        <w:tcBorders>
          <w:top w:val="nil"/>
          <w:left w:val="single" w:sz="18" w:space="0" w:color="0072BC"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Temenseznampoudarek1">
    <w:name w:val="Dark List Accent 1"/>
    <w:basedOn w:val="Navadnatabela"/>
    <w:uiPriority w:val="99"/>
    <w:semiHidden/>
    <w:rsid w:val="00014566"/>
    <w:rPr>
      <w:color w:val="0072BC" w:themeColor="background1"/>
      <w:lang w:val="fr-FR" w:eastAsia="fr-FR"/>
    </w:rPr>
    <w:tblPr>
      <w:tblStyleRowBandSize w:val="1"/>
      <w:tblStyleColBandSize w:val="1"/>
    </w:tblPr>
    <w:tcPr>
      <w:shd w:val="clear" w:color="auto" w:fill="0072BC" w:themeFill="accent1"/>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00385D" w:themeFill="accent1" w:themeFillShade="7F"/>
      </w:tcPr>
    </w:tblStylePr>
    <w:tblStylePr w:type="firstCol">
      <w:tblPr/>
      <w:tcPr>
        <w:tcBorders>
          <w:top w:val="nil"/>
          <w:left w:val="nil"/>
          <w:bottom w:val="nil"/>
          <w:right w:val="single" w:sz="18" w:space="0" w:color="0072BC" w:themeColor="background1"/>
          <w:insideH w:val="nil"/>
          <w:insideV w:val="nil"/>
        </w:tcBorders>
        <w:shd w:val="clear" w:color="auto" w:fill="00548C" w:themeFill="accent1" w:themeFillShade="BF"/>
      </w:tcPr>
    </w:tblStylePr>
    <w:tblStylePr w:type="lastCol">
      <w:tblPr/>
      <w:tcPr>
        <w:tcBorders>
          <w:top w:val="nil"/>
          <w:left w:val="single" w:sz="18" w:space="0" w:color="0072BC" w:themeColor="background1"/>
          <w:bottom w:val="nil"/>
          <w:right w:val="nil"/>
          <w:insideH w:val="nil"/>
          <w:insideV w:val="nil"/>
        </w:tcBorders>
        <w:shd w:val="clear" w:color="auto" w:fill="00548C" w:themeFill="accent1" w:themeFillShade="BF"/>
      </w:tcPr>
    </w:tblStylePr>
    <w:tblStylePr w:type="band1Vert">
      <w:tblPr/>
      <w:tcPr>
        <w:tcBorders>
          <w:top w:val="nil"/>
          <w:left w:val="nil"/>
          <w:bottom w:val="nil"/>
          <w:right w:val="nil"/>
          <w:insideH w:val="nil"/>
          <w:insideV w:val="nil"/>
        </w:tcBorders>
        <w:shd w:val="clear" w:color="auto" w:fill="00548C" w:themeFill="accent1" w:themeFillShade="BF"/>
      </w:tcPr>
    </w:tblStylePr>
    <w:tblStylePr w:type="band1Horz">
      <w:tblPr/>
      <w:tcPr>
        <w:tcBorders>
          <w:top w:val="nil"/>
          <w:left w:val="nil"/>
          <w:bottom w:val="nil"/>
          <w:right w:val="nil"/>
          <w:insideH w:val="nil"/>
          <w:insideV w:val="nil"/>
        </w:tcBorders>
        <w:shd w:val="clear" w:color="auto" w:fill="00548C" w:themeFill="accent1" w:themeFillShade="BF"/>
      </w:tcPr>
    </w:tblStylePr>
  </w:style>
  <w:style w:type="table" w:styleId="Temenseznampoudarek2">
    <w:name w:val="Dark List Accent 2"/>
    <w:basedOn w:val="Navadnatabela"/>
    <w:uiPriority w:val="99"/>
    <w:semiHidden/>
    <w:rsid w:val="00014566"/>
    <w:rPr>
      <w:color w:val="0072BC" w:themeColor="background1"/>
      <w:lang w:val="fr-FR" w:eastAsia="fr-FR"/>
    </w:rPr>
    <w:tblPr>
      <w:tblStyleRowBandSize w:val="1"/>
      <w:tblStyleColBandSize w:val="1"/>
    </w:tblPr>
    <w:tcPr>
      <w:shd w:val="clear" w:color="auto" w:fill="C00000" w:themeFill="accent2"/>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5F0000" w:themeFill="accent2" w:themeFillShade="7F"/>
      </w:tcPr>
    </w:tblStylePr>
    <w:tblStylePr w:type="firstCol">
      <w:tblPr/>
      <w:tcPr>
        <w:tcBorders>
          <w:top w:val="nil"/>
          <w:left w:val="nil"/>
          <w:bottom w:val="nil"/>
          <w:right w:val="single" w:sz="18" w:space="0" w:color="0072BC" w:themeColor="background1"/>
          <w:insideH w:val="nil"/>
          <w:insideV w:val="nil"/>
        </w:tcBorders>
        <w:shd w:val="clear" w:color="auto" w:fill="8F0000" w:themeFill="accent2" w:themeFillShade="BF"/>
      </w:tcPr>
    </w:tblStylePr>
    <w:tblStylePr w:type="lastCol">
      <w:tblPr/>
      <w:tcPr>
        <w:tcBorders>
          <w:top w:val="nil"/>
          <w:left w:val="single" w:sz="18" w:space="0" w:color="0072BC" w:themeColor="background1"/>
          <w:bottom w:val="nil"/>
          <w:right w:val="nil"/>
          <w:insideH w:val="nil"/>
          <w:insideV w:val="nil"/>
        </w:tcBorders>
        <w:shd w:val="clear" w:color="auto" w:fill="8F0000" w:themeFill="accent2" w:themeFillShade="BF"/>
      </w:tcPr>
    </w:tblStylePr>
    <w:tblStylePr w:type="band1Vert">
      <w:tblPr/>
      <w:tcPr>
        <w:tcBorders>
          <w:top w:val="nil"/>
          <w:left w:val="nil"/>
          <w:bottom w:val="nil"/>
          <w:right w:val="nil"/>
          <w:insideH w:val="nil"/>
          <w:insideV w:val="nil"/>
        </w:tcBorders>
        <w:shd w:val="clear" w:color="auto" w:fill="8F0000" w:themeFill="accent2" w:themeFillShade="BF"/>
      </w:tcPr>
    </w:tblStylePr>
    <w:tblStylePr w:type="band1Horz">
      <w:tblPr/>
      <w:tcPr>
        <w:tcBorders>
          <w:top w:val="nil"/>
          <w:left w:val="nil"/>
          <w:bottom w:val="nil"/>
          <w:right w:val="nil"/>
          <w:insideH w:val="nil"/>
          <w:insideV w:val="nil"/>
        </w:tcBorders>
        <w:shd w:val="clear" w:color="auto" w:fill="8F0000" w:themeFill="accent2" w:themeFillShade="BF"/>
      </w:tcPr>
    </w:tblStylePr>
  </w:style>
  <w:style w:type="table" w:styleId="Temenseznampoudarek3">
    <w:name w:val="Dark List Accent 3"/>
    <w:basedOn w:val="Navadnatabela"/>
    <w:uiPriority w:val="99"/>
    <w:semiHidden/>
    <w:rsid w:val="00014566"/>
    <w:rPr>
      <w:color w:val="0072BC" w:themeColor="background1"/>
      <w:lang w:val="fr-FR" w:eastAsia="fr-FR"/>
    </w:rPr>
    <w:tblPr>
      <w:tblStyleRowBandSize w:val="1"/>
      <w:tblStyleColBandSize w:val="1"/>
    </w:tblPr>
    <w:tcPr>
      <w:shd w:val="clear" w:color="auto" w:fill="5F5F5F" w:themeFill="accent3"/>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2F2F2F" w:themeFill="accent3" w:themeFillShade="7F"/>
      </w:tcPr>
    </w:tblStylePr>
    <w:tblStylePr w:type="firstCol">
      <w:tblPr/>
      <w:tcPr>
        <w:tcBorders>
          <w:top w:val="nil"/>
          <w:left w:val="nil"/>
          <w:bottom w:val="nil"/>
          <w:right w:val="single" w:sz="18" w:space="0" w:color="0072BC" w:themeColor="background1"/>
          <w:insideH w:val="nil"/>
          <w:insideV w:val="nil"/>
        </w:tcBorders>
        <w:shd w:val="clear" w:color="auto" w:fill="474747" w:themeFill="accent3" w:themeFillShade="BF"/>
      </w:tcPr>
    </w:tblStylePr>
    <w:tblStylePr w:type="lastCol">
      <w:tblPr/>
      <w:tcPr>
        <w:tcBorders>
          <w:top w:val="nil"/>
          <w:left w:val="single" w:sz="18" w:space="0" w:color="0072BC" w:themeColor="background1"/>
          <w:bottom w:val="nil"/>
          <w:right w:val="nil"/>
          <w:insideH w:val="nil"/>
          <w:insideV w:val="nil"/>
        </w:tcBorders>
        <w:shd w:val="clear" w:color="auto" w:fill="474747" w:themeFill="accent3" w:themeFillShade="BF"/>
      </w:tcPr>
    </w:tblStylePr>
    <w:tblStylePr w:type="band1Vert">
      <w:tblPr/>
      <w:tcPr>
        <w:tcBorders>
          <w:top w:val="nil"/>
          <w:left w:val="nil"/>
          <w:bottom w:val="nil"/>
          <w:right w:val="nil"/>
          <w:insideH w:val="nil"/>
          <w:insideV w:val="nil"/>
        </w:tcBorders>
        <w:shd w:val="clear" w:color="auto" w:fill="474747" w:themeFill="accent3" w:themeFillShade="BF"/>
      </w:tcPr>
    </w:tblStylePr>
    <w:tblStylePr w:type="band1Horz">
      <w:tblPr/>
      <w:tcPr>
        <w:tcBorders>
          <w:top w:val="nil"/>
          <w:left w:val="nil"/>
          <w:bottom w:val="nil"/>
          <w:right w:val="nil"/>
          <w:insideH w:val="nil"/>
          <w:insideV w:val="nil"/>
        </w:tcBorders>
        <w:shd w:val="clear" w:color="auto" w:fill="474747" w:themeFill="accent3" w:themeFillShade="BF"/>
      </w:tcPr>
    </w:tblStylePr>
  </w:style>
  <w:style w:type="table" w:styleId="Temenseznampoudarek4">
    <w:name w:val="Dark List Accent 4"/>
    <w:basedOn w:val="Navadnatabela"/>
    <w:uiPriority w:val="99"/>
    <w:semiHidden/>
    <w:rsid w:val="00014566"/>
    <w:rPr>
      <w:color w:val="0072BC" w:themeColor="background1"/>
      <w:lang w:val="fr-FR" w:eastAsia="fr-FR"/>
    </w:rPr>
    <w:tblPr>
      <w:tblStyleRowBandSize w:val="1"/>
      <w:tblStyleColBandSize w:val="1"/>
    </w:tblPr>
    <w:tcPr>
      <w:shd w:val="clear" w:color="auto" w:fill="969696" w:themeFill="accent4"/>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4A4A4A" w:themeFill="accent4" w:themeFillShade="7F"/>
      </w:tcPr>
    </w:tblStylePr>
    <w:tblStylePr w:type="firstCol">
      <w:tblPr/>
      <w:tcPr>
        <w:tcBorders>
          <w:top w:val="nil"/>
          <w:left w:val="nil"/>
          <w:bottom w:val="nil"/>
          <w:right w:val="single" w:sz="18" w:space="0" w:color="0072BC" w:themeColor="background1"/>
          <w:insideH w:val="nil"/>
          <w:insideV w:val="nil"/>
        </w:tcBorders>
        <w:shd w:val="clear" w:color="auto" w:fill="707070" w:themeFill="accent4" w:themeFillShade="BF"/>
      </w:tcPr>
    </w:tblStylePr>
    <w:tblStylePr w:type="lastCol">
      <w:tblPr/>
      <w:tcPr>
        <w:tcBorders>
          <w:top w:val="nil"/>
          <w:left w:val="single" w:sz="18" w:space="0" w:color="0072BC" w:themeColor="background1"/>
          <w:bottom w:val="nil"/>
          <w:right w:val="nil"/>
          <w:insideH w:val="nil"/>
          <w:insideV w:val="nil"/>
        </w:tcBorders>
        <w:shd w:val="clear" w:color="auto" w:fill="707070" w:themeFill="accent4" w:themeFillShade="BF"/>
      </w:tcPr>
    </w:tblStylePr>
    <w:tblStylePr w:type="band1Vert">
      <w:tblPr/>
      <w:tcPr>
        <w:tcBorders>
          <w:top w:val="nil"/>
          <w:left w:val="nil"/>
          <w:bottom w:val="nil"/>
          <w:right w:val="nil"/>
          <w:insideH w:val="nil"/>
          <w:insideV w:val="nil"/>
        </w:tcBorders>
        <w:shd w:val="clear" w:color="auto" w:fill="707070" w:themeFill="accent4" w:themeFillShade="BF"/>
      </w:tcPr>
    </w:tblStylePr>
    <w:tblStylePr w:type="band1Horz">
      <w:tblPr/>
      <w:tcPr>
        <w:tcBorders>
          <w:top w:val="nil"/>
          <w:left w:val="nil"/>
          <w:bottom w:val="nil"/>
          <w:right w:val="nil"/>
          <w:insideH w:val="nil"/>
          <w:insideV w:val="nil"/>
        </w:tcBorders>
        <w:shd w:val="clear" w:color="auto" w:fill="707070" w:themeFill="accent4" w:themeFillShade="BF"/>
      </w:tcPr>
    </w:tblStylePr>
  </w:style>
  <w:style w:type="table" w:styleId="Temenseznampoudarek5">
    <w:name w:val="Dark List Accent 5"/>
    <w:basedOn w:val="Navadnatabela"/>
    <w:uiPriority w:val="99"/>
    <w:semiHidden/>
    <w:rsid w:val="00014566"/>
    <w:rPr>
      <w:color w:val="0072BC" w:themeColor="background1"/>
      <w:lang w:val="fr-FR" w:eastAsia="fr-FR"/>
    </w:rPr>
    <w:tblPr>
      <w:tblStyleRowBandSize w:val="1"/>
      <w:tblStyleColBandSize w:val="1"/>
    </w:tblPr>
    <w:tcPr>
      <w:shd w:val="clear" w:color="auto" w:fill="5F5F5F" w:themeFill="accent5"/>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2F2F2F" w:themeFill="accent5" w:themeFillShade="7F"/>
      </w:tcPr>
    </w:tblStylePr>
    <w:tblStylePr w:type="firstCol">
      <w:tblPr/>
      <w:tcPr>
        <w:tcBorders>
          <w:top w:val="nil"/>
          <w:left w:val="nil"/>
          <w:bottom w:val="nil"/>
          <w:right w:val="single" w:sz="18" w:space="0" w:color="0072BC" w:themeColor="background1"/>
          <w:insideH w:val="nil"/>
          <w:insideV w:val="nil"/>
        </w:tcBorders>
        <w:shd w:val="clear" w:color="auto" w:fill="474747" w:themeFill="accent5" w:themeFillShade="BF"/>
      </w:tcPr>
    </w:tblStylePr>
    <w:tblStylePr w:type="lastCol">
      <w:tblPr/>
      <w:tcPr>
        <w:tcBorders>
          <w:top w:val="nil"/>
          <w:left w:val="single" w:sz="18" w:space="0" w:color="0072BC" w:themeColor="background1"/>
          <w:bottom w:val="nil"/>
          <w:right w:val="nil"/>
          <w:insideH w:val="nil"/>
          <w:insideV w:val="nil"/>
        </w:tcBorders>
        <w:shd w:val="clear" w:color="auto" w:fill="474747" w:themeFill="accent5" w:themeFillShade="BF"/>
      </w:tcPr>
    </w:tblStylePr>
    <w:tblStylePr w:type="band1Vert">
      <w:tblPr/>
      <w:tcPr>
        <w:tcBorders>
          <w:top w:val="nil"/>
          <w:left w:val="nil"/>
          <w:bottom w:val="nil"/>
          <w:right w:val="nil"/>
          <w:insideH w:val="nil"/>
          <w:insideV w:val="nil"/>
        </w:tcBorders>
        <w:shd w:val="clear" w:color="auto" w:fill="474747" w:themeFill="accent5" w:themeFillShade="BF"/>
      </w:tcPr>
    </w:tblStylePr>
    <w:tblStylePr w:type="band1Horz">
      <w:tblPr/>
      <w:tcPr>
        <w:tcBorders>
          <w:top w:val="nil"/>
          <w:left w:val="nil"/>
          <w:bottom w:val="nil"/>
          <w:right w:val="nil"/>
          <w:insideH w:val="nil"/>
          <w:insideV w:val="nil"/>
        </w:tcBorders>
        <w:shd w:val="clear" w:color="auto" w:fill="474747" w:themeFill="accent5" w:themeFillShade="BF"/>
      </w:tcPr>
    </w:tblStylePr>
  </w:style>
  <w:style w:type="table" w:styleId="Temenseznampoudarek6">
    <w:name w:val="Dark List Accent 6"/>
    <w:basedOn w:val="Navadnatabela"/>
    <w:uiPriority w:val="99"/>
    <w:semiHidden/>
    <w:rsid w:val="00014566"/>
    <w:rPr>
      <w:color w:val="0072BC" w:themeColor="background1"/>
      <w:lang w:val="fr-FR" w:eastAsia="fr-FR"/>
    </w:rPr>
    <w:tblPr>
      <w:tblStyleRowBandSize w:val="1"/>
      <w:tblStyleColBandSize w:val="1"/>
    </w:tblPr>
    <w:tcPr>
      <w:shd w:val="clear" w:color="auto" w:fill="4D4D4D" w:themeFill="accent6"/>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262626" w:themeFill="accent6" w:themeFillShade="7F"/>
      </w:tcPr>
    </w:tblStylePr>
    <w:tblStylePr w:type="firstCol">
      <w:tblPr/>
      <w:tcPr>
        <w:tcBorders>
          <w:top w:val="nil"/>
          <w:left w:val="nil"/>
          <w:bottom w:val="nil"/>
          <w:right w:val="single" w:sz="18" w:space="0" w:color="0072BC" w:themeColor="background1"/>
          <w:insideH w:val="nil"/>
          <w:insideV w:val="nil"/>
        </w:tcBorders>
        <w:shd w:val="clear" w:color="auto" w:fill="393939" w:themeFill="accent6" w:themeFillShade="BF"/>
      </w:tcPr>
    </w:tblStylePr>
    <w:tblStylePr w:type="lastCol">
      <w:tblPr/>
      <w:tcPr>
        <w:tcBorders>
          <w:top w:val="nil"/>
          <w:left w:val="single" w:sz="18" w:space="0" w:color="0072BC" w:themeColor="background1"/>
          <w:bottom w:val="nil"/>
          <w:right w:val="nil"/>
          <w:insideH w:val="nil"/>
          <w:insideV w:val="nil"/>
        </w:tcBorders>
        <w:shd w:val="clear" w:color="auto" w:fill="393939" w:themeFill="accent6" w:themeFillShade="BF"/>
      </w:tcPr>
    </w:tblStylePr>
    <w:tblStylePr w:type="band1Vert">
      <w:tblPr/>
      <w:tcPr>
        <w:tcBorders>
          <w:top w:val="nil"/>
          <w:left w:val="nil"/>
          <w:bottom w:val="nil"/>
          <w:right w:val="nil"/>
          <w:insideH w:val="nil"/>
          <w:insideV w:val="nil"/>
        </w:tcBorders>
        <w:shd w:val="clear" w:color="auto" w:fill="393939" w:themeFill="accent6" w:themeFillShade="BF"/>
      </w:tcPr>
    </w:tblStylePr>
    <w:tblStylePr w:type="band1Horz">
      <w:tblPr/>
      <w:tcPr>
        <w:tcBorders>
          <w:top w:val="nil"/>
          <w:left w:val="nil"/>
          <w:bottom w:val="nil"/>
          <w:right w:val="nil"/>
          <w:insideH w:val="nil"/>
          <w:insideV w:val="nil"/>
        </w:tcBorders>
        <w:shd w:val="clear" w:color="auto" w:fill="393939" w:themeFill="accent6" w:themeFillShade="BF"/>
      </w:tcPr>
    </w:tblStylePr>
  </w:style>
  <w:style w:type="paragraph" w:styleId="Datum">
    <w:name w:val="Date"/>
    <w:basedOn w:val="Navaden"/>
    <w:next w:val="Navaden"/>
    <w:link w:val="DatumZnak"/>
    <w:uiPriority w:val="99"/>
    <w:semiHidden/>
    <w:rsid w:val="00014566"/>
  </w:style>
  <w:style w:type="character" w:customStyle="1" w:styleId="DatumZnak">
    <w:name w:val="Datum Znak"/>
    <w:basedOn w:val="Privzetapisavaodstavka"/>
    <w:link w:val="Datum"/>
    <w:uiPriority w:val="99"/>
    <w:semiHidden/>
    <w:rsid w:val="00014566"/>
    <w:rPr>
      <w:rFonts w:eastAsiaTheme="minorEastAsia"/>
      <w:sz w:val="24"/>
    </w:rPr>
  </w:style>
  <w:style w:type="paragraph" w:styleId="E-potnipodpis">
    <w:name w:val="E-mail Signature"/>
    <w:basedOn w:val="Navaden"/>
    <w:link w:val="E-potnipodpisZnak"/>
    <w:uiPriority w:val="99"/>
    <w:semiHidden/>
    <w:rsid w:val="00014566"/>
  </w:style>
  <w:style w:type="character" w:customStyle="1" w:styleId="E-potnipodpisZnak">
    <w:name w:val="E-poštni podpis Znak"/>
    <w:basedOn w:val="Privzetapisavaodstavka"/>
    <w:link w:val="E-potnipodpis"/>
    <w:uiPriority w:val="99"/>
    <w:semiHidden/>
    <w:rsid w:val="00014566"/>
    <w:rPr>
      <w:rFonts w:eastAsiaTheme="minorEastAsia"/>
      <w:sz w:val="24"/>
    </w:rPr>
  </w:style>
  <w:style w:type="paragraph" w:styleId="Naslovnaslovnika">
    <w:name w:val="envelope address"/>
    <w:basedOn w:val="Navaden"/>
    <w:uiPriority w:val="99"/>
    <w:semiHidden/>
    <w:rsid w:val="00014566"/>
    <w:pPr>
      <w:framePr w:w="7938" w:h="1985" w:hRule="exact" w:hSpace="141" w:wrap="auto" w:hAnchor="page" w:xAlign="center" w:yAlign="bottom"/>
      <w:ind w:left="2835"/>
    </w:pPr>
    <w:rPr>
      <w:rFonts w:asciiTheme="majorHAnsi" w:eastAsiaTheme="majorEastAsia" w:hAnsiTheme="majorHAnsi" w:cstheme="majorBidi"/>
      <w:szCs w:val="24"/>
    </w:rPr>
  </w:style>
  <w:style w:type="paragraph" w:styleId="Naslovpoiljatelja">
    <w:name w:val="envelope return"/>
    <w:basedOn w:val="Navaden"/>
    <w:uiPriority w:val="99"/>
    <w:semiHidden/>
    <w:rsid w:val="00014566"/>
    <w:rPr>
      <w:rFonts w:asciiTheme="majorHAnsi" w:eastAsiaTheme="majorEastAsia" w:hAnsiTheme="majorHAnsi" w:cstheme="majorBidi"/>
      <w:sz w:val="20"/>
      <w:szCs w:val="20"/>
    </w:rPr>
  </w:style>
  <w:style w:type="character" w:styleId="HTML-kratica">
    <w:name w:val="HTML Acronym"/>
    <w:basedOn w:val="Privzetapisavaodstavka"/>
    <w:uiPriority w:val="99"/>
    <w:semiHidden/>
    <w:rsid w:val="00014566"/>
  </w:style>
  <w:style w:type="paragraph" w:styleId="HTMLnaslov">
    <w:name w:val="HTML Address"/>
    <w:basedOn w:val="Navaden"/>
    <w:link w:val="HTMLnaslovZnak"/>
    <w:uiPriority w:val="99"/>
    <w:semiHidden/>
    <w:rsid w:val="00014566"/>
    <w:rPr>
      <w:i/>
      <w:iCs/>
    </w:rPr>
  </w:style>
  <w:style w:type="character" w:customStyle="1" w:styleId="HTMLnaslovZnak">
    <w:name w:val="HTML naslov Znak"/>
    <w:basedOn w:val="Privzetapisavaodstavka"/>
    <w:link w:val="HTMLnaslov"/>
    <w:uiPriority w:val="99"/>
    <w:semiHidden/>
    <w:rsid w:val="00014566"/>
    <w:rPr>
      <w:rFonts w:eastAsiaTheme="minorEastAsia"/>
      <w:i/>
      <w:iCs/>
      <w:sz w:val="24"/>
    </w:rPr>
  </w:style>
  <w:style w:type="character" w:styleId="HTML-citat">
    <w:name w:val="HTML Cite"/>
    <w:basedOn w:val="Privzetapisavaodstavka"/>
    <w:uiPriority w:val="99"/>
    <w:semiHidden/>
    <w:rsid w:val="00014566"/>
    <w:rPr>
      <w:i/>
      <w:iCs/>
    </w:rPr>
  </w:style>
  <w:style w:type="character" w:styleId="KodaHTML">
    <w:name w:val="HTML Code"/>
    <w:basedOn w:val="Privzetapisavaodstavka"/>
    <w:uiPriority w:val="99"/>
    <w:semiHidden/>
    <w:rsid w:val="00014566"/>
    <w:rPr>
      <w:rFonts w:ascii="Consolas" w:hAnsi="Consolas" w:cs="Consolas"/>
      <w:sz w:val="20"/>
      <w:szCs w:val="20"/>
    </w:rPr>
  </w:style>
  <w:style w:type="character" w:styleId="DefinicijaHTML">
    <w:name w:val="HTML Definition"/>
    <w:basedOn w:val="Privzetapisavaodstavka"/>
    <w:uiPriority w:val="99"/>
    <w:semiHidden/>
    <w:rsid w:val="00014566"/>
    <w:rPr>
      <w:i/>
      <w:iCs/>
    </w:rPr>
  </w:style>
  <w:style w:type="character" w:styleId="HTML-tipkovnica">
    <w:name w:val="HTML Keyboard"/>
    <w:basedOn w:val="Privzetapisavaodstavka"/>
    <w:uiPriority w:val="99"/>
    <w:semiHidden/>
    <w:rsid w:val="00014566"/>
    <w:rPr>
      <w:rFonts w:ascii="Consolas" w:hAnsi="Consolas" w:cs="Consolas"/>
      <w:sz w:val="20"/>
      <w:szCs w:val="20"/>
    </w:rPr>
  </w:style>
  <w:style w:type="paragraph" w:styleId="HTML-oblikovano">
    <w:name w:val="HTML Preformatted"/>
    <w:basedOn w:val="Navaden"/>
    <w:link w:val="HTML-oblikovanoZnak"/>
    <w:uiPriority w:val="99"/>
    <w:semiHidden/>
    <w:rsid w:val="00014566"/>
    <w:rPr>
      <w:rFonts w:ascii="Consolas" w:hAnsi="Consolas" w:cs="Consolas"/>
      <w:sz w:val="20"/>
      <w:szCs w:val="20"/>
    </w:rPr>
  </w:style>
  <w:style w:type="character" w:customStyle="1" w:styleId="HTML-oblikovanoZnak">
    <w:name w:val="HTML-oblikovano Znak"/>
    <w:basedOn w:val="Privzetapisavaodstavka"/>
    <w:link w:val="HTML-oblikovano"/>
    <w:uiPriority w:val="99"/>
    <w:semiHidden/>
    <w:rsid w:val="00014566"/>
    <w:rPr>
      <w:rFonts w:ascii="Consolas" w:eastAsiaTheme="minorEastAsia" w:hAnsi="Consolas" w:cs="Consolas"/>
      <w:sz w:val="20"/>
      <w:szCs w:val="20"/>
    </w:rPr>
  </w:style>
  <w:style w:type="character" w:styleId="HTMLvzorec">
    <w:name w:val="HTML Sample"/>
    <w:basedOn w:val="Privzetapisavaodstavka"/>
    <w:uiPriority w:val="99"/>
    <w:semiHidden/>
    <w:rsid w:val="00014566"/>
    <w:rPr>
      <w:rFonts w:ascii="Consolas" w:hAnsi="Consolas" w:cs="Consolas"/>
      <w:sz w:val="24"/>
      <w:szCs w:val="24"/>
    </w:rPr>
  </w:style>
  <w:style w:type="character" w:styleId="HTMLpisalnistroj">
    <w:name w:val="HTML Typewriter"/>
    <w:basedOn w:val="Privzetapisavaodstavka"/>
    <w:uiPriority w:val="99"/>
    <w:semiHidden/>
    <w:rsid w:val="00014566"/>
    <w:rPr>
      <w:rFonts w:ascii="Consolas" w:hAnsi="Consolas" w:cs="Consolas"/>
      <w:sz w:val="20"/>
      <w:szCs w:val="20"/>
    </w:rPr>
  </w:style>
  <w:style w:type="character" w:styleId="HTMLspremenljivka">
    <w:name w:val="HTML Variable"/>
    <w:basedOn w:val="Privzetapisavaodstavka"/>
    <w:uiPriority w:val="99"/>
    <w:semiHidden/>
    <w:rsid w:val="00014566"/>
    <w:rPr>
      <w:i/>
      <w:iCs/>
    </w:rPr>
  </w:style>
  <w:style w:type="paragraph" w:styleId="Stvarnokazalo1">
    <w:name w:val="index 1"/>
    <w:basedOn w:val="Navaden"/>
    <w:next w:val="Navaden"/>
    <w:autoRedefine/>
    <w:uiPriority w:val="99"/>
    <w:semiHidden/>
    <w:rsid w:val="00014566"/>
    <w:pPr>
      <w:ind w:left="240" w:hanging="240"/>
    </w:pPr>
  </w:style>
  <w:style w:type="paragraph" w:styleId="Stvarnokazalo2">
    <w:name w:val="index 2"/>
    <w:basedOn w:val="Navaden"/>
    <w:next w:val="Navaden"/>
    <w:autoRedefine/>
    <w:uiPriority w:val="99"/>
    <w:semiHidden/>
    <w:rsid w:val="00014566"/>
    <w:pPr>
      <w:ind w:left="480" w:hanging="240"/>
    </w:pPr>
  </w:style>
  <w:style w:type="paragraph" w:styleId="Stvarnokazalo3">
    <w:name w:val="index 3"/>
    <w:basedOn w:val="Navaden"/>
    <w:next w:val="Navaden"/>
    <w:autoRedefine/>
    <w:uiPriority w:val="99"/>
    <w:semiHidden/>
    <w:rsid w:val="00014566"/>
    <w:pPr>
      <w:ind w:left="720" w:hanging="240"/>
    </w:pPr>
  </w:style>
  <w:style w:type="paragraph" w:styleId="Stvarnokazalo4">
    <w:name w:val="index 4"/>
    <w:basedOn w:val="Navaden"/>
    <w:next w:val="Navaden"/>
    <w:autoRedefine/>
    <w:uiPriority w:val="99"/>
    <w:semiHidden/>
    <w:rsid w:val="00014566"/>
    <w:pPr>
      <w:ind w:left="960" w:hanging="240"/>
    </w:pPr>
  </w:style>
  <w:style w:type="paragraph" w:styleId="Stvarnokazalo5">
    <w:name w:val="index 5"/>
    <w:basedOn w:val="Navaden"/>
    <w:next w:val="Navaden"/>
    <w:autoRedefine/>
    <w:uiPriority w:val="99"/>
    <w:semiHidden/>
    <w:rsid w:val="00014566"/>
    <w:pPr>
      <w:ind w:left="1200" w:hanging="240"/>
    </w:pPr>
  </w:style>
  <w:style w:type="paragraph" w:styleId="Stvarnokazalo6">
    <w:name w:val="index 6"/>
    <w:basedOn w:val="Navaden"/>
    <w:next w:val="Navaden"/>
    <w:autoRedefine/>
    <w:uiPriority w:val="99"/>
    <w:semiHidden/>
    <w:rsid w:val="00014566"/>
    <w:pPr>
      <w:ind w:left="1440" w:hanging="240"/>
    </w:pPr>
  </w:style>
  <w:style w:type="paragraph" w:styleId="Stvarnokazalo7">
    <w:name w:val="index 7"/>
    <w:basedOn w:val="Navaden"/>
    <w:next w:val="Navaden"/>
    <w:autoRedefine/>
    <w:uiPriority w:val="99"/>
    <w:semiHidden/>
    <w:rsid w:val="00014566"/>
    <w:pPr>
      <w:ind w:left="1680" w:hanging="240"/>
    </w:pPr>
  </w:style>
  <w:style w:type="paragraph" w:styleId="Stvarnokazalo8">
    <w:name w:val="index 8"/>
    <w:basedOn w:val="Navaden"/>
    <w:next w:val="Navaden"/>
    <w:autoRedefine/>
    <w:uiPriority w:val="99"/>
    <w:semiHidden/>
    <w:rsid w:val="00014566"/>
    <w:pPr>
      <w:ind w:left="1920" w:hanging="240"/>
    </w:pPr>
  </w:style>
  <w:style w:type="paragraph" w:styleId="Stvarnokazalo9">
    <w:name w:val="index 9"/>
    <w:basedOn w:val="Navaden"/>
    <w:next w:val="Navaden"/>
    <w:autoRedefine/>
    <w:uiPriority w:val="99"/>
    <w:semiHidden/>
    <w:rsid w:val="00014566"/>
    <w:pPr>
      <w:ind w:left="2160" w:hanging="240"/>
    </w:pPr>
  </w:style>
  <w:style w:type="paragraph" w:styleId="Stvarnokazalo-naslov">
    <w:name w:val="index heading"/>
    <w:basedOn w:val="Navaden"/>
    <w:next w:val="Stvarnokazalo1"/>
    <w:uiPriority w:val="99"/>
    <w:semiHidden/>
    <w:rsid w:val="00014566"/>
    <w:rPr>
      <w:rFonts w:asciiTheme="majorHAnsi" w:eastAsiaTheme="majorEastAsia" w:hAnsiTheme="majorHAnsi" w:cstheme="majorBidi"/>
      <w:b/>
      <w:bCs/>
    </w:rPr>
  </w:style>
  <w:style w:type="table" w:styleId="Svetlamrea">
    <w:name w:val="Light Grid"/>
    <w:basedOn w:val="Navadnatabela"/>
    <w:uiPriority w:val="99"/>
    <w:semiHidden/>
    <w:rsid w:val="00014566"/>
    <w:rPr>
      <w:lang w:val="fr-FR" w:eastAsia="fr-FR"/>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Svetlamreapoudarek1">
    <w:name w:val="Light Grid Accent 1"/>
    <w:basedOn w:val="Navadnatabela"/>
    <w:uiPriority w:val="99"/>
    <w:semiHidden/>
    <w:rsid w:val="00014566"/>
    <w:rPr>
      <w:lang w:val="fr-FR" w:eastAsia="fr-FR"/>
    </w:rPr>
    <w:tblPr>
      <w:tblStyleRowBandSize w:val="1"/>
      <w:tblStyleColBandSize w:val="1"/>
      <w:tblBorders>
        <w:top w:val="single" w:sz="8" w:space="0" w:color="0072BC" w:themeColor="accent1"/>
        <w:left w:val="single" w:sz="8" w:space="0" w:color="0072BC" w:themeColor="accent1"/>
        <w:bottom w:val="single" w:sz="8" w:space="0" w:color="0072BC" w:themeColor="accent1"/>
        <w:right w:val="single" w:sz="8" w:space="0" w:color="0072BC" w:themeColor="accent1"/>
        <w:insideH w:val="single" w:sz="8" w:space="0" w:color="0072BC" w:themeColor="accent1"/>
        <w:insideV w:val="single" w:sz="8" w:space="0" w:color="0072BC"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72BC" w:themeColor="accent1"/>
          <w:left w:val="single" w:sz="8" w:space="0" w:color="0072BC" w:themeColor="accent1"/>
          <w:bottom w:val="single" w:sz="18" w:space="0" w:color="0072BC" w:themeColor="accent1"/>
          <w:right w:val="single" w:sz="8" w:space="0" w:color="0072BC" w:themeColor="accent1"/>
          <w:insideH w:val="nil"/>
          <w:insideV w:val="single" w:sz="8" w:space="0" w:color="0072BC"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72BC" w:themeColor="accent1"/>
          <w:left w:val="single" w:sz="8" w:space="0" w:color="0072BC" w:themeColor="accent1"/>
          <w:bottom w:val="single" w:sz="8" w:space="0" w:color="0072BC" w:themeColor="accent1"/>
          <w:right w:val="single" w:sz="8" w:space="0" w:color="0072BC" w:themeColor="accent1"/>
          <w:insideH w:val="nil"/>
          <w:insideV w:val="single" w:sz="8" w:space="0" w:color="0072BC"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72BC" w:themeColor="accent1"/>
          <w:left w:val="single" w:sz="8" w:space="0" w:color="0072BC" w:themeColor="accent1"/>
          <w:bottom w:val="single" w:sz="8" w:space="0" w:color="0072BC" w:themeColor="accent1"/>
          <w:right w:val="single" w:sz="8" w:space="0" w:color="0072BC" w:themeColor="accent1"/>
        </w:tcBorders>
      </w:tcPr>
    </w:tblStylePr>
    <w:tblStylePr w:type="band1Vert">
      <w:tblPr/>
      <w:tcPr>
        <w:tcBorders>
          <w:top w:val="single" w:sz="8" w:space="0" w:color="0072BC" w:themeColor="accent1"/>
          <w:left w:val="single" w:sz="8" w:space="0" w:color="0072BC" w:themeColor="accent1"/>
          <w:bottom w:val="single" w:sz="8" w:space="0" w:color="0072BC" w:themeColor="accent1"/>
          <w:right w:val="single" w:sz="8" w:space="0" w:color="0072BC" w:themeColor="accent1"/>
        </w:tcBorders>
        <w:shd w:val="clear" w:color="auto" w:fill="AFDFFF" w:themeFill="accent1" w:themeFillTint="3F"/>
      </w:tcPr>
    </w:tblStylePr>
    <w:tblStylePr w:type="band1Horz">
      <w:tblPr/>
      <w:tcPr>
        <w:tcBorders>
          <w:top w:val="single" w:sz="8" w:space="0" w:color="0072BC" w:themeColor="accent1"/>
          <w:left w:val="single" w:sz="8" w:space="0" w:color="0072BC" w:themeColor="accent1"/>
          <w:bottom w:val="single" w:sz="8" w:space="0" w:color="0072BC" w:themeColor="accent1"/>
          <w:right w:val="single" w:sz="8" w:space="0" w:color="0072BC" w:themeColor="accent1"/>
          <w:insideV w:val="single" w:sz="8" w:space="0" w:color="0072BC" w:themeColor="accent1"/>
        </w:tcBorders>
        <w:shd w:val="clear" w:color="auto" w:fill="AFDFFF" w:themeFill="accent1" w:themeFillTint="3F"/>
      </w:tcPr>
    </w:tblStylePr>
    <w:tblStylePr w:type="band2Horz">
      <w:tblPr/>
      <w:tcPr>
        <w:tcBorders>
          <w:top w:val="single" w:sz="8" w:space="0" w:color="0072BC" w:themeColor="accent1"/>
          <w:left w:val="single" w:sz="8" w:space="0" w:color="0072BC" w:themeColor="accent1"/>
          <w:bottom w:val="single" w:sz="8" w:space="0" w:color="0072BC" w:themeColor="accent1"/>
          <w:right w:val="single" w:sz="8" w:space="0" w:color="0072BC" w:themeColor="accent1"/>
          <w:insideV w:val="single" w:sz="8" w:space="0" w:color="0072BC" w:themeColor="accent1"/>
        </w:tcBorders>
      </w:tcPr>
    </w:tblStylePr>
  </w:style>
  <w:style w:type="table" w:styleId="Svetlamreapoudarek2">
    <w:name w:val="Light Grid Accent 2"/>
    <w:basedOn w:val="Navadnatabela"/>
    <w:uiPriority w:val="99"/>
    <w:semiHidden/>
    <w:rsid w:val="00014566"/>
    <w:rPr>
      <w:lang w:val="fr-FR" w:eastAsia="fr-FR"/>
    </w:rPr>
    <w:tblPr>
      <w:tblStyleRowBandSize w:val="1"/>
      <w:tblStyleColBandSize w:val="1"/>
      <w:tblBorders>
        <w:top w:val="single" w:sz="8" w:space="0" w:color="C00000" w:themeColor="accent2"/>
        <w:left w:val="single" w:sz="8" w:space="0" w:color="C00000" w:themeColor="accent2"/>
        <w:bottom w:val="single" w:sz="8" w:space="0" w:color="C00000" w:themeColor="accent2"/>
        <w:right w:val="single" w:sz="8" w:space="0" w:color="C00000" w:themeColor="accent2"/>
        <w:insideH w:val="single" w:sz="8" w:space="0" w:color="C00000" w:themeColor="accent2"/>
        <w:insideV w:val="single" w:sz="8" w:space="0" w:color="C00000"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0000" w:themeColor="accent2"/>
          <w:left w:val="single" w:sz="8" w:space="0" w:color="C00000" w:themeColor="accent2"/>
          <w:bottom w:val="single" w:sz="18" w:space="0" w:color="C00000" w:themeColor="accent2"/>
          <w:right w:val="single" w:sz="8" w:space="0" w:color="C00000" w:themeColor="accent2"/>
          <w:insideH w:val="nil"/>
          <w:insideV w:val="single" w:sz="8" w:space="0" w:color="C00000"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0000" w:themeColor="accent2"/>
          <w:left w:val="single" w:sz="8" w:space="0" w:color="C00000" w:themeColor="accent2"/>
          <w:bottom w:val="single" w:sz="8" w:space="0" w:color="C00000" w:themeColor="accent2"/>
          <w:right w:val="single" w:sz="8" w:space="0" w:color="C00000" w:themeColor="accent2"/>
          <w:insideH w:val="nil"/>
          <w:insideV w:val="single" w:sz="8" w:space="0" w:color="C00000"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0000" w:themeColor="accent2"/>
          <w:left w:val="single" w:sz="8" w:space="0" w:color="C00000" w:themeColor="accent2"/>
          <w:bottom w:val="single" w:sz="8" w:space="0" w:color="C00000" w:themeColor="accent2"/>
          <w:right w:val="single" w:sz="8" w:space="0" w:color="C00000" w:themeColor="accent2"/>
        </w:tcBorders>
      </w:tcPr>
    </w:tblStylePr>
    <w:tblStylePr w:type="band1Vert">
      <w:tblPr/>
      <w:tcPr>
        <w:tcBorders>
          <w:top w:val="single" w:sz="8" w:space="0" w:color="C00000" w:themeColor="accent2"/>
          <w:left w:val="single" w:sz="8" w:space="0" w:color="C00000" w:themeColor="accent2"/>
          <w:bottom w:val="single" w:sz="8" w:space="0" w:color="C00000" w:themeColor="accent2"/>
          <w:right w:val="single" w:sz="8" w:space="0" w:color="C00000" w:themeColor="accent2"/>
        </w:tcBorders>
        <w:shd w:val="clear" w:color="auto" w:fill="FFB0B0" w:themeFill="accent2" w:themeFillTint="3F"/>
      </w:tcPr>
    </w:tblStylePr>
    <w:tblStylePr w:type="band1Horz">
      <w:tblPr/>
      <w:tcPr>
        <w:tcBorders>
          <w:top w:val="single" w:sz="8" w:space="0" w:color="C00000" w:themeColor="accent2"/>
          <w:left w:val="single" w:sz="8" w:space="0" w:color="C00000" w:themeColor="accent2"/>
          <w:bottom w:val="single" w:sz="8" w:space="0" w:color="C00000" w:themeColor="accent2"/>
          <w:right w:val="single" w:sz="8" w:space="0" w:color="C00000" w:themeColor="accent2"/>
          <w:insideV w:val="single" w:sz="8" w:space="0" w:color="C00000" w:themeColor="accent2"/>
        </w:tcBorders>
        <w:shd w:val="clear" w:color="auto" w:fill="FFB0B0" w:themeFill="accent2" w:themeFillTint="3F"/>
      </w:tcPr>
    </w:tblStylePr>
    <w:tblStylePr w:type="band2Horz">
      <w:tblPr/>
      <w:tcPr>
        <w:tcBorders>
          <w:top w:val="single" w:sz="8" w:space="0" w:color="C00000" w:themeColor="accent2"/>
          <w:left w:val="single" w:sz="8" w:space="0" w:color="C00000" w:themeColor="accent2"/>
          <w:bottom w:val="single" w:sz="8" w:space="0" w:color="C00000" w:themeColor="accent2"/>
          <w:right w:val="single" w:sz="8" w:space="0" w:color="C00000" w:themeColor="accent2"/>
          <w:insideV w:val="single" w:sz="8" w:space="0" w:color="C00000" w:themeColor="accent2"/>
        </w:tcBorders>
      </w:tcPr>
    </w:tblStylePr>
  </w:style>
  <w:style w:type="table" w:styleId="Svetlamreapoudarek3">
    <w:name w:val="Light Grid Accent 3"/>
    <w:basedOn w:val="Navadnatabela"/>
    <w:uiPriority w:val="99"/>
    <w:semiHidden/>
    <w:rsid w:val="00014566"/>
    <w:rPr>
      <w:lang w:val="fr-FR" w:eastAsia="fr-FR"/>
    </w:rPr>
    <w:tblPr>
      <w:tblStyleRowBandSize w:val="1"/>
      <w:tblStyleColBandSize w:val="1"/>
      <w:tblBorders>
        <w:top w:val="single" w:sz="8" w:space="0" w:color="5F5F5F" w:themeColor="accent3"/>
        <w:left w:val="single" w:sz="8" w:space="0" w:color="5F5F5F" w:themeColor="accent3"/>
        <w:bottom w:val="single" w:sz="8" w:space="0" w:color="5F5F5F" w:themeColor="accent3"/>
        <w:right w:val="single" w:sz="8" w:space="0" w:color="5F5F5F" w:themeColor="accent3"/>
        <w:insideH w:val="single" w:sz="8" w:space="0" w:color="5F5F5F" w:themeColor="accent3"/>
        <w:insideV w:val="single" w:sz="8" w:space="0" w:color="5F5F5F"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F5F5F" w:themeColor="accent3"/>
          <w:left w:val="single" w:sz="8" w:space="0" w:color="5F5F5F" w:themeColor="accent3"/>
          <w:bottom w:val="single" w:sz="18" w:space="0" w:color="5F5F5F" w:themeColor="accent3"/>
          <w:right w:val="single" w:sz="8" w:space="0" w:color="5F5F5F" w:themeColor="accent3"/>
          <w:insideH w:val="nil"/>
          <w:insideV w:val="single" w:sz="8" w:space="0" w:color="5F5F5F"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F5F5F" w:themeColor="accent3"/>
          <w:left w:val="single" w:sz="8" w:space="0" w:color="5F5F5F" w:themeColor="accent3"/>
          <w:bottom w:val="single" w:sz="8" w:space="0" w:color="5F5F5F" w:themeColor="accent3"/>
          <w:right w:val="single" w:sz="8" w:space="0" w:color="5F5F5F" w:themeColor="accent3"/>
          <w:insideH w:val="nil"/>
          <w:insideV w:val="single" w:sz="8" w:space="0" w:color="5F5F5F"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F5F5F" w:themeColor="accent3"/>
          <w:left w:val="single" w:sz="8" w:space="0" w:color="5F5F5F" w:themeColor="accent3"/>
          <w:bottom w:val="single" w:sz="8" w:space="0" w:color="5F5F5F" w:themeColor="accent3"/>
          <w:right w:val="single" w:sz="8" w:space="0" w:color="5F5F5F" w:themeColor="accent3"/>
        </w:tcBorders>
      </w:tcPr>
    </w:tblStylePr>
    <w:tblStylePr w:type="band1Vert">
      <w:tblPr/>
      <w:tcPr>
        <w:tcBorders>
          <w:top w:val="single" w:sz="8" w:space="0" w:color="5F5F5F" w:themeColor="accent3"/>
          <w:left w:val="single" w:sz="8" w:space="0" w:color="5F5F5F" w:themeColor="accent3"/>
          <w:bottom w:val="single" w:sz="8" w:space="0" w:color="5F5F5F" w:themeColor="accent3"/>
          <w:right w:val="single" w:sz="8" w:space="0" w:color="5F5F5F" w:themeColor="accent3"/>
        </w:tcBorders>
        <w:shd w:val="clear" w:color="auto" w:fill="D7D7D7" w:themeFill="accent3" w:themeFillTint="3F"/>
      </w:tcPr>
    </w:tblStylePr>
    <w:tblStylePr w:type="band1Horz">
      <w:tblPr/>
      <w:tcPr>
        <w:tcBorders>
          <w:top w:val="single" w:sz="8" w:space="0" w:color="5F5F5F" w:themeColor="accent3"/>
          <w:left w:val="single" w:sz="8" w:space="0" w:color="5F5F5F" w:themeColor="accent3"/>
          <w:bottom w:val="single" w:sz="8" w:space="0" w:color="5F5F5F" w:themeColor="accent3"/>
          <w:right w:val="single" w:sz="8" w:space="0" w:color="5F5F5F" w:themeColor="accent3"/>
          <w:insideV w:val="single" w:sz="8" w:space="0" w:color="5F5F5F" w:themeColor="accent3"/>
        </w:tcBorders>
        <w:shd w:val="clear" w:color="auto" w:fill="D7D7D7" w:themeFill="accent3" w:themeFillTint="3F"/>
      </w:tcPr>
    </w:tblStylePr>
    <w:tblStylePr w:type="band2Horz">
      <w:tblPr/>
      <w:tcPr>
        <w:tcBorders>
          <w:top w:val="single" w:sz="8" w:space="0" w:color="5F5F5F" w:themeColor="accent3"/>
          <w:left w:val="single" w:sz="8" w:space="0" w:color="5F5F5F" w:themeColor="accent3"/>
          <w:bottom w:val="single" w:sz="8" w:space="0" w:color="5F5F5F" w:themeColor="accent3"/>
          <w:right w:val="single" w:sz="8" w:space="0" w:color="5F5F5F" w:themeColor="accent3"/>
          <w:insideV w:val="single" w:sz="8" w:space="0" w:color="5F5F5F" w:themeColor="accent3"/>
        </w:tcBorders>
      </w:tcPr>
    </w:tblStylePr>
  </w:style>
  <w:style w:type="table" w:styleId="Svetlamreapoudarek4">
    <w:name w:val="Light Grid Accent 4"/>
    <w:basedOn w:val="Navadnatabela"/>
    <w:uiPriority w:val="99"/>
    <w:semiHidden/>
    <w:rsid w:val="00014566"/>
    <w:rPr>
      <w:lang w:val="fr-FR" w:eastAsia="fr-FR"/>
    </w:rPr>
    <w:tblPr>
      <w:tblStyleRowBandSize w:val="1"/>
      <w:tblStyleColBandSize w:val="1"/>
      <w:tblBorders>
        <w:top w:val="single" w:sz="8" w:space="0" w:color="969696" w:themeColor="accent4"/>
        <w:left w:val="single" w:sz="8" w:space="0" w:color="969696" w:themeColor="accent4"/>
        <w:bottom w:val="single" w:sz="8" w:space="0" w:color="969696" w:themeColor="accent4"/>
        <w:right w:val="single" w:sz="8" w:space="0" w:color="969696" w:themeColor="accent4"/>
        <w:insideH w:val="single" w:sz="8" w:space="0" w:color="969696" w:themeColor="accent4"/>
        <w:insideV w:val="single" w:sz="8" w:space="0" w:color="969696"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69696" w:themeColor="accent4"/>
          <w:left w:val="single" w:sz="8" w:space="0" w:color="969696" w:themeColor="accent4"/>
          <w:bottom w:val="single" w:sz="18" w:space="0" w:color="969696" w:themeColor="accent4"/>
          <w:right w:val="single" w:sz="8" w:space="0" w:color="969696" w:themeColor="accent4"/>
          <w:insideH w:val="nil"/>
          <w:insideV w:val="single" w:sz="8" w:space="0" w:color="969696"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69696" w:themeColor="accent4"/>
          <w:left w:val="single" w:sz="8" w:space="0" w:color="969696" w:themeColor="accent4"/>
          <w:bottom w:val="single" w:sz="8" w:space="0" w:color="969696" w:themeColor="accent4"/>
          <w:right w:val="single" w:sz="8" w:space="0" w:color="969696" w:themeColor="accent4"/>
          <w:insideH w:val="nil"/>
          <w:insideV w:val="single" w:sz="8" w:space="0" w:color="969696"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69696" w:themeColor="accent4"/>
          <w:left w:val="single" w:sz="8" w:space="0" w:color="969696" w:themeColor="accent4"/>
          <w:bottom w:val="single" w:sz="8" w:space="0" w:color="969696" w:themeColor="accent4"/>
          <w:right w:val="single" w:sz="8" w:space="0" w:color="969696" w:themeColor="accent4"/>
        </w:tcBorders>
      </w:tcPr>
    </w:tblStylePr>
    <w:tblStylePr w:type="band1Vert">
      <w:tblPr/>
      <w:tcPr>
        <w:tcBorders>
          <w:top w:val="single" w:sz="8" w:space="0" w:color="969696" w:themeColor="accent4"/>
          <w:left w:val="single" w:sz="8" w:space="0" w:color="969696" w:themeColor="accent4"/>
          <w:bottom w:val="single" w:sz="8" w:space="0" w:color="969696" w:themeColor="accent4"/>
          <w:right w:val="single" w:sz="8" w:space="0" w:color="969696" w:themeColor="accent4"/>
        </w:tcBorders>
        <w:shd w:val="clear" w:color="auto" w:fill="E5E5E5" w:themeFill="accent4" w:themeFillTint="3F"/>
      </w:tcPr>
    </w:tblStylePr>
    <w:tblStylePr w:type="band1Horz">
      <w:tblPr/>
      <w:tcPr>
        <w:tcBorders>
          <w:top w:val="single" w:sz="8" w:space="0" w:color="969696" w:themeColor="accent4"/>
          <w:left w:val="single" w:sz="8" w:space="0" w:color="969696" w:themeColor="accent4"/>
          <w:bottom w:val="single" w:sz="8" w:space="0" w:color="969696" w:themeColor="accent4"/>
          <w:right w:val="single" w:sz="8" w:space="0" w:color="969696" w:themeColor="accent4"/>
          <w:insideV w:val="single" w:sz="8" w:space="0" w:color="969696" w:themeColor="accent4"/>
        </w:tcBorders>
        <w:shd w:val="clear" w:color="auto" w:fill="E5E5E5" w:themeFill="accent4" w:themeFillTint="3F"/>
      </w:tcPr>
    </w:tblStylePr>
    <w:tblStylePr w:type="band2Horz">
      <w:tblPr/>
      <w:tcPr>
        <w:tcBorders>
          <w:top w:val="single" w:sz="8" w:space="0" w:color="969696" w:themeColor="accent4"/>
          <w:left w:val="single" w:sz="8" w:space="0" w:color="969696" w:themeColor="accent4"/>
          <w:bottom w:val="single" w:sz="8" w:space="0" w:color="969696" w:themeColor="accent4"/>
          <w:right w:val="single" w:sz="8" w:space="0" w:color="969696" w:themeColor="accent4"/>
          <w:insideV w:val="single" w:sz="8" w:space="0" w:color="969696" w:themeColor="accent4"/>
        </w:tcBorders>
      </w:tcPr>
    </w:tblStylePr>
  </w:style>
  <w:style w:type="table" w:styleId="Svetlamreapoudarek5">
    <w:name w:val="Light Grid Accent 5"/>
    <w:basedOn w:val="Navadnatabela"/>
    <w:uiPriority w:val="99"/>
    <w:semiHidden/>
    <w:rsid w:val="00014566"/>
    <w:rPr>
      <w:lang w:val="fr-FR" w:eastAsia="fr-FR"/>
    </w:rPr>
    <w:tblPr>
      <w:tblStyleRowBandSize w:val="1"/>
      <w:tblStyleColBandSize w:val="1"/>
      <w:tblBorders>
        <w:top w:val="single" w:sz="8" w:space="0" w:color="5F5F5F" w:themeColor="accent5"/>
        <w:left w:val="single" w:sz="8" w:space="0" w:color="5F5F5F" w:themeColor="accent5"/>
        <w:bottom w:val="single" w:sz="8" w:space="0" w:color="5F5F5F" w:themeColor="accent5"/>
        <w:right w:val="single" w:sz="8" w:space="0" w:color="5F5F5F" w:themeColor="accent5"/>
        <w:insideH w:val="single" w:sz="8" w:space="0" w:color="5F5F5F" w:themeColor="accent5"/>
        <w:insideV w:val="single" w:sz="8" w:space="0" w:color="5F5F5F"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F5F5F" w:themeColor="accent5"/>
          <w:left w:val="single" w:sz="8" w:space="0" w:color="5F5F5F" w:themeColor="accent5"/>
          <w:bottom w:val="single" w:sz="18" w:space="0" w:color="5F5F5F" w:themeColor="accent5"/>
          <w:right w:val="single" w:sz="8" w:space="0" w:color="5F5F5F" w:themeColor="accent5"/>
          <w:insideH w:val="nil"/>
          <w:insideV w:val="single" w:sz="8" w:space="0" w:color="5F5F5F"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F5F5F" w:themeColor="accent5"/>
          <w:left w:val="single" w:sz="8" w:space="0" w:color="5F5F5F" w:themeColor="accent5"/>
          <w:bottom w:val="single" w:sz="8" w:space="0" w:color="5F5F5F" w:themeColor="accent5"/>
          <w:right w:val="single" w:sz="8" w:space="0" w:color="5F5F5F" w:themeColor="accent5"/>
          <w:insideH w:val="nil"/>
          <w:insideV w:val="single" w:sz="8" w:space="0" w:color="5F5F5F"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tcPr>
    </w:tblStylePr>
    <w:tblStylePr w:type="band1Vert">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shd w:val="clear" w:color="auto" w:fill="D7D7D7" w:themeFill="accent5" w:themeFillTint="3F"/>
      </w:tcPr>
    </w:tblStylePr>
    <w:tblStylePr w:type="band1Horz">
      <w:tblPr/>
      <w:tcPr>
        <w:tcBorders>
          <w:top w:val="single" w:sz="8" w:space="0" w:color="5F5F5F" w:themeColor="accent5"/>
          <w:left w:val="single" w:sz="8" w:space="0" w:color="5F5F5F" w:themeColor="accent5"/>
          <w:bottom w:val="single" w:sz="8" w:space="0" w:color="5F5F5F" w:themeColor="accent5"/>
          <w:right w:val="single" w:sz="8" w:space="0" w:color="5F5F5F" w:themeColor="accent5"/>
          <w:insideV w:val="single" w:sz="8" w:space="0" w:color="5F5F5F" w:themeColor="accent5"/>
        </w:tcBorders>
        <w:shd w:val="clear" w:color="auto" w:fill="D7D7D7" w:themeFill="accent5" w:themeFillTint="3F"/>
      </w:tcPr>
    </w:tblStylePr>
    <w:tblStylePr w:type="band2Horz">
      <w:tblPr/>
      <w:tcPr>
        <w:tcBorders>
          <w:top w:val="single" w:sz="8" w:space="0" w:color="5F5F5F" w:themeColor="accent5"/>
          <w:left w:val="single" w:sz="8" w:space="0" w:color="5F5F5F" w:themeColor="accent5"/>
          <w:bottom w:val="single" w:sz="8" w:space="0" w:color="5F5F5F" w:themeColor="accent5"/>
          <w:right w:val="single" w:sz="8" w:space="0" w:color="5F5F5F" w:themeColor="accent5"/>
          <w:insideV w:val="single" w:sz="8" w:space="0" w:color="5F5F5F" w:themeColor="accent5"/>
        </w:tcBorders>
      </w:tcPr>
    </w:tblStylePr>
  </w:style>
  <w:style w:type="table" w:styleId="Svetlamreapoudarek6">
    <w:name w:val="Light Grid Accent 6"/>
    <w:basedOn w:val="Navadnatabela"/>
    <w:uiPriority w:val="99"/>
    <w:semiHidden/>
    <w:rsid w:val="00014566"/>
    <w:rPr>
      <w:lang w:val="fr-FR" w:eastAsia="fr-FR"/>
    </w:rPr>
    <w:tblPr>
      <w:tblStyleRowBandSize w:val="1"/>
      <w:tblStyleColBandSize w:val="1"/>
      <w:tblBorders>
        <w:top w:val="single" w:sz="8" w:space="0" w:color="4D4D4D" w:themeColor="accent6"/>
        <w:left w:val="single" w:sz="8" w:space="0" w:color="4D4D4D" w:themeColor="accent6"/>
        <w:bottom w:val="single" w:sz="8" w:space="0" w:color="4D4D4D" w:themeColor="accent6"/>
        <w:right w:val="single" w:sz="8" w:space="0" w:color="4D4D4D" w:themeColor="accent6"/>
        <w:insideH w:val="single" w:sz="8" w:space="0" w:color="4D4D4D" w:themeColor="accent6"/>
        <w:insideV w:val="single" w:sz="8" w:space="0" w:color="4D4D4D"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D4D4D" w:themeColor="accent6"/>
          <w:left w:val="single" w:sz="8" w:space="0" w:color="4D4D4D" w:themeColor="accent6"/>
          <w:bottom w:val="single" w:sz="18" w:space="0" w:color="4D4D4D" w:themeColor="accent6"/>
          <w:right w:val="single" w:sz="8" w:space="0" w:color="4D4D4D" w:themeColor="accent6"/>
          <w:insideH w:val="nil"/>
          <w:insideV w:val="single" w:sz="8" w:space="0" w:color="4D4D4D"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D4D4D" w:themeColor="accent6"/>
          <w:left w:val="single" w:sz="8" w:space="0" w:color="4D4D4D" w:themeColor="accent6"/>
          <w:bottom w:val="single" w:sz="8" w:space="0" w:color="4D4D4D" w:themeColor="accent6"/>
          <w:right w:val="single" w:sz="8" w:space="0" w:color="4D4D4D" w:themeColor="accent6"/>
          <w:insideH w:val="nil"/>
          <w:insideV w:val="single" w:sz="8" w:space="0" w:color="4D4D4D"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tcPr>
    </w:tblStylePr>
    <w:tblStylePr w:type="band1Vert">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shd w:val="clear" w:color="auto" w:fill="D3D3D3" w:themeFill="accent6" w:themeFillTint="3F"/>
      </w:tcPr>
    </w:tblStylePr>
    <w:tblStylePr w:type="band1Horz">
      <w:tblPr/>
      <w:tcPr>
        <w:tcBorders>
          <w:top w:val="single" w:sz="8" w:space="0" w:color="4D4D4D" w:themeColor="accent6"/>
          <w:left w:val="single" w:sz="8" w:space="0" w:color="4D4D4D" w:themeColor="accent6"/>
          <w:bottom w:val="single" w:sz="8" w:space="0" w:color="4D4D4D" w:themeColor="accent6"/>
          <w:right w:val="single" w:sz="8" w:space="0" w:color="4D4D4D" w:themeColor="accent6"/>
          <w:insideV w:val="single" w:sz="8" w:space="0" w:color="4D4D4D" w:themeColor="accent6"/>
        </w:tcBorders>
        <w:shd w:val="clear" w:color="auto" w:fill="D3D3D3" w:themeFill="accent6" w:themeFillTint="3F"/>
      </w:tcPr>
    </w:tblStylePr>
    <w:tblStylePr w:type="band2Horz">
      <w:tblPr/>
      <w:tcPr>
        <w:tcBorders>
          <w:top w:val="single" w:sz="8" w:space="0" w:color="4D4D4D" w:themeColor="accent6"/>
          <w:left w:val="single" w:sz="8" w:space="0" w:color="4D4D4D" w:themeColor="accent6"/>
          <w:bottom w:val="single" w:sz="8" w:space="0" w:color="4D4D4D" w:themeColor="accent6"/>
          <w:right w:val="single" w:sz="8" w:space="0" w:color="4D4D4D" w:themeColor="accent6"/>
          <w:insideV w:val="single" w:sz="8" w:space="0" w:color="4D4D4D" w:themeColor="accent6"/>
        </w:tcBorders>
      </w:tcPr>
    </w:tblStylePr>
  </w:style>
  <w:style w:type="table" w:styleId="Svetelseznam">
    <w:name w:val="Light List"/>
    <w:basedOn w:val="Navadnatabela"/>
    <w:uiPriority w:val="99"/>
    <w:semiHidden/>
    <w:rsid w:val="00014566"/>
    <w:rPr>
      <w:lang w:val="fr-FR" w:eastAsia="fr-FR"/>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0072BC"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Svetelseznampoudarek1">
    <w:name w:val="Light List Accent 1"/>
    <w:basedOn w:val="Navadnatabela"/>
    <w:uiPriority w:val="99"/>
    <w:semiHidden/>
    <w:rsid w:val="00014566"/>
    <w:rPr>
      <w:lang w:val="fr-FR" w:eastAsia="fr-FR"/>
    </w:rPr>
    <w:tblPr>
      <w:tblStyleRowBandSize w:val="1"/>
      <w:tblStyleColBandSize w:val="1"/>
      <w:tblBorders>
        <w:top w:val="single" w:sz="8" w:space="0" w:color="0072BC" w:themeColor="accent1"/>
        <w:left w:val="single" w:sz="8" w:space="0" w:color="0072BC" w:themeColor="accent1"/>
        <w:bottom w:val="single" w:sz="8" w:space="0" w:color="0072BC" w:themeColor="accent1"/>
        <w:right w:val="single" w:sz="8" w:space="0" w:color="0072BC" w:themeColor="accent1"/>
      </w:tblBorders>
    </w:tblPr>
    <w:tblStylePr w:type="firstRow">
      <w:pPr>
        <w:spacing w:before="0" w:after="0" w:line="240" w:lineRule="auto"/>
      </w:pPr>
      <w:rPr>
        <w:b/>
        <w:bCs/>
        <w:color w:val="0072BC" w:themeColor="background1"/>
      </w:rPr>
      <w:tblPr/>
      <w:tcPr>
        <w:shd w:val="clear" w:color="auto" w:fill="0072BC" w:themeFill="accent1"/>
      </w:tcPr>
    </w:tblStylePr>
    <w:tblStylePr w:type="lastRow">
      <w:pPr>
        <w:spacing w:before="0" w:after="0" w:line="240" w:lineRule="auto"/>
      </w:pPr>
      <w:rPr>
        <w:b/>
        <w:bCs/>
      </w:rPr>
      <w:tblPr/>
      <w:tcPr>
        <w:tcBorders>
          <w:top w:val="double" w:sz="6" w:space="0" w:color="0072BC" w:themeColor="accent1"/>
          <w:left w:val="single" w:sz="8" w:space="0" w:color="0072BC" w:themeColor="accent1"/>
          <w:bottom w:val="single" w:sz="8" w:space="0" w:color="0072BC" w:themeColor="accent1"/>
          <w:right w:val="single" w:sz="8" w:space="0" w:color="0072BC" w:themeColor="accent1"/>
        </w:tcBorders>
      </w:tcPr>
    </w:tblStylePr>
    <w:tblStylePr w:type="firstCol">
      <w:rPr>
        <w:b/>
        <w:bCs/>
      </w:rPr>
    </w:tblStylePr>
    <w:tblStylePr w:type="lastCol">
      <w:rPr>
        <w:b/>
        <w:bCs/>
      </w:rPr>
    </w:tblStylePr>
    <w:tblStylePr w:type="band1Vert">
      <w:tblPr/>
      <w:tcPr>
        <w:tcBorders>
          <w:top w:val="single" w:sz="8" w:space="0" w:color="0072BC" w:themeColor="accent1"/>
          <w:left w:val="single" w:sz="8" w:space="0" w:color="0072BC" w:themeColor="accent1"/>
          <w:bottom w:val="single" w:sz="8" w:space="0" w:color="0072BC" w:themeColor="accent1"/>
          <w:right w:val="single" w:sz="8" w:space="0" w:color="0072BC" w:themeColor="accent1"/>
        </w:tcBorders>
      </w:tcPr>
    </w:tblStylePr>
    <w:tblStylePr w:type="band1Horz">
      <w:tblPr/>
      <w:tcPr>
        <w:tcBorders>
          <w:top w:val="single" w:sz="8" w:space="0" w:color="0072BC" w:themeColor="accent1"/>
          <w:left w:val="single" w:sz="8" w:space="0" w:color="0072BC" w:themeColor="accent1"/>
          <w:bottom w:val="single" w:sz="8" w:space="0" w:color="0072BC" w:themeColor="accent1"/>
          <w:right w:val="single" w:sz="8" w:space="0" w:color="0072BC" w:themeColor="accent1"/>
        </w:tcBorders>
      </w:tcPr>
    </w:tblStylePr>
  </w:style>
  <w:style w:type="table" w:styleId="Svetelseznampoudarek2">
    <w:name w:val="Light List Accent 2"/>
    <w:basedOn w:val="Navadnatabela"/>
    <w:uiPriority w:val="99"/>
    <w:semiHidden/>
    <w:rsid w:val="00014566"/>
    <w:rPr>
      <w:lang w:val="fr-FR" w:eastAsia="fr-FR"/>
    </w:rPr>
    <w:tblPr>
      <w:tblStyleRowBandSize w:val="1"/>
      <w:tblStyleColBandSize w:val="1"/>
      <w:tblBorders>
        <w:top w:val="single" w:sz="8" w:space="0" w:color="C00000" w:themeColor="accent2"/>
        <w:left w:val="single" w:sz="8" w:space="0" w:color="C00000" w:themeColor="accent2"/>
        <w:bottom w:val="single" w:sz="8" w:space="0" w:color="C00000" w:themeColor="accent2"/>
        <w:right w:val="single" w:sz="8" w:space="0" w:color="C00000" w:themeColor="accent2"/>
      </w:tblBorders>
    </w:tblPr>
    <w:tblStylePr w:type="firstRow">
      <w:pPr>
        <w:spacing w:before="0" w:after="0" w:line="240" w:lineRule="auto"/>
      </w:pPr>
      <w:rPr>
        <w:b/>
        <w:bCs/>
        <w:color w:val="0072BC" w:themeColor="background1"/>
      </w:rPr>
      <w:tblPr/>
      <w:tcPr>
        <w:shd w:val="clear" w:color="auto" w:fill="C00000" w:themeFill="accent2"/>
      </w:tcPr>
    </w:tblStylePr>
    <w:tblStylePr w:type="lastRow">
      <w:pPr>
        <w:spacing w:before="0" w:after="0" w:line="240" w:lineRule="auto"/>
      </w:pPr>
      <w:rPr>
        <w:b/>
        <w:bCs/>
      </w:rPr>
      <w:tblPr/>
      <w:tcPr>
        <w:tcBorders>
          <w:top w:val="double" w:sz="6" w:space="0" w:color="C00000" w:themeColor="accent2"/>
          <w:left w:val="single" w:sz="8" w:space="0" w:color="C00000" w:themeColor="accent2"/>
          <w:bottom w:val="single" w:sz="8" w:space="0" w:color="C00000" w:themeColor="accent2"/>
          <w:right w:val="single" w:sz="8" w:space="0" w:color="C00000" w:themeColor="accent2"/>
        </w:tcBorders>
      </w:tcPr>
    </w:tblStylePr>
    <w:tblStylePr w:type="firstCol">
      <w:rPr>
        <w:b/>
        <w:bCs/>
      </w:rPr>
    </w:tblStylePr>
    <w:tblStylePr w:type="lastCol">
      <w:rPr>
        <w:b/>
        <w:bCs/>
      </w:rPr>
    </w:tblStylePr>
    <w:tblStylePr w:type="band1Vert">
      <w:tblPr/>
      <w:tcPr>
        <w:tcBorders>
          <w:top w:val="single" w:sz="8" w:space="0" w:color="C00000" w:themeColor="accent2"/>
          <w:left w:val="single" w:sz="8" w:space="0" w:color="C00000" w:themeColor="accent2"/>
          <w:bottom w:val="single" w:sz="8" w:space="0" w:color="C00000" w:themeColor="accent2"/>
          <w:right w:val="single" w:sz="8" w:space="0" w:color="C00000" w:themeColor="accent2"/>
        </w:tcBorders>
      </w:tcPr>
    </w:tblStylePr>
    <w:tblStylePr w:type="band1Horz">
      <w:tblPr/>
      <w:tcPr>
        <w:tcBorders>
          <w:top w:val="single" w:sz="8" w:space="0" w:color="C00000" w:themeColor="accent2"/>
          <w:left w:val="single" w:sz="8" w:space="0" w:color="C00000" w:themeColor="accent2"/>
          <w:bottom w:val="single" w:sz="8" w:space="0" w:color="C00000" w:themeColor="accent2"/>
          <w:right w:val="single" w:sz="8" w:space="0" w:color="C00000" w:themeColor="accent2"/>
        </w:tcBorders>
      </w:tcPr>
    </w:tblStylePr>
  </w:style>
  <w:style w:type="table" w:styleId="Svetelseznampoudarek3">
    <w:name w:val="Light List Accent 3"/>
    <w:basedOn w:val="Navadnatabela"/>
    <w:uiPriority w:val="99"/>
    <w:semiHidden/>
    <w:rsid w:val="00014566"/>
    <w:rPr>
      <w:lang w:val="fr-FR" w:eastAsia="fr-FR"/>
    </w:rPr>
    <w:tblPr>
      <w:tblStyleRowBandSize w:val="1"/>
      <w:tblStyleColBandSize w:val="1"/>
      <w:tblBorders>
        <w:top w:val="single" w:sz="8" w:space="0" w:color="5F5F5F" w:themeColor="accent3"/>
        <w:left w:val="single" w:sz="8" w:space="0" w:color="5F5F5F" w:themeColor="accent3"/>
        <w:bottom w:val="single" w:sz="8" w:space="0" w:color="5F5F5F" w:themeColor="accent3"/>
        <w:right w:val="single" w:sz="8" w:space="0" w:color="5F5F5F" w:themeColor="accent3"/>
      </w:tblBorders>
    </w:tblPr>
    <w:tblStylePr w:type="firstRow">
      <w:pPr>
        <w:spacing w:before="0" w:after="0" w:line="240" w:lineRule="auto"/>
      </w:pPr>
      <w:rPr>
        <w:b/>
        <w:bCs/>
        <w:color w:val="0072BC" w:themeColor="background1"/>
      </w:rPr>
      <w:tblPr/>
      <w:tcPr>
        <w:shd w:val="clear" w:color="auto" w:fill="5F5F5F" w:themeFill="accent3"/>
      </w:tcPr>
    </w:tblStylePr>
    <w:tblStylePr w:type="lastRow">
      <w:pPr>
        <w:spacing w:before="0" w:after="0" w:line="240" w:lineRule="auto"/>
      </w:pPr>
      <w:rPr>
        <w:b/>
        <w:bCs/>
      </w:rPr>
      <w:tblPr/>
      <w:tcPr>
        <w:tcBorders>
          <w:top w:val="double" w:sz="6" w:space="0" w:color="5F5F5F" w:themeColor="accent3"/>
          <w:left w:val="single" w:sz="8" w:space="0" w:color="5F5F5F" w:themeColor="accent3"/>
          <w:bottom w:val="single" w:sz="8" w:space="0" w:color="5F5F5F" w:themeColor="accent3"/>
          <w:right w:val="single" w:sz="8" w:space="0" w:color="5F5F5F" w:themeColor="accent3"/>
        </w:tcBorders>
      </w:tcPr>
    </w:tblStylePr>
    <w:tblStylePr w:type="firstCol">
      <w:rPr>
        <w:b/>
        <w:bCs/>
      </w:rPr>
    </w:tblStylePr>
    <w:tblStylePr w:type="lastCol">
      <w:rPr>
        <w:b/>
        <w:bCs/>
      </w:rPr>
    </w:tblStylePr>
    <w:tblStylePr w:type="band1Vert">
      <w:tblPr/>
      <w:tcPr>
        <w:tcBorders>
          <w:top w:val="single" w:sz="8" w:space="0" w:color="5F5F5F" w:themeColor="accent3"/>
          <w:left w:val="single" w:sz="8" w:space="0" w:color="5F5F5F" w:themeColor="accent3"/>
          <w:bottom w:val="single" w:sz="8" w:space="0" w:color="5F5F5F" w:themeColor="accent3"/>
          <w:right w:val="single" w:sz="8" w:space="0" w:color="5F5F5F" w:themeColor="accent3"/>
        </w:tcBorders>
      </w:tcPr>
    </w:tblStylePr>
    <w:tblStylePr w:type="band1Horz">
      <w:tblPr/>
      <w:tcPr>
        <w:tcBorders>
          <w:top w:val="single" w:sz="8" w:space="0" w:color="5F5F5F" w:themeColor="accent3"/>
          <w:left w:val="single" w:sz="8" w:space="0" w:color="5F5F5F" w:themeColor="accent3"/>
          <w:bottom w:val="single" w:sz="8" w:space="0" w:color="5F5F5F" w:themeColor="accent3"/>
          <w:right w:val="single" w:sz="8" w:space="0" w:color="5F5F5F" w:themeColor="accent3"/>
        </w:tcBorders>
      </w:tcPr>
    </w:tblStylePr>
  </w:style>
  <w:style w:type="table" w:styleId="Svetelseznampoudarek4">
    <w:name w:val="Light List Accent 4"/>
    <w:basedOn w:val="Navadnatabela"/>
    <w:uiPriority w:val="99"/>
    <w:semiHidden/>
    <w:rsid w:val="00014566"/>
    <w:rPr>
      <w:lang w:val="fr-FR" w:eastAsia="fr-FR"/>
    </w:rPr>
    <w:tblPr>
      <w:tblStyleRowBandSize w:val="1"/>
      <w:tblStyleColBandSize w:val="1"/>
      <w:tblBorders>
        <w:top w:val="single" w:sz="8" w:space="0" w:color="969696" w:themeColor="accent4"/>
        <w:left w:val="single" w:sz="8" w:space="0" w:color="969696" w:themeColor="accent4"/>
        <w:bottom w:val="single" w:sz="8" w:space="0" w:color="969696" w:themeColor="accent4"/>
        <w:right w:val="single" w:sz="8" w:space="0" w:color="969696" w:themeColor="accent4"/>
      </w:tblBorders>
    </w:tblPr>
    <w:tblStylePr w:type="firstRow">
      <w:pPr>
        <w:spacing w:before="0" w:after="0" w:line="240" w:lineRule="auto"/>
      </w:pPr>
      <w:rPr>
        <w:b/>
        <w:bCs/>
        <w:color w:val="0072BC" w:themeColor="background1"/>
      </w:rPr>
      <w:tblPr/>
      <w:tcPr>
        <w:shd w:val="clear" w:color="auto" w:fill="969696" w:themeFill="accent4"/>
      </w:tcPr>
    </w:tblStylePr>
    <w:tblStylePr w:type="lastRow">
      <w:pPr>
        <w:spacing w:before="0" w:after="0" w:line="240" w:lineRule="auto"/>
      </w:pPr>
      <w:rPr>
        <w:b/>
        <w:bCs/>
      </w:rPr>
      <w:tblPr/>
      <w:tcPr>
        <w:tcBorders>
          <w:top w:val="double" w:sz="6" w:space="0" w:color="969696" w:themeColor="accent4"/>
          <w:left w:val="single" w:sz="8" w:space="0" w:color="969696" w:themeColor="accent4"/>
          <w:bottom w:val="single" w:sz="8" w:space="0" w:color="969696" w:themeColor="accent4"/>
          <w:right w:val="single" w:sz="8" w:space="0" w:color="969696" w:themeColor="accent4"/>
        </w:tcBorders>
      </w:tcPr>
    </w:tblStylePr>
    <w:tblStylePr w:type="firstCol">
      <w:rPr>
        <w:b/>
        <w:bCs/>
      </w:rPr>
    </w:tblStylePr>
    <w:tblStylePr w:type="lastCol">
      <w:rPr>
        <w:b/>
        <w:bCs/>
      </w:rPr>
    </w:tblStylePr>
    <w:tblStylePr w:type="band1Vert">
      <w:tblPr/>
      <w:tcPr>
        <w:tcBorders>
          <w:top w:val="single" w:sz="8" w:space="0" w:color="969696" w:themeColor="accent4"/>
          <w:left w:val="single" w:sz="8" w:space="0" w:color="969696" w:themeColor="accent4"/>
          <w:bottom w:val="single" w:sz="8" w:space="0" w:color="969696" w:themeColor="accent4"/>
          <w:right w:val="single" w:sz="8" w:space="0" w:color="969696" w:themeColor="accent4"/>
        </w:tcBorders>
      </w:tcPr>
    </w:tblStylePr>
    <w:tblStylePr w:type="band1Horz">
      <w:tblPr/>
      <w:tcPr>
        <w:tcBorders>
          <w:top w:val="single" w:sz="8" w:space="0" w:color="969696" w:themeColor="accent4"/>
          <w:left w:val="single" w:sz="8" w:space="0" w:color="969696" w:themeColor="accent4"/>
          <w:bottom w:val="single" w:sz="8" w:space="0" w:color="969696" w:themeColor="accent4"/>
          <w:right w:val="single" w:sz="8" w:space="0" w:color="969696" w:themeColor="accent4"/>
        </w:tcBorders>
      </w:tcPr>
    </w:tblStylePr>
  </w:style>
  <w:style w:type="table" w:styleId="Svetelseznampoudarek5">
    <w:name w:val="Light List Accent 5"/>
    <w:basedOn w:val="Navadnatabela"/>
    <w:uiPriority w:val="99"/>
    <w:semiHidden/>
    <w:rsid w:val="00014566"/>
    <w:rPr>
      <w:lang w:val="fr-FR" w:eastAsia="fr-FR"/>
    </w:rPr>
    <w:tblPr>
      <w:tblStyleRowBandSize w:val="1"/>
      <w:tblStyleColBandSize w:val="1"/>
      <w:tblBorders>
        <w:top w:val="single" w:sz="8" w:space="0" w:color="5F5F5F" w:themeColor="accent5"/>
        <w:left w:val="single" w:sz="8" w:space="0" w:color="5F5F5F" w:themeColor="accent5"/>
        <w:bottom w:val="single" w:sz="8" w:space="0" w:color="5F5F5F" w:themeColor="accent5"/>
        <w:right w:val="single" w:sz="8" w:space="0" w:color="5F5F5F" w:themeColor="accent5"/>
      </w:tblBorders>
    </w:tblPr>
    <w:tblStylePr w:type="firstRow">
      <w:pPr>
        <w:spacing w:before="0" w:after="0" w:line="240" w:lineRule="auto"/>
      </w:pPr>
      <w:rPr>
        <w:b/>
        <w:bCs/>
        <w:color w:val="0072BC" w:themeColor="background1"/>
      </w:rPr>
      <w:tblPr/>
      <w:tcPr>
        <w:shd w:val="clear" w:color="auto" w:fill="5F5F5F" w:themeFill="accent5"/>
      </w:tcPr>
    </w:tblStylePr>
    <w:tblStylePr w:type="lastRow">
      <w:pPr>
        <w:spacing w:before="0" w:after="0" w:line="240" w:lineRule="auto"/>
      </w:pPr>
      <w:rPr>
        <w:b/>
        <w:bCs/>
      </w:rPr>
      <w:tblPr/>
      <w:tcPr>
        <w:tcBorders>
          <w:top w:val="double" w:sz="6" w:space="0" w:color="5F5F5F" w:themeColor="accent5"/>
          <w:left w:val="single" w:sz="8" w:space="0" w:color="5F5F5F" w:themeColor="accent5"/>
          <w:bottom w:val="single" w:sz="8" w:space="0" w:color="5F5F5F" w:themeColor="accent5"/>
          <w:right w:val="single" w:sz="8" w:space="0" w:color="5F5F5F" w:themeColor="accent5"/>
        </w:tcBorders>
      </w:tcPr>
    </w:tblStylePr>
    <w:tblStylePr w:type="firstCol">
      <w:rPr>
        <w:b/>
        <w:bCs/>
      </w:rPr>
    </w:tblStylePr>
    <w:tblStylePr w:type="lastCol">
      <w:rPr>
        <w:b/>
        <w:bCs/>
      </w:rPr>
    </w:tblStylePr>
    <w:tblStylePr w:type="band1Vert">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tcPr>
    </w:tblStylePr>
    <w:tblStylePr w:type="band1Horz">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tcPr>
    </w:tblStylePr>
  </w:style>
  <w:style w:type="table" w:styleId="Svetelseznampoudarek6">
    <w:name w:val="Light List Accent 6"/>
    <w:basedOn w:val="Navadnatabela"/>
    <w:uiPriority w:val="99"/>
    <w:semiHidden/>
    <w:rsid w:val="00014566"/>
    <w:rPr>
      <w:lang w:val="fr-FR" w:eastAsia="fr-FR"/>
    </w:rPr>
    <w:tblPr>
      <w:tblStyleRowBandSize w:val="1"/>
      <w:tblStyleColBandSize w:val="1"/>
      <w:tblBorders>
        <w:top w:val="single" w:sz="8" w:space="0" w:color="4D4D4D" w:themeColor="accent6"/>
        <w:left w:val="single" w:sz="8" w:space="0" w:color="4D4D4D" w:themeColor="accent6"/>
        <w:bottom w:val="single" w:sz="8" w:space="0" w:color="4D4D4D" w:themeColor="accent6"/>
        <w:right w:val="single" w:sz="8" w:space="0" w:color="4D4D4D" w:themeColor="accent6"/>
      </w:tblBorders>
    </w:tblPr>
    <w:tblStylePr w:type="firstRow">
      <w:pPr>
        <w:spacing w:before="0" w:after="0" w:line="240" w:lineRule="auto"/>
      </w:pPr>
      <w:rPr>
        <w:b/>
        <w:bCs/>
        <w:color w:val="0072BC" w:themeColor="background1"/>
      </w:rPr>
      <w:tblPr/>
      <w:tcPr>
        <w:shd w:val="clear" w:color="auto" w:fill="4D4D4D" w:themeFill="accent6"/>
      </w:tcPr>
    </w:tblStylePr>
    <w:tblStylePr w:type="lastRow">
      <w:pPr>
        <w:spacing w:before="0" w:after="0" w:line="240" w:lineRule="auto"/>
      </w:pPr>
      <w:rPr>
        <w:b/>
        <w:bCs/>
      </w:rPr>
      <w:tblPr/>
      <w:tcPr>
        <w:tcBorders>
          <w:top w:val="double" w:sz="6" w:space="0" w:color="4D4D4D" w:themeColor="accent6"/>
          <w:left w:val="single" w:sz="8" w:space="0" w:color="4D4D4D" w:themeColor="accent6"/>
          <w:bottom w:val="single" w:sz="8" w:space="0" w:color="4D4D4D" w:themeColor="accent6"/>
          <w:right w:val="single" w:sz="8" w:space="0" w:color="4D4D4D" w:themeColor="accent6"/>
        </w:tcBorders>
      </w:tcPr>
    </w:tblStylePr>
    <w:tblStylePr w:type="firstCol">
      <w:rPr>
        <w:b/>
        <w:bCs/>
      </w:rPr>
    </w:tblStylePr>
    <w:tblStylePr w:type="lastCol">
      <w:rPr>
        <w:b/>
        <w:bCs/>
      </w:rPr>
    </w:tblStylePr>
    <w:tblStylePr w:type="band1Vert">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tcPr>
    </w:tblStylePr>
    <w:tblStylePr w:type="band1Horz">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tcPr>
    </w:tblStylePr>
  </w:style>
  <w:style w:type="table" w:styleId="Svetlosenenje">
    <w:name w:val="Light Shading"/>
    <w:basedOn w:val="Navadnatabela"/>
    <w:uiPriority w:val="99"/>
    <w:semiHidden/>
    <w:rsid w:val="00014566"/>
    <w:rPr>
      <w:color w:val="000000" w:themeColor="text1" w:themeShade="BF"/>
      <w:lang w:val="fr-FR" w:eastAsia="fr-FR"/>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Svetlosenenjepoudarek1">
    <w:name w:val="Light Shading Accent 1"/>
    <w:basedOn w:val="Navadnatabela"/>
    <w:uiPriority w:val="99"/>
    <w:semiHidden/>
    <w:rsid w:val="00014566"/>
    <w:rPr>
      <w:color w:val="00548C" w:themeColor="accent1" w:themeShade="BF"/>
      <w:lang w:val="fr-FR" w:eastAsia="fr-FR"/>
    </w:rPr>
    <w:tblPr>
      <w:tblStyleRowBandSize w:val="1"/>
      <w:tblStyleColBandSize w:val="1"/>
      <w:tblBorders>
        <w:top w:val="single" w:sz="8" w:space="0" w:color="0072BC" w:themeColor="accent1"/>
        <w:bottom w:val="single" w:sz="8" w:space="0" w:color="0072BC" w:themeColor="accent1"/>
      </w:tblBorders>
    </w:tblPr>
    <w:tblStylePr w:type="firstRow">
      <w:pPr>
        <w:spacing w:before="0" w:after="0" w:line="240" w:lineRule="auto"/>
      </w:pPr>
      <w:rPr>
        <w:b/>
        <w:bCs/>
      </w:rPr>
      <w:tblPr/>
      <w:tcPr>
        <w:tcBorders>
          <w:top w:val="single" w:sz="8" w:space="0" w:color="0072BC" w:themeColor="accent1"/>
          <w:left w:val="nil"/>
          <w:bottom w:val="single" w:sz="8" w:space="0" w:color="0072BC" w:themeColor="accent1"/>
          <w:right w:val="nil"/>
          <w:insideH w:val="nil"/>
          <w:insideV w:val="nil"/>
        </w:tcBorders>
      </w:tcPr>
    </w:tblStylePr>
    <w:tblStylePr w:type="lastRow">
      <w:pPr>
        <w:spacing w:before="0" w:after="0" w:line="240" w:lineRule="auto"/>
      </w:pPr>
      <w:rPr>
        <w:b/>
        <w:bCs/>
      </w:rPr>
      <w:tblPr/>
      <w:tcPr>
        <w:tcBorders>
          <w:top w:val="single" w:sz="8" w:space="0" w:color="0072BC" w:themeColor="accent1"/>
          <w:left w:val="nil"/>
          <w:bottom w:val="single" w:sz="8" w:space="0" w:color="0072BC"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AFDFFF" w:themeFill="accent1" w:themeFillTint="3F"/>
      </w:tcPr>
    </w:tblStylePr>
    <w:tblStylePr w:type="band1Horz">
      <w:tblPr/>
      <w:tcPr>
        <w:tcBorders>
          <w:left w:val="nil"/>
          <w:right w:val="nil"/>
          <w:insideH w:val="nil"/>
          <w:insideV w:val="nil"/>
        </w:tcBorders>
        <w:shd w:val="clear" w:color="auto" w:fill="AFDFFF" w:themeFill="accent1" w:themeFillTint="3F"/>
      </w:tcPr>
    </w:tblStylePr>
  </w:style>
  <w:style w:type="table" w:styleId="Svetlosenenjepoudarek2">
    <w:name w:val="Light Shading Accent 2"/>
    <w:basedOn w:val="Navadnatabela"/>
    <w:uiPriority w:val="99"/>
    <w:semiHidden/>
    <w:rsid w:val="00014566"/>
    <w:rPr>
      <w:color w:val="8F0000" w:themeColor="accent2" w:themeShade="BF"/>
      <w:lang w:val="fr-FR" w:eastAsia="fr-FR"/>
    </w:rPr>
    <w:tblPr>
      <w:tblStyleRowBandSize w:val="1"/>
      <w:tblStyleColBandSize w:val="1"/>
      <w:tblBorders>
        <w:top w:val="single" w:sz="8" w:space="0" w:color="C00000" w:themeColor="accent2"/>
        <w:bottom w:val="single" w:sz="8" w:space="0" w:color="C00000" w:themeColor="accent2"/>
      </w:tblBorders>
    </w:tblPr>
    <w:tblStylePr w:type="firstRow">
      <w:pPr>
        <w:spacing w:before="0" w:after="0" w:line="240" w:lineRule="auto"/>
      </w:pPr>
      <w:rPr>
        <w:b/>
        <w:bCs/>
      </w:rPr>
      <w:tblPr/>
      <w:tcPr>
        <w:tcBorders>
          <w:top w:val="single" w:sz="8" w:space="0" w:color="C00000" w:themeColor="accent2"/>
          <w:left w:val="nil"/>
          <w:bottom w:val="single" w:sz="8" w:space="0" w:color="C00000" w:themeColor="accent2"/>
          <w:right w:val="nil"/>
          <w:insideH w:val="nil"/>
          <w:insideV w:val="nil"/>
        </w:tcBorders>
      </w:tcPr>
    </w:tblStylePr>
    <w:tblStylePr w:type="lastRow">
      <w:pPr>
        <w:spacing w:before="0" w:after="0" w:line="240" w:lineRule="auto"/>
      </w:pPr>
      <w:rPr>
        <w:b/>
        <w:bCs/>
      </w:rPr>
      <w:tblPr/>
      <w:tcPr>
        <w:tcBorders>
          <w:top w:val="single" w:sz="8" w:space="0" w:color="C00000" w:themeColor="accent2"/>
          <w:left w:val="nil"/>
          <w:bottom w:val="single" w:sz="8" w:space="0" w:color="C00000"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B0B0" w:themeFill="accent2" w:themeFillTint="3F"/>
      </w:tcPr>
    </w:tblStylePr>
    <w:tblStylePr w:type="band1Horz">
      <w:tblPr/>
      <w:tcPr>
        <w:tcBorders>
          <w:left w:val="nil"/>
          <w:right w:val="nil"/>
          <w:insideH w:val="nil"/>
          <w:insideV w:val="nil"/>
        </w:tcBorders>
        <w:shd w:val="clear" w:color="auto" w:fill="FFB0B0" w:themeFill="accent2" w:themeFillTint="3F"/>
      </w:tcPr>
    </w:tblStylePr>
  </w:style>
  <w:style w:type="table" w:styleId="Svetlosenenjepoudarek3">
    <w:name w:val="Light Shading Accent 3"/>
    <w:basedOn w:val="Navadnatabela"/>
    <w:uiPriority w:val="99"/>
    <w:semiHidden/>
    <w:rsid w:val="00014566"/>
    <w:rPr>
      <w:color w:val="474747" w:themeColor="accent3" w:themeShade="BF"/>
      <w:lang w:val="fr-FR" w:eastAsia="fr-FR"/>
    </w:rPr>
    <w:tblPr>
      <w:tblStyleRowBandSize w:val="1"/>
      <w:tblStyleColBandSize w:val="1"/>
      <w:tblBorders>
        <w:top w:val="single" w:sz="8" w:space="0" w:color="5F5F5F" w:themeColor="accent3"/>
        <w:bottom w:val="single" w:sz="8" w:space="0" w:color="5F5F5F" w:themeColor="accent3"/>
      </w:tblBorders>
    </w:tblPr>
    <w:tblStylePr w:type="firstRow">
      <w:pPr>
        <w:spacing w:before="0" w:after="0" w:line="240" w:lineRule="auto"/>
      </w:pPr>
      <w:rPr>
        <w:b/>
        <w:bCs/>
      </w:rPr>
      <w:tblPr/>
      <w:tcPr>
        <w:tcBorders>
          <w:top w:val="single" w:sz="8" w:space="0" w:color="5F5F5F" w:themeColor="accent3"/>
          <w:left w:val="nil"/>
          <w:bottom w:val="single" w:sz="8" w:space="0" w:color="5F5F5F" w:themeColor="accent3"/>
          <w:right w:val="nil"/>
          <w:insideH w:val="nil"/>
          <w:insideV w:val="nil"/>
        </w:tcBorders>
      </w:tcPr>
    </w:tblStylePr>
    <w:tblStylePr w:type="lastRow">
      <w:pPr>
        <w:spacing w:before="0" w:after="0" w:line="240" w:lineRule="auto"/>
      </w:pPr>
      <w:rPr>
        <w:b/>
        <w:bCs/>
      </w:rPr>
      <w:tblPr/>
      <w:tcPr>
        <w:tcBorders>
          <w:top w:val="single" w:sz="8" w:space="0" w:color="5F5F5F" w:themeColor="accent3"/>
          <w:left w:val="nil"/>
          <w:bottom w:val="single" w:sz="8" w:space="0" w:color="5F5F5F"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7D7D7" w:themeFill="accent3" w:themeFillTint="3F"/>
      </w:tcPr>
    </w:tblStylePr>
    <w:tblStylePr w:type="band1Horz">
      <w:tblPr/>
      <w:tcPr>
        <w:tcBorders>
          <w:left w:val="nil"/>
          <w:right w:val="nil"/>
          <w:insideH w:val="nil"/>
          <w:insideV w:val="nil"/>
        </w:tcBorders>
        <w:shd w:val="clear" w:color="auto" w:fill="D7D7D7" w:themeFill="accent3" w:themeFillTint="3F"/>
      </w:tcPr>
    </w:tblStylePr>
  </w:style>
  <w:style w:type="table" w:styleId="Svetlosenenjepoudarek4">
    <w:name w:val="Light Shading Accent 4"/>
    <w:basedOn w:val="Navadnatabela"/>
    <w:uiPriority w:val="99"/>
    <w:semiHidden/>
    <w:rsid w:val="00014566"/>
    <w:rPr>
      <w:color w:val="707070" w:themeColor="accent4" w:themeShade="BF"/>
      <w:lang w:val="fr-FR" w:eastAsia="fr-FR"/>
    </w:rPr>
    <w:tblPr>
      <w:tblStyleRowBandSize w:val="1"/>
      <w:tblStyleColBandSize w:val="1"/>
      <w:tblBorders>
        <w:top w:val="single" w:sz="8" w:space="0" w:color="969696" w:themeColor="accent4"/>
        <w:bottom w:val="single" w:sz="8" w:space="0" w:color="969696" w:themeColor="accent4"/>
      </w:tblBorders>
    </w:tblPr>
    <w:tblStylePr w:type="firstRow">
      <w:pPr>
        <w:spacing w:before="0" w:after="0" w:line="240" w:lineRule="auto"/>
      </w:pPr>
      <w:rPr>
        <w:b/>
        <w:bCs/>
      </w:rPr>
      <w:tblPr/>
      <w:tcPr>
        <w:tcBorders>
          <w:top w:val="single" w:sz="8" w:space="0" w:color="969696" w:themeColor="accent4"/>
          <w:left w:val="nil"/>
          <w:bottom w:val="single" w:sz="8" w:space="0" w:color="969696" w:themeColor="accent4"/>
          <w:right w:val="nil"/>
          <w:insideH w:val="nil"/>
          <w:insideV w:val="nil"/>
        </w:tcBorders>
      </w:tcPr>
    </w:tblStylePr>
    <w:tblStylePr w:type="lastRow">
      <w:pPr>
        <w:spacing w:before="0" w:after="0" w:line="240" w:lineRule="auto"/>
      </w:pPr>
      <w:rPr>
        <w:b/>
        <w:bCs/>
      </w:rPr>
      <w:tblPr/>
      <w:tcPr>
        <w:tcBorders>
          <w:top w:val="single" w:sz="8" w:space="0" w:color="969696" w:themeColor="accent4"/>
          <w:left w:val="nil"/>
          <w:bottom w:val="single" w:sz="8" w:space="0" w:color="969696"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5E5E5" w:themeFill="accent4" w:themeFillTint="3F"/>
      </w:tcPr>
    </w:tblStylePr>
    <w:tblStylePr w:type="band1Horz">
      <w:tblPr/>
      <w:tcPr>
        <w:tcBorders>
          <w:left w:val="nil"/>
          <w:right w:val="nil"/>
          <w:insideH w:val="nil"/>
          <w:insideV w:val="nil"/>
        </w:tcBorders>
        <w:shd w:val="clear" w:color="auto" w:fill="E5E5E5" w:themeFill="accent4" w:themeFillTint="3F"/>
      </w:tcPr>
    </w:tblStylePr>
  </w:style>
  <w:style w:type="table" w:styleId="Svetlosenenjepoudarek5">
    <w:name w:val="Light Shading Accent 5"/>
    <w:basedOn w:val="Navadnatabela"/>
    <w:uiPriority w:val="99"/>
    <w:semiHidden/>
    <w:rsid w:val="00014566"/>
    <w:rPr>
      <w:color w:val="474747" w:themeColor="accent5" w:themeShade="BF"/>
      <w:lang w:val="fr-FR" w:eastAsia="fr-FR"/>
    </w:rPr>
    <w:tblPr>
      <w:tblStyleRowBandSize w:val="1"/>
      <w:tblStyleColBandSize w:val="1"/>
      <w:tblBorders>
        <w:top w:val="single" w:sz="8" w:space="0" w:color="5F5F5F" w:themeColor="accent5"/>
        <w:bottom w:val="single" w:sz="8" w:space="0" w:color="5F5F5F" w:themeColor="accent5"/>
      </w:tblBorders>
    </w:tblPr>
    <w:tblStylePr w:type="firstRow">
      <w:pPr>
        <w:spacing w:before="0" w:after="0" w:line="240" w:lineRule="auto"/>
      </w:pPr>
      <w:rPr>
        <w:b/>
        <w:bCs/>
      </w:rPr>
      <w:tblPr/>
      <w:tcPr>
        <w:tcBorders>
          <w:top w:val="single" w:sz="8" w:space="0" w:color="5F5F5F" w:themeColor="accent5"/>
          <w:left w:val="nil"/>
          <w:bottom w:val="single" w:sz="8" w:space="0" w:color="5F5F5F" w:themeColor="accent5"/>
          <w:right w:val="nil"/>
          <w:insideH w:val="nil"/>
          <w:insideV w:val="nil"/>
        </w:tcBorders>
      </w:tcPr>
    </w:tblStylePr>
    <w:tblStylePr w:type="lastRow">
      <w:pPr>
        <w:spacing w:before="0" w:after="0" w:line="240" w:lineRule="auto"/>
      </w:pPr>
      <w:rPr>
        <w:b/>
        <w:bCs/>
      </w:rPr>
      <w:tblPr/>
      <w:tcPr>
        <w:tcBorders>
          <w:top w:val="single" w:sz="8" w:space="0" w:color="5F5F5F" w:themeColor="accent5"/>
          <w:left w:val="nil"/>
          <w:bottom w:val="single" w:sz="8" w:space="0" w:color="5F5F5F"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7D7D7" w:themeFill="accent5" w:themeFillTint="3F"/>
      </w:tcPr>
    </w:tblStylePr>
    <w:tblStylePr w:type="band1Horz">
      <w:tblPr/>
      <w:tcPr>
        <w:tcBorders>
          <w:left w:val="nil"/>
          <w:right w:val="nil"/>
          <w:insideH w:val="nil"/>
          <w:insideV w:val="nil"/>
        </w:tcBorders>
        <w:shd w:val="clear" w:color="auto" w:fill="D7D7D7" w:themeFill="accent5" w:themeFillTint="3F"/>
      </w:tcPr>
    </w:tblStylePr>
  </w:style>
  <w:style w:type="table" w:styleId="Svetlosenenjepoudarek6">
    <w:name w:val="Light Shading Accent 6"/>
    <w:basedOn w:val="Navadnatabela"/>
    <w:uiPriority w:val="99"/>
    <w:semiHidden/>
    <w:rsid w:val="00014566"/>
    <w:rPr>
      <w:color w:val="393939" w:themeColor="accent6" w:themeShade="BF"/>
      <w:lang w:val="fr-FR" w:eastAsia="fr-FR"/>
    </w:rPr>
    <w:tblPr>
      <w:tblStyleRowBandSize w:val="1"/>
      <w:tblStyleColBandSize w:val="1"/>
      <w:tblBorders>
        <w:top w:val="single" w:sz="8" w:space="0" w:color="4D4D4D" w:themeColor="accent6"/>
        <w:bottom w:val="single" w:sz="8" w:space="0" w:color="4D4D4D" w:themeColor="accent6"/>
      </w:tblBorders>
    </w:tblPr>
    <w:tblStylePr w:type="firstRow">
      <w:pPr>
        <w:spacing w:before="0" w:after="0" w:line="240" w:lineRule="auto"/>
      </w:pPr>
      <w:rPr>
        <w:b/>
        <w:bCs/>
      </w:rPr>
      <w:tblPr/>
      <w:tcPr>
        <w:tcBorders>
          <w:top w:val="single" w:sz="8" w:space="0" w:color="4D4D4D" w:themeColor="accent6"/>
          <w:left w:val="nil"/>
          <w:bottom w:val="single" w:sz="8" w:space="0" w:color="4D4D4D" w:themeColor="accent6"/>
          <w:right w:val="nil"/>
          <w:insideH w:val="nil"/>
          <w:insideV w:val="nil"/>
        </w:tcBorders>
      </w:tcPr>
    </w:tblStylePr>
    <w:tblStylePr w:type="lastRow">
      <w:pPr>
        <w:spacing w:before="0" w:after="0" w:line="240" w:lineRule="auto"/>
      </w:pPr>
      <w:rPr>
        <w:b/>
        <w:bCs/>
      </w:rPr>
      <w:tblPr/>
      <w:tcPr>
        <w:tcBorders>
          <w:top w:val="single" w:sz="8" w:space="0" w:color="4D4D4D" w:themeColor="accent6"/>
          <w:left w:val="nil"/>
          <w:bottom w:val="single" w:sz="8" w:space="0" w:color="4D4D4D"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3D3" w:themeFill="accent6" w:themeFillTint="3F"/>
      </w:tcPr>
    </w:tblStylePr>
    <w:tblStylePr w:type="band1Horz">
      <w:tblPr/>
      <w:tcPr>
        <w:tcBorders>
          <w:left w:val="nil"/>
          <w:right w:val="nil"/>
          <w:insideH w:val="nil"/>
          <w:insideV w:val="nil"/>
        </w:tcBorders>
        <w:shd w:val="clear" w:color="auto" w:fill="D3D3D3" w:themeFill="accent6" w:themeFillTint="3F"/>
      </w:tcPr>
    </w:tblStylePr>
  </w:style>
  <w:style w:type="character" w:styleId="tevilkavrstice">
    <w:name w:val="line number"/>
    <w:basedOn w:val="Privzetapisavaodstavka"/>
    <w:uiPriority w:val="99"/>
    <w:semiHidden/>
    <w:rsid w:val="00014566"/>
  </w:style>
  <w:style w:type="paragraph" w:styleId="Seznam">
    <w:name w:val="List"/>
    <w:basedOn w:val="Navaden"/>
    <w:uiPriority w:val="99"/>
    <w:semiHidden/>
    <w:rsid w:val="00014566"/>
    <w:pPr>
      <w:ind w:left="283" w:hanging="283"/>
      <w:contextualSpacing/>
    </w:pPr>
  </w:style>
  <w:style w:type="paragraph" w:styleId="Seznam2">
    <w:name w:val="List 2"/>
    <w:basedOn w:val="Navaden"/>
    <w:uiPriority w:val="99"/>
    <w:semiHidden/>
    <w:rsid w:val="00014566"/>
    <w:pPr>
      <w:ind w:left="566" w:hanging="283"/>
      <w:contextualSpacing/>
    </w:pPr>
  </w:style>
  <w:style w:type="paragraph" w:styleId="Seznam3">
    <w:name w:val="List 3"/>
    <w:basedOn w:val="Navaden"/>
    <w:uiPriority w:val="99"/>
    <w:semiHidden/>
    <w:rsid w:val="00014566"/>
    <w:pPr>
      <w:ind w:left="849" w:hanging="283"/>
      <w:contextualSpacing/>
    </w:pPr>
  </w:style>
  <w:style w:type="paragraph" w:styleId="Seznam4">
    <w:name w:val="List 4"/>
    <w:basedOn w:val="Navaden"/>
    <w:uiPriority w:val="99"/>
    <w:semiHidden/>
    <w:rsid w:val="00014566"/>
    <w:pPr>
      <w:ind w:left="1132" w:hanging="283"/>
      <w:contextualSpacing/>
    </w:pPr>
  </w:style>
  <w:style w:type="paragraph" w:styleId="Seznam5">
    <w:name w:val="List 5"/>
    <w:basedOn w:val="Navaden"/>
    <w:uiPriority w:val="99"/>
    <w:semiHidden/>
    <w:rsid w:val="00014566"/>
    <w:pPr>
      <w:ind w:left="1415" w:hanging="283"/>
      <w:contextualSpacing/>
    </w:pPr>
  </w:style>
  <w:style w:type="paragraph" w:styleId="Oznaenseznam2">
    <w:name w:val="List Bullet 2"/>
    <w:basedOn w:val="Navaden"/>
    <w:uiPriority w:val="99"/>
    <w:semiHidden/>
    <w:rsid w:val="00014566"/>
    <w:pPr>
      <w:numPr>
        <w:numId w:val="5"/>
      </w:numPr>
      <w:contextualSpacing/>
    </w:pPr>
  </w:style>
  <w:style w:type="paragraph" w:styleId="Oznaenseznam3">
    <w:name w:val="List Bullet 3"/>
    <w:basedOn w:val="Navaden"/>
    <w:uiPriority w:val="99"/>
    <w:semiHidden/>
    <w:rsid w:val="00014566"/>
    <w:pPr>
      <w:numPr>
        <w:numId w:val="6"/>
      </w:numPr>
      <w:contextualSpacing/>
    </w:pPr>
  </w:style>
  <w:style w:type="paragraph" w:styleId="Oznaenseznam4">
    <w:name w:val="List Bullet 4"/>
    <w:basedOn w:val="Navaden"/>
    <w:uiPriority w:val="99"/>
    <w:semiHidden/>
    <w:rsid w:val="00014566"/>
    <w:pPr>
      <w:numPr>
        <w:numId w:val="7"/>
      </w:numPr>
      <w:contextualSpacing/>
    </w:pPr>
  </w:style>
  <w:style w:type="paragraph" w:styleId="Oznaenseznam5">
    <w:name w:val="List Bullet 5"/>
    <w:basedOn w:val="Navaden"/>
    <w:uiPriority w:val="99"/>
    <w:semiHidden/>
    <w:rsid w:val="00014566"/>
    <w:pPr>
      <w:numPr>
        <w:numId w:val="8"/>
      </w:numPr>
      <w:contextualSpacing/>
    </w:pPr>
  </w:style>
  <w:style w:type="paragraph" w:styleId="Seznam-nadaljevanje">
    <w:name w:val="List Continue"/>
    <w:basedOn w:val="Navaden"/>
    <w:uiPriority w:val="99"/>
    <w:semiHidden/>
    <w:rsid w:val="00014566"/>
    <w:pPr>
      <w:spacing w:after="120"/>
      <w:ind w:left="283"/>
      <w:contextualSpacing/>
    </w:pPr>
  </w:style>
  <w:style w:type="paragraph" w:styleId="Seznam-nadaljevanje2">
    <w:name w:val="List Continue 2"/>
    <w:basedOn w:val="Navaden"/>
    <w:uiPriority w:val="99"/>
    <w:semiHidden/>
    <w:rsid w:val="00014566"/>
    <w:pPr>
      <w:spacing w:after="120"/>
      <w:ind w:left="566"/>
      <w:contextualSpacing/>
    </w:pPr>
  </w:style>
  <w:style w:type="paragraph" w:styleId="Seznam-nadaljevanje3">
    <w:name w:val="List Continue 3"/>
    <w:basedOn w:val="Navaden"/>
    <w:uiPriority w:val="99"/>
    <w:semiHidden/>
    <w:rsid w:val="00014566"/>
    <w:pPr>
      <w:spacing w:after="120"/>
      <w:ind w:left="849"/>
      <w:contextualSpacing/>
    </w:pPr>
  </w:style>
  <w:style w:type="paragraph" w:styleId="Seznam-nadaljevanje4">
    <w:name w:val="List Continue 4"/>
    <w:basedOn w:val="Navaden"/>
    <w:uiPriority w:val="99"/>
    <w:semiHidden/>
    <w:rsid w:val="00014566"/>
    <w:pPr>
      <w:spacing w:after="120"/>
      <w:ind w:left="1132"/>
      <w:contextualSpacing/>
    </w:pPr>
  </w:style>
  <w:style w:type="paragraph" w:styleId="Seznam-nadaljevanje5">
    <w:name w:val="List Continue 5"/>
    <w:basedOn w:val="Navaden"/>
    <w:uiPriority w:val="99"/>
    <w:semiHidden/>
    <w:rsid w:val="00014566"/>
    <w:pPr>
      <w:spacing w:after="120"/>
      <w:ind w:left="1415"/>
      <w:contextualSpacing/>
    </w:pPr>
  </w:style>
  <w:style w:type="paragraph" w:styleId="Otevilenseznam">
    <w:name w:val="List Number"/>
    <w:basedOn w:val="Navaden"/>
    <w:uiPriority w:val="99"/>
    <w:semiHidden/>
    <w:rsid w:val="00014566"/>
    <w:pPr>
      <w:numPr>
        <w:numId w:val="9"/>
      </w:numPr>
      <w:contextualSpacing/>
    </w:pPr>
  </w:style>
  <w:style w:type="paragraph" w:styleId="Otevilenseznam2">
    <w:name w:val="List Number 2"/>
    <w:basedOn w:val="Navaden"/>
    <w:uiPriority w:val="99"/>
    <w:semiHidden/>
    <w:rsid w:val="00014566"/>
    <w:pPr>
      <w:numPr>
        <w:numId w:val="10"/>
      </w:numPr>
      <w:contextualSpacing/>
    </w:pPr>
  </w:style>
  <w:style w:type="paragraph" w:styleId="Otevilenseznam3">
    <w:name w:val="List Number 3"/>
    <w:basedOn w:val="Navaden"/>
    <w:uiPriority w:val="99"/>
    <w:semiHidden/>
    <w:rsid w:val="00014566"/>
    <w:pPr>
      <w:numPr>
        <w:numId w:val="11"/>
      </w:numPr>
      <w:contextualSpacing/>
    </w:pPr>
  </w:style>
  <w:style w:type="paragraph" w:styleId="Otevilenseznam4">
    <w:name w:val="List Number 4"/>
    <w:basedOn w:val="Navaden"/>
    <w:uiPriority w:val="99"/>
    <w:semiHidden/>
    <w:rsid w:val="00014566"/>
    <w:pPr>
      <w:numPr>
        <w:numId w:val="12"/>
      </w:numPr>
      <w:contextualSpacing/>
    </w:pPr>
  </w:style>
  <w:style w:type="paragraph" w:styleId="Otevilenseznam5">
    <w:name w:val="List Number 5"/>
    <w:basedOn w:val="Navaden"/>
    <w:uiPriority w:val="99"/>
    <w:semiHidden/>
    <w:rsid w:val="00014566"/>
    <w:pPr>
      <w:numPr>
        <w:numId w:val="13"/>
      </w:numPr>
      <w:contextualSpacing/>
    </w:pPr>
  </w:style>
  <w:style w:type="paragraph" w:styleId="Makrobesedilo">
    <w:name w:val="macro"/>
    <w:link w:val="MakrobesediloZnak"/>
    <w:uiPriority w:val="99"/>
    <w:semiHidden/>
    <w:rsid w:val="00014566"/>
    <w:pPr>
      <w:tabs>
        <w:tab w:val="left" w:pos="480"/>
        <w:tab w:val="left" w:pos="960"/>
        <w:tab w:val="left" w:pos="1440"/>
        <w:tab w:val="left" w:pos="1920"/>
        <w:tab w:val="left" w:pos="2400"/>
        <w:tab w:val="left" w:pos="2880"/>
        <w:tab w:val="left" w:pos="3360"/>
        <w:tab w:val="left" w:pos="3840"/>
        <w:tab w:val="left" w:pos="4320"/>
      </w:tabs>
      <w:suppressAutoHyphens/>
    </w:pPr>
    <w:rPr>
      <w:rFonts w:ascii="Consolas" w:hAnsi="Consolas" w:cs="Consolas"/>
      <w:sz w:val="20"/>
      <w:szCs w:val="20"/>
      <w:lang w:val="en-GB" w:eastAsia="fr-FR"/>
    </w:rPr>
  </w:style>
  <w:style w:type="character" w:customStyle="1" w:styleId="MakrobesediloZnak">
    <w:name w:val="Makro besedilo Znak"/>
    <w:basedOn w:val="Privzetapisavaodstavka"/>
    <w:link w:val="Makrobesedilo"/>
    <w:uiPriority w:val="99"/>
    <w:semiHidden/>
    <w:rsid w:val="00014566"/>
    <w:rPr>
      <w:rFonts w:ascii="Consolas" w:hAnsi="Consolas" w:cs="Consolas"/>
      <w:sz w:val="20"/>
      <w:szCs w:val="20"/>
      <w:lang w:val="en-GB" w:eastAsia="fr-FR"/>
    </w:rPr>
  </w:style>
  <w:style w:type="table" w:styleId="Srednjamrea1">
    <w:name w:val="Medium Grid 1"/>
    <w:basedOn w:val="Navadnatabela"/>
    <w:uiPriority w:val="99"/>
    <w:semiHidden/>
    <w:rsid w:val="00014566"/>
    <w:rPr>
      <w:lang w:val="fr-FR" w:eastAsia="fr-FR"/>
    </w:r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Srednjamrea1poudarek1">
    <w:name w:val="Medium Grid 1 Accent 1"/>
    <w:basedOn w:val="Navadnatabela"/>
    <w:uiPriority w:val="99"/>
    <w:semiHidden/>
    <w:rsid w:val="00014566"/>
    <w:rPr>
      <w:lang w:val="fr-FR" w:eastAsia="fr-FR"/>
    </w:rPr>
    <w:tblPr>
      <w:tblStyleRowBandSize w:val="1"/>
      <w:tblStyleColBandSize w:val="1"/>
      <w:tblBorders>
        <w:top w:val="single" w:sz="8" w:space="0" w:color="0D9FFF" w:themeColor="accent1" w:themeTint="BF"/>
        <w:left w:val="single" w:sz="8" w:space="0" w:color="0D9FFF" w:themeColor="accent1" w:themeTint="BF"/>
        <w:bottom w:val="single" w:sz="8" w:space="0" w:color="0D9FFF" w:themeColor="accent1" w:themeTint="BF"/>
        <w:right w:val="single" w:sz="8" w:space="0" w:color="0D9FFF" w:themeColor="accent1" w:themeTint="BF"/>
        <w:insideH w:val="single" w:sz="8" w:space="0" w:color="0D9FFF" w:themeColor="accent1" w:themeTint="BF"/>
        <w:insideV w:val="single" w:sz="8" w:space="0" w:color="0D9FFF" w:themeColor="accent1" w:themeTint="BF"/>
      </w:tblBorders>
    </w:tblPr>
    <w:tcPr>
      <w:shd w:val="clear" w:color="auto" w:fill="AFDFFF" w:themeFill="accent1" w:themeFillTint="3F"/>
    </w:tcPr>
    <w:tblStylePr w:type="firstRow">
      <w:rPr>
        <w:b/>
        <w:bCs/>
      </w:rPr>
    </w:tblStylePr>
    <w:tblStylePr w:type="lastRow">
      <w:rPr>
        <w:b/>
        <w:bCs/>
      </w:rPr>
      <w:tblPr/>
      <w:tcPr>
        <w:tcBorders>
          <w:top w:val="single" w:sz="18" w:space="0" w:color="0D9FFF" w:themeColor="accent1" w:themeTint="BF"/>
        </w:tcBorders>
      </w:tcPr>
    </w:tblStylePr>
    <w:tblStylePr w:type="firstCol">
      <w:rPr>
        <w:b/>
        <w:bCs/>
      </w:rPr>
    </w:tblStylePr>
    <w:tblStylePr w:type="lastCol">
      <w:rPr>
        <w:b/>
        <w:bCs/>
      </w:rPr>
    </w:tblStylePr>
    <w:tblStylePr w:type="band1Vert">
      <w:tblPr/>
      <w:tcPr>
        <w:shd w:val="clear" w:color="auto" w:fill="5EBFFF" w:themeFill="accent1" w:themeFillTint="7F"/>
      </w:tcPr>
    </w:tblStylePr>
    <w:tblStylePr w:type="band1Horz">
      <w:tblPr/>
      <w:tcPr>
        <w:shd w:val="clear" w:color="auto" w:fill="5EBFFF" w:themeFill="accent1" w:themeFillTint="7F"/>
      </w:tcPr>
    </w:tblStylePr>
  </w:style>
  <w:style w:type="table" w:styleId="Srednjamrea1poudarek2">
    <w:name w:val="Medium Grid 1 Accent 2"/>
    <w:basedOn w:val="Navadnatabela"/>
    <w:uiPriority w:val="99"/>
    <w:semiHidden/>
    <w:rsid w:val="00014566"/>
    <w:rPr>
      <w:lang w:val="fr-FR" w:eastAsia="fr-FR"/>
    </w:rPr>
    <w:tblPr>
      <w:tblStyleRowBandSize w:val="1"/>
      <w:tblStyleColBandSize w:val="1"/>
      <w:tblBorders>
        <w:top w:val="single" w:sz="8" w:space="0" w:color="FF1010" w:themeColor="accent2" w:themeTint="BF"/>
        <w:left w:val="single" w:sz="8" w:space="0" w:color="FF1010" w:themeColor="accent2" w:themeTint="BF"/>
        <w:bottom w:val="single" w:sz="8" w:space="0" w:color="FF1010" w:themeColor="accent2" w:themeTint="BF"/>
        <w:right w:val="single" w:sz="8" w:space="0" w:color="FF1010" w:themeColor="accent2" w:themeTint="BF"/>
        <w:insideH w:val="single" w:sz="8" w:space="0" w:color="FF1010" w:themeColor="accent2" w:themeTint="BF"/>
        <w:insideV w:val="single" w:sz="8" w:space="0" w:color="FF1010" w:themeColor="accent2" w:themeTint="BF"/>
      </w:tblBorders>
    </w:tblPr>
    <w:tcPr>
      <w:shd w:val="clear" w:color="auto" w:fill="FFB0B0" w:themeFill="accent2" w:themeFillTint="3F"/>
    </w:tcPr>
    <w:tblStylePr w:type="firstRow">
      <w:rPr>
        <w:b/>
        <w:bCs/>
      </w:rPr>
    </w:tblStylePr>
    <w:tblStylePr w:type="lastRow">
      <w:rPr>
        <w:b/>
        <w:bCs/>
      </w:rPr>
      <w:tblPr/>
      <w:tcPr>
        <w:tcBorders>
          <w:top w:val="single" w:sz="18" w:space="0" w:color="FF1010" w:themeColor="accent2" w:themeTint="BF"/>
        </w:tcBorders>
      </w:tcPr>
    </w:tblStylePr>
    <w:tblStylePr w:type="firstCol">
      <w:rPr>
        <w:b/>
        <w:bCs/>
      </w:rPr>
    </w:tblStylePr>
    <w:tblStylePr w:type="lastCol">
      <w:rPr>
        <w:b/>
        <w:bCs/>
      </w:rPr>
    </w:tblStylePr>
    <w:tblStylePr w:type="band1Vert">
      <w:tblPr/>
      <w:tcPr>
        <w:shd w:val="clear" w:color="auto" w:fill="FF6060" w:themeFill="accent2" w:themeFillTint="7F"/>
      </w:tcPr>
    </w:tblStylePr>
    <w:tblStylePr w:type="band1Horz">
      <w:tblPr/>
      <w:tcPr>
        <w:shd w:val="clear" w:color="auto" w:fill="FF6060" w:themeFill="accent2" w:themeFillTint="7F"/>
      </w:tcPr>
    </w:tblStylePr>
  </w:style>
  <w:style w:type="table" w:styleId="Srednjamrea1poudarek3">
    <w:name w:val="Medium Grid 1 Accent 3"/>
    <w:basedOn w:val="Navadnatabela"/>
    <w:uiPriority w:val="99"/>
    <w:semiHidden/>
    <w:rsid w:val="00014566"/>
    <w:rPr>
      <w:lang w:val="fr-FR" w:eastAsia="fr-FR"/>
    </w:rPr>
    <w:tblPr>
      <w:tblStyleRowBandSize w:val="1"/>
      <w:tblStyleColBandSize w:val="1"/>
      <w:tblBorders>
        <w:top w:val="single" w:sz="8" w:space="0" w:color="878787" w:themeColor="accent3" w:themeTint="BF"/>
        <w:left w:val="single" w:sz="8" w:space="0" w:color="878787" w:themeColor="accent3" w:themeTint="BF"/>
        <w:bottom w:val="single" w:sz="8" w:space="0" w:color="878787" w:themeColor="accent3" w:themeTint="BF"/>
        <w:right w:val="single" w:sz="8" w:space="0" w:color="878787" w:themeColor="accent3" w:themeTint="BF"/>
        <w:insideH w:val="single" w:sz="8" w:space="0" w:color="878787" w:themeColor="accent3" w:themeTint="BF"/>
        <w:insideV w:val="single" w:sz="8" w:space="0" w:color="878787" w:themeColor="accent3" w:themeTint="BF"/>
      </w:tblBorders>
    </w:tblPr>
    <w:tcPr>
      <w:shd w:val="clear" w:color="auto" w:fill="D7D7D7" w:themeFill="accent3" w:themeFillTint="3F"/>
    </w:tcPr>
    <w:tblStylePr w:type="firstRow">
      <w:rPr>
        <w:b/>
        <w:bCs/>
      </w:rPr>
    </w:tblStylePr>
    <w:tblStylePr w:type="lastRow">
      <w:rPr>
        <w:b/>
        <w:bCs/>
      </w:rPr>
      <w:tblPr/>
      <w:tcPr>
        <w:tcBorders>
          <w:top w:val="single" w:sz="18" w:space="0" w:color="878787" w:themeColor="accent3" w:themeTint="BF"/>
        </w:tcBorders>
      </w:tcPr>
    </w:tblStylePr>
    <w:tblStylePr w:type="firstCol">
      <w:rPr>
        <w:b/>
        <w:bCs/>
      </w:rPr>
    </w:tblStylePr>
    <w:tblStylePr w:type="lastCol">
      <w:rPr>
        <w:b/>
        <w:bCs/>
      </w:rPr>
    </w:tblStylePr>
    <w:tblStylePr w:type="band1Vert">
      <w:tblPr/>
      <w:tcPr>
        <w:shd w:val="clear" w:color="auto" w:fill="AFAFAF" w:themeFill="accent3" w:themeFillTint="7F"/>
      </w:tcPr>
    </w:tblStylePr>
    <w:tblStylePr w:type="band1Horz">
      <w:tblPr/>
      <w:tcPr>
        <w:shd w:val="clear" w:color="auto" w:fill="AFAFAF" w:themeFill="accent3" w:themeFillTint="7F"/>
      </w:tcPr>
    </w:tblStylePr>
  </w:style>
  <w:style w:type="table" w:styleId="Srednjamrea1poudarek4">
    <w:name w:val="Medium Grid 1 Accent 4"/>
    <w:basedOn w:val="Navadnatabela"/>
    <w:uiPriority w:val="99"/>
    <w:semiHidden/>
    <w:rsid w:val="00014566"/>
    <w:rPr>
      <w:lang w:val="fr-FR" w:eastAsia="fr-FR"/>
    </w:rPr>
    <w:tblPr>
      <w:tblStyleRowBandSize w:val="1"/>
      <w:tblStyleColBandSize w:val="1"/>
      <w:tblBorders>
        <w:top w:val="single" w:sz="8" w:space="0" w:color="B0B0B0" w:themeColor="accent4" w:themeTint="BF"/>
        <w:left w:val="single" w:sz="8" w:space="0" w:color="B0B0B0" w:themeColor="accent4" w:themeTint="BF"/>
        <w:bottom w:val="single" w:sz="8" w:space="0" w:color="B0B0B0" w:themeColor="accent4" w:themeTint="BF"/>
        <w:right w:val="single" w:sz="8" w:space="0" w:color="B0B0B0" w:themeColor="accent4" w:themeTint="BF"/>
        <w:insideH w:val="single" w:sz="8" w:space="0" w:color="B0B0B0" w:themeColor="accent4" w:themeTint="BF"/>
        <w:insideV w:val="single" w:sz="8" w:space="0" w:color="B0B0B0" w:themeColor="accent4" w:themeTint="BF"/>
      </w:tblBorders>
    </w:tblPr>
    <w:tcPr>
      <w:shd w:val="clear" w:color="auto" w:fill="E5E5E5" w:themeFill="accent4" w:themeFillTint="3F"/>
    </w:tcPr>
    <w:tblStylePr w:type="firstRow">
      <w:rPr>
        <w:b/>
        <w:bCs/>
      </w:rPr>
    </w:tblStylePr>
    <w:tblStylePr w:type="lastRow">
      <w:rPr>
        <w:b/>
        <w:bCs/>
      </w:rPr>
      <w:tblPr/>
      <w:tcPr>
        <w:tcBorders>
          <w:top w:val="single" w:sz="18" w:space="0" w:color="B0B0B0" w:themeColor="accent4" w:themeTint="BF"/>
        </w:tcBorders>
      </w:tcPr>
    </w:tblStylePr>
    <w:tblStylePr w:type="firstCol">
      <w:rPr>
        <w:b/>
        <w:bCs/>
      </w:rPr>
    </w:tblStylePr>
    <w:tblStylePr w:type="lastCol">
      <w:rPr>
        <w:b/>
        <w:bCs/>
      </w:rPr>
    </w:tblStylePr>
    <w:tblStylePr w:type="band1Vert">
      <w:tblPr/>
      <w:tcPr>
        <w:shd w:val="clear" w:color="auto" w:fill="CACACA" w:themeFill="accent4" w:themeFillTint="7F"/>
      </w:tcPr>
    </w:tblStylePr>
    <w:tblStylePr w:type="band1Horz">
      <w:tblPr/>
      <w:tcPr>
        <w:shd w:val="clear" w:color="auto" w:fill="CACACA" w:themeFill="accent4" w:themeFillTint="7F"/>
      </w:tcPr>
    </w:tblStylePr>
  </w:style>
  <w:style w:type="table" w:styleId="Srednjamrea1poudarek5">
    <w:name w:val="Medium Grid 1 Accent 5"/>
    <w:basedOn w:val="Navadnatabela"/>
    <w:uiPriority w:val="99"/>
    <w:semiHidden/>
    <w:rsid w:val="00014566"/>
    <w:rPr>
      <w:lang w:val="fr-FR" w:eastAsia="fr-FR"/>
    </w:rPr>
    <w:tblPr>
      <w:tblStyleRowBandSize w:val="1"/>
      <w:tblStyleColBandSize w:val="1"/>
      <w:tblBorders>
        <w:top w:val="single" w:sz="8"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single" w:sz="8" w:space="0" w:color="878787" w:themeColor="accent5" w:themeTint="BF"/>
        <w:insideV w:val="single" w:sz="8" w:space="0" w:color="878787" w:themeColor="accent5" w:themeTint="BF"/>
      </w:tblBorders>
    </w:tblPr>
    <w:tcPr>
      <w:shd w:val="clear" w:color="auto" w:fill="D7D7D7" w:themeFill="accent5" w:themeFillTint="3F"/>
    </w:tcPr>
    <w:tblStylePr w:type="firstRow">
      <w:rPr>
        <w:b/>
        <w:bCs/>
      </w:rPr>
    </w:tblStylePr>
    <w:tblStylePr w:type="lastRow">
      <w:rPr>
        <w:b/>
        <w:bCs/>
      </w:rPr>
      <w:tblPr/>
      <w:tcPr>
        <w:tcBorders>
          <w:top w:val="single" w:sz="18" w:space="0" w:color="878787" w:themeColor="accent5" w:themeTint="BF"/>
        </w:tcBorders>
      </w:tcPr>
    </w:tblStylePr>
    <w:tblStylePr w:type="firstCol">
      <w:rPr>
        <w:b/>
        <w:bCs/>
      </w:rPr>
    </w:tblStylePr>
    <w:tblStylePr w:type="lastCol">
      <w:rPr>
        <w:b/>
        <w:bCs/>
      </w:rPr>
    </w:tblStylePr>
    <w:tblStylePr w:type="band1Vert">
      <w:tblPr/>
      <w:tcPr>
        <w:shd w:val="clear" w:color="auto" w:fill="AFAFAF" w:themeFill="accent5" w:themeFillTint="7F"/>
      </w:tcPr>
    </w:tblStylePr>
    <w:tblStylePr w:type="band1Horz">
      <w:tblPr/>
      <w:tcPr>
        <w:shd w:val="clear" w:color="auto" w:fill="AFAFAF" w:themeFill="accent5" w:themeFillTint="7F"/>
      </w:tcPr>
    </w:tblStylePr>
  </w:style>
  <w:style w:type="table" w:styleId="Srednjamrea1poudarek6">
    <w:name w:val="Medium Grid 1 Accent 6"/>
    <w:basedOn w:val="Navadnatabela"/>
    <w:uiPriority w:val="99"/>
    <w:semiHidden/>
    <w:rsid w:val="00014566"/>
    <w:rPr>
      <w:lang w:val="fr-FR" w:eastAsia="fr-FR"/>
    </w:rPr>
    <w:tblPr>
      <w:tblStyleRowBandSize w:val="1"/>
      <w:tblStyleColBandSize w:val="1"/>
      <w:tblBorders>
        <w:top w:val="single" w:sz="8"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single" w:sz="8" w:space="0" w:color="797979" w:themeColor="accent6" w:themeTint="BF"/>
        <w:insideV w:val="single" w:sz="8" w:space="0" w:color="797979" w:themeColor="accent6" w:themeTint="BF"/>
      </w:tblBorders>
    </w:tblPr>
    <w:tcPr>
      <w:shd w:val="clear" w:color="auto" w:fill="D3D3D3" w:themeFill="accent6" w:themeFillTint="3F"/>
    </w:tcPr>
    <w:tblStylePr w:type="firstRow">
      <w:rPr>
        <w:b/>
        <w:bCs/>
      </w:rPr>
    </w:tblStylePr>
    <w:tblStylePr w:type="lastRow">
      <w:rPr>
        <w:b/>
        <w:bCs/>
      </w:rPr>
      <w:tblPr/>
      <w:tcPr>
        <w:tcBorders>
          <w:top w:val="single" w:sz="18" w:space="0" w:color="797979" w:themeColor="accent6" w:themeTint="BF"/>
        </w:tcBorders>
      </w:tcPr>
    </w:tblStylePr>
    <w:tblStylePr w:type="firstCol">
      <w:rPr>
        <w:b/>
        <w:bCs/>
      </w:rPr>
    </w:tblStylePr>
    <w:tblStylePr w:type="lastCol">
      <w:rPr>
        <w:b/>
        <w:bCs/>
      </w:rPr>
    </w:tblStylePr>
    <w:tblStylePr w:type="band1Vert">
      <w:tblPr/>
      <w:tcPr>
        <w:shd w:val="clear" w:color="auto" w:fill="A6A6A6" w:themeFill="accent6" w:themeFillTint="7F"/>
      </w:tcPr>
    </w:tblStylePr>
    <w:tblStylePr w:type="band1Horz">
      <w:tblPr/>
      <w:tcPr>
        <w:shd w:val="clear" w:color="auto" w:fill="A6A6A6" w:themeFill="accent6" w:themeFillTint="7F"/>
      </w:tcPr>
    </w:tblStylePr>
  </w:style>
  <w:style w:type="table" w:styleId="Srednjamrea2">
    <w:name w:val="Medium Grid 2"/>
    <w:basedOn w:val="Navadnatabela"/>
    <w:uiPriority w:val="99"/>
    <w:semiHidden/>
    <w:rsid w:val="00014566"/>
    <w:rPr>
      <w:rFonts w:asciiTheme="majorHAnsi" w:eastAsiaTheme="majorEastAsia" w:hAnsiTheme="majorHAnsi" w:cstheme="majorBidi"/>
      <w:color w:val="000000" w:themeColor="text1"/>
      <w:lang w:val="fr-FR" w:eastAsia="fr-FR"/>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0072BC" w:themeFill="background1"/>
      </w:tcPr>
    </w:tblStylePr>
  </w:style>
  <w:style w:type="table" w:styleId="Srednjamrea2poudarek1">
    <w:name w:val="Medium Grid 2 Accent 1"/>
    <w:basedOn w:val="Navadnatabela"/>
    <w:uiPriority w:val="99"/>
    <w:semiHidden/>
    <w:rsid w:val="00014566"/>
    <w:rPr>
      <w:rFonts w:asciiTheme="majorHAnsi" w:eastAsiaTheme="majorEastAsia" w:hAnsiTheme="majorHAnsi" w:cstheme="majorBidi"/>
      <w:color w:val="000000" w:themeColor="text1"/>
      <w:lang w:val="fr-FR" w:eastAsia="fr-FR"/>
    </w:rPr>
    <w:tblPr>
      <w:tblStyleRowBandSize w:val="1"/>
      <w:tblStyleColBandSize w:val="1"/>
      <w:tblBorders>
        <w:top w:val="single" w:sz="8" w:space="0" w:color="0072BC" w:themeColor="accent1"/>
        <w:left w:val="single" w:sz="8" w:space="0" w:color="0072BC" w:themeColor="accent1"/>
        <w:bottom w:val="single" w:sz="8" w:space="0" w:color="0072BC" w:themeColor="accent1"/>
        <w:right w:val="single" w:sz="8" w:space="0" w:color="0072BC" w:themeColor="accent1"/>
        <w:insideH w:val="single" w:sz="8" w:space="0" w:color="0072BC" w:themeColor="accent1"/>
        <w:insideV w:val="single" w:sz="8" w:space="0" w:color="0072BC" w:themeColor="accent1"/>
      </w:tblBorders>
    </w:tblPr>
    <w:tcPr>
      <w:shd w:val="clear" w:color="auto" w:fill="AFDFFF" w:themeFill="accent1" w:themeFillTint="3F"/>
    </w:tcPr>
    <w:tblStylePr w:type="firstRow">
      <w:rPr>
        <w:b/>
        <w:bCs/>
        <w:color w:val="000000" w:themeColor="text1"/>
      </w:rPr>
      <w:tblPr/>
      <w:tcPr>
        <w:shd w:val="clear" w:color="auto" w:fill="DFF2FF"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BEE5FF" w:themeFill="accent1" w:themeFillTint="33"/>
      </w:tcPr>
    </w:tblStylePr>
    <w:tblStylePr w:type="band1Vert">
      <w:tblPr/>
      <w:tcPr>
        <w:shd w:val="clear" w:color="auto" w:fill="5EBFFF" w:themeFill="accent1" w:themeFillTint="7F"/>
      </w:tcPr>
    </w:tblStylePr>
    <w:tblStylePr w:type="band1Horz">
      <w:tblPr/>
      <w:tcPr>
        <w:tcBorders>
          <w:insideH w:val="single" w:sz="6" w:space="0" w:color="0072BC" w:themeColor="accent1"/>
          <w:insideV w:val="single" w:sz="6" w:space="0" w:color="0072BC" w:themeColor="accent1"/>
        </w:tcBorders>
        <w:shd w:val="clear" w:color="auto" w:fill="5EBFFF" w:themeFill="accent1" w:themeFillTint="7F"/>
      </w:tcPr>
    </w:tblStylePr>
    <w:tblStylePr w:type="nwCell">
      <w:tblPr/>
      <w:tcPr>
        <w:shd w:val="clear" w:color="auto" w:fill="0072BC" w:themeFill="background1"/>
      </w:tcPr>
    </w:tblStylePr>
  </w:style>
  <w:style w:type="table" w:styleId="Srednjamrea2poudarek2">
    <w:name w:val="Medium Grid 2 Accent 2"/>
    <w:basedOn w:val="Navadnatabela"/>
    <w:uiPriority w:val="99"/>
    <w:semiHidden/>
    <w:rsid w:val="00014566"/>
    <w:rPr>
      <w:rFonts w:asciiTheme="majorHAnsi" w:eastAsiaTheme="majorEastAsia" w:hAnsiTheme="majorHAnsi" w:cstheme="majorBidi"/>
      <w:color w:val="000000" w:themeColor="text1"/>
      <w:lang w:val="fr-FR" w:eastAsia="fr-FR"/>
    </w:rPr>
    <w:tblPr>
      <w:tblStyleRowBandSize w:val="1"/>
      <w:tblStyleColBandSize w:val="1"/>
      <w:tblBorders>
        <w:top w:val="single" w:sz="8" w:space="0" w:color="C00000" w:themeColor="accent2"/>
        <w:left w:val="single" w:sz="8" w:space="0" w:color="C00000" w:themeColor="accent2"/>
        <w:bottom w:val="single" w:sz="8" w:space="0" w:color="C00000" w:themeColor="accent2"/>
        <w:right w:val="single" w:sz="8" w:space="0" w:color="C00000" w:themeColor="accent2"/>
        <w:insideH w:val="single" w:sz="8" w:space="0" w:color="C00000" w:themeColor="accent2"/>
        <w:insideV w:val="single" w:sz="8" w:space="0" w:color="C00000" w:themeColor="accent2"/>
      </w:tblBorders>
    </w:tblPr>
    <w:tcPr>
      <w:shd w:val="clear" w:color="auto" w:fill="FFB0B0" w:themeFill="accent2" w:themeFillTint="3F"/>
    </w:tcPr>
    <w:tblStylePr w:type="firstRow">
      <w:rPr>
        <w:b/>
        <w:bCs/>
        <w:color w:val="000000" w:themeColor="text1"/>
      </w:rPr>
      <w:tblPr/>
      <w:tcPr>
        <w:shd w:val="clear" w:color="auto" w:fill="FFDFDF"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BFBF" w:themeFill="accent2" w:themeFillTint="33"/>
      </w:tcPr>
    </w:tblStylePr>
    <w:tblStylePr w:type="band1Vert">
      <w:tblPr/>
      <w:tcPr>
        <w:shd w:val="clear" w:color="auto" w:fill="FF6060" w:themeFill="accent2" w:themeFillTint="7F"/>
      </w:tcPr>
    </w:tblStylePr>
    <w:tblStylePr w:type="band1Horz">
      <w:tblPr/>
      <w:tcPr>
        <w:tcBorders>
          <w:insideH w:val="single" w:sz="6" w:space="0" w:color="C00000" w:themeColor="accent2"/>
          <w:insideV w:val="single" w:sz="6" w:space="0" w:color="C00000" w:themeColor="accent2"/>
        </w:tcBorders>
        <w:shd w:val="clear" w:color="auto" w:fill="FF6060" w:themeFill="accent2" w:themeFillTint="7F"/>
      </w:tcPr>
    </w:tblStylePr>
    <w:tblStylePr w:type="nwCell">
      <w:tblPr/>
      <w:tcPr>
        <w:shd w:val="clear" w:color="auto" w:fill="0072BC" w:themeFill="background1"/>
      </w:tcPr>
    </w:tblStylePr>
  </w:style>
  <w:style w:type="table" w:styleId="Srednjamrea2poudarek3">
    <w:name w:val="Medium Grid 2 Accent 3"/>
    <w:basedOn w:val="Navadnatabela"/>
    <w:uiPriority w:val="99"/>
    <w:semiHidden/>
    <w:rsid w:val="00014566"/>
    <w:rPr>
      <w:rFonts w:asciiTheme="majorHAnsi" w:eastAsiaTheme="majorEastAsia" w:hAnsiTheme="majorHAnsi" w:cstheme="majorBidi"/>
      <w:color w:val="000000" w:themeColor="text1"/>
      <w:lang w:val="fr-FR" w:eastAsia="fr-FR"/>
    </w:rPr>
    <w:tblPr>
      <w:tblStyleRowBandSize w:val="1"/>
      <w:tblStyleColBandSize w:val="1"/>
      <w:tblBorders>
        <w:top w:val="single" w:sz="8" w:space="0" w:color="5F5F5F" w:themeColor="accent3"/>
        <w:left w:val="single" w:sz="8" w:space="0" w:color="5F5F5F" w:themeColor="accent3"/>
        <w:bottom w:val="single" w:sz="8" w:space="0" w:color="5F5F5F" w:themeColor="accent3"/>
        <w:right w:val="single" w:sz="8" w:space="0" w:color="5F5F5F" w:themeColor="accent3"/>
        <w:insideH w:val="single" w:sz="8" w:space="0" w:color="5F5F5F" w:themeColor="accent3"/>
        <w:insideV w:val="single" w:sz="8" w:space="0" w:color="5F5F5F" w:themeColor="accent3"/>
      </w:tblBorders>
    </w:tblPr>
    <w:tcPr>
      <w:shd w:val="clear" w:color="auto" w:fill="D7D7D7" w:themeFill="accent3" w:themeFillTint="3F"/>
    </w:tcPr>
    <w:tblStylePr w:type="firstRow">
      <w:rPr>
        <w:b/>
        <w:bCs/>
        <w:color w:val="000000" w:themeColor="text1"/>
      </w:rPr>
      <w:tblPr/>
      <w:tcPr>
        <w:shd w:val="clear" w:color="auto" w:fill="EFEFEF"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FDFDF" w:themeFill="accent3" w:themeFillTint="33"/>
      </w:tcPr>
    </w:tblStylePr>
    <w:tblStylePr w:type="band1Vert">
      <w:tblPr/>
      <w:tcPr>
        <w:shd w:val="clear" w:color="auto" w:fill="AFAFAF" w:themeFill="accent3" w:themeFillTint="7F"/>
      </w:tcPr>
    </w:tblStylePr>
    <w:tblStylePr w:type="band1Horz">
      <w:tblPr/>
      <w:tcPr>
        <w:tcBorders>
          <w:insideH w:val="single" w:sz="6" w:space="0" w:color="5F5F5F" w:themeColor="accent3"/>
          <w:insideV w:val="single" w:sz="6" w:space="0" w:color="5F5F5F" w:themeColor="accent3"/>
        </w:tcBorders>
        <w:shd w:val="clear" w:color="auto" w:fill="AFAFAF" w:themeFill="accent3" w:themeFillTint="7F"/>
      </w:tcPr>
    </w:tblStylePr>
    <w:tblStylePr w:type="nwCell">
      <w:tblPr/>
      <w:tcPr>
        <w:shd w:val="clear" w:color="auto" w:fill="0072BC" w:themeFill="background1"/>
      </w:tcPr>
    </w:tblStylePr>
  </w:style>
  <w:style w:type="table" w:styleId="Srednjamrea2poudarek4">
    <w:name w:val="Medium Grid 2 Accent 4"/>
    <w:basedOn w:val="Navadnatabela"/>
    <w:uiPriority w:val="99"/>
    <w:semiHidden/>
    <w:rsid w:val="00014566"/>
    <w:rPr>
      <w:rFonts w:asciiTheme="majorHAnsi" w:eastAsiaTheme="majorEastAsia" w:hAnsiTheme="majorHAnsi" w:cstheme="majorBidi"/>
      <w:color w:val="000000" w:themeColor="text1"/>
      <w:lang w:val="fr-FR" w:eastAsia="fr-FR"/>
    </w:rPr>
    <w:tblPr>
      <w:tblStyleRowBandSize w:val="1"/>
      <w:tblStyleColBandSize w:val="1"/>
      <w:tblBorders>
        <w:top w:val="single" w:sz="8" w:space="0" w:color="969696" w:themeColor="accent4"/>
        <w:left w:val="single" w:sz="8" w:space="0" w:color="969696" w:themeColor="accent4"/>
        <w:bottom w:val="single" w:sz="8" w:space="0" w:color="969696" w:themeColor="accent4"/>
        <w:right w:val="single" w:sz="8" w:space="0" w:color="969696" w:themeColor="accent4"/>
        <w:insideH w:val="single" w:sz="8" w:space="0" w:color="969696" w:themeColor="accent4"/>
        <w:insideV w:val="single" w:sz="8" w:space="0" w:color="969696" w:themeColor="accent4"/>
      </w:tblBorders>
    </w:tblPr>
    <w:tcPr>
      <w:shd w:val="clear" w:color="auto" w:fill="E5E5E5" w:themeFill="accent4" w:themeFillTint="3F"/>
    </w:tcPr>
    <w:tblStylePr w:type="firstRow">
      <w:rPr>
        <w:b/>
        <w:bCs/>
        <w:color w:val="000000" w:themeColor="text1"/>
      </w:rPr>
      <w:tblPr/>
      <w:tcPr>
        <w:shd w:val="clear" w:color="auto" w:fill="F4F4F4"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EAEA" w:themeFill="accent4" w:themeFillTint="33"/>
      </w:tcPr>
    </w:tblStylePr>
    <w:tblStylePr w:type="band1Vert">
      <w:tblPr/>
      <w:tcPr>
        <w:shd w:val="clear" w:color="auto" w:fill="CACACA" w:themeFill="accent4" w:themeFillTint="7F"/>
      </w:tcPr>
    </w:tblStylePr>
    <w:tblStylePr w:type="band1Horz">
      <w:tblPr/>
      <w:tcPr>
        <w:tcBorders>
          <w:insideH w:val="single" w:sz="6" w:space="0" w:color="969696" w:themeColor="accent4"/>
          <w:insideV w:val="single" w:sz="6" w:space="0" w:color="969696" w:themeColor="accent4"/>
        </w:tcBorders>
        <w:shd w:val="clear" w:color="auto" w:fill="CACACA" w:themeFill="accent4" w:themeFillTint="7F"/>
      </w:tcPr>
    </w:tblStylePr>
    <w:tblStylePr w:type="nwCell">
      <w:tblPr/>
      <w:tcPr>
        <w:shd w:val="clear" w:color="auto" w:fill="0072BC" w:themeFill="background1"/>
      </w:tcPr>
    </w:tblStylePr>
  </w:style>
  <w:style w:type="table" w:styleId="Srednjamrea2poudarek5">
    <w:name w:val="Medium Grid 2 Accent 5"/>
    <w:basedOn w:val="Navadnatabela"/>
    <w:uiPriority w:val="99"/>
    <w:semiHidden/>
    <w:rsid w:val="00014566"/>
    <w:rPr>
      <w:rFonts w:asciiTheme="majorHAnsi" w:eastAsiaTheme="majorEastAsia" w:hAnsiTheme="majorHAnsi" w:cstheme="majorBidi"/>
      <w:color w:val="000000" w:themeColor="text1"/>
      <w:lang w:val="fr-FR" w:eastAsia="fr-FR"/>
    </w:rPr>
    <w:tblPr>
      <w:tblStyleRowBandSize w:val="1"/>
      <w:tblStyleColBandSize w:val="1"/>
      <w:tblBorders>
        <w:top w:val="single" w:sz="8" w:space="0" w:color="5F5F5F" w:themeColor="accent5"/>
        <w:left w:val="single" w:sz="8" w:space="0" w:color="5F5F5F" w:themeColor="accent5"/>
        <w:bottom w:val="single" w:sz="8" w:space="0" w:color="5F5F5F" w:themeColor="accent5"/>
        <w:right w:val="single" w:sz="8" w:space="0" w:color="5F5F5F" w:themeColor="accent5"/>
        <w:insideH w:val="single" w:sz="8" w:space="0" w:color="5F5F5F" w:themeColor="accent5"/>
        <w:insideV w:val="single" w:sz="8" w:space="0" w:color="5F5F5F" w:themeColor="accent5"/>
      </w:tblBorders>
    </w:tblPr>
    <w:tcPr>
      <w:shd w:val="clear" w:color="auto" w:fill="D7D7D7" w:themeFill="accent5" w:themeFillTint="3F"/>
    </w:tcPr>
    <w:tblStylePr w:type="firstRow">
      <w:rPr>
        <w:b/>
        <w:bCs/>
        <w:color w:val="000000" w:themeColor="text1"/>
      </w:rPr>
      <w:tblPr/>
      <w:tcPr>
        <w:shd w:val="clear" w:color="auto" w:fill="EFEFEF"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FDFDF" w:themeFill="accent5" w:themeFillTint="33"/>
      </w:tcPr>
    </w:tblStylePr>
    <w:tblStylePr w:type="band1Vert">
      <w:tblPr/>
      <w:tcPr>
        <w:shd w:val="clear" w:color="auto" w:fill="AFAFAF" w:themeFill="accent5" w:themeFillTint="7F"/>
      </w:tcPr>
    </w:tblStylePr>
    <w:tblStylePr w:type="band1Horz">
      <w:tblPr/>
      <w:tcPr>
        <w:tcBorders>
          <w:insideH w:val="single" w:sz="6" w:space="0" w:color="5F5F5F" w:themeColor="accent5"/>
          <w:insideV w:val="single" w:sz="6" w:space="0" w:color="5F5F5F" w:themeColor="accent5"/>
        </w:tcBorders>
        <w:shd w:val="clear" w:color="auto" w:fill="AFAFAF" w:themeFill="accent5" w:themeFillTint="7F"/>
      </w:tcPr>
    </w:tblStylePr>
    <w:tblStylePr w:type="nwCell">
      <w:tblPr/>
      <w:tcPr>
        <w:shd w:val="clear" w:color="auto" w:fill="0072BC" w:themeFill="background1"/>
      </w:tcPr>
    </w:tblStylePr>
  </w:style>
  <w:style w:type="table" w:styleId="Srednjamrea2poudarek6">
    <w:name w:val="Medium Grid 2 Accent 6"/>
    <w:basedOn w:val="Navadnatabela"/>
    <w:uiPriority w:val="99"/>
    <w:semiHidden/>
    <w:rsid w:val="00014566"/>
    <w:rPr>
      <w:rFonts w:asciiTheme="majorHAnsi" w:eastAsiaTheme="majorEastAsia" w:hAnsiTheme="majorHAnsi" w:cstheme="majorBidi"/>
      <w:color w:val="000000" w:themeColor="text1"/>
      <w:lang w:val="fr-FR" w:eastAsia="fr-FR"/>
    </w:rPr>
    <w:tblPr>
      <w:tblStyleRowBandSize w:val="1"/>
      <w:tblStyleColBandSize w:val="1"/>
      <w:tblBorders>
        <w:top w:val="single" w:sz="8" w:space="0" w:color="4D4D4D" w:themeColor="accent6"/>
        <w:left w:val="single" w:sz="8" w:space="0" w:color="4D4D4D" w:themeColor="accent6"/>
        <w:bottom w:val="single" w:sz="8" w:space="0" w:color="4D4D4D" w:themeColor="accent6"/>
        <w:right w:val="single" w:sz="8" w:space="0" w:color="4D4D4D" w:themeColor="accent6"/>
        <w:insideH w:val="single" w:sz="8" w:space="0" w:color="4D4D4D" w:themeColor="accent6"/>
        <w:insideV w:val="single" w:sz="8" w:space="0" w:color="4D4D4D" w:themeColor="accent6"/>
      </w:tblBorders>
    </w:tblPr>
    <w:tcPr>
      <w:shd w:val="clear" w:color="auto" w:fill="D3D3D3" w:themeFill="accent6" w:themeFillTint="3F"/>
    </w:tcPr>
    <w:tblStylePr w:type="firstRow">
      <w:rPr>
        <w:b/>
        <w:bCs/>
        <w:color w:val="000000" w:themeColor="text1"/>
      </w:rPr>
      <w:tblPr/>
      <w:tcPr>
        <w:shd w:val="clear" w:color="auto" w:fill="EDEDED"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DBDB" w:themeFill="accent6" w:themeFillTint="33"/>
      </w:tcPr>
    </w:tblStylePr>
    <w:tblStylePr w:type="band1Vert">
      <w:tblPr/>
      <w:tcPr>
        <w:shd w:val="clear" w:color="auto" w:fill="A6A6A6" w:themeFill="accent6" w:themeFillTint="7F"/>
      </w:tcPr>
    </w:tblStylePr>
    <w:tblStylePr w:type="band1Horz">
      <w:tblPr/>
      <w:tcPr>
        <w:tcBorders>
          <w:insideH w:val="single" w:sz="6" w:space="0" w:color="4D4D4D" w:themeColor="accent6"/>
          <w:insideV w:val="single" w:sz="6" w:space="0" w:color="4D4D4D" w:themeColor="accent6"/>
        </w:tcBorders>
        <w:shd w:val="clear" w:color="auto" w:fill="A6A6A6" w:themeFill="accent6" w:themeFillTint="7F"/>
      </w:tcPr>
    </w:tblStylePr>
    <w:tblStylePr w:type="nwCell">
      <w:tblPr/>
      <w:tcPr>
        <w:shd w:val="clear" w:color="auto" w:fill="0072BC" w:themeFill="background1"/>
      </w:tcPr>
    </w:tblStylePr>
  </w:style>
  <w:style w:type="table" w:styleId="Srednjamrea3">
    <w:name w:val="Medium Grid 3"/>
    <w:basedOn w:val="Navadnatabela"/>
    <w:uiPriority w:val="99"/>
    <w:semiHidden/>
    <w:rsid w:val="00014566"/>
    <w:rPr>
      <w:lang w:val="fr-FR" w:eastAsia="fr-FR"/>
    </w:rPr>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C0C0C0" w:themeFill="text1"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000000" w:themeFill="text1"/>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000000" w:themeFill="text1"/>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000000" w:themeFill="text1"/>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000000" w:themeFill="text1"/>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808080" w:themeFill="text1"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808080" w:themeFill="text1" w:themeFillTint="7F"/>
      </w:tcPr>
    </w:tblStylePr>
  </w:style>
  <w:style w:type="table" w:styleId="Srednjamrea3poudarek1">
    <w:name w:val="Medium Grid 3 Accent 1"/>
    <w:basedOn w:val="Navadnatabela"/>
    <w:uiPriority w:val="99"/>
    <w:semiHidden/>
    <w:rsid w:val="00014566"/>
    <w:rPr>
      <w:lang w:val="fr-FR" w:eastAsia="fr-FR"/>
    </w:rPr>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AFDFFF" w:themeFill="accent1"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0072BC" w:themeFill="accent1"/>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0072BC" w:themeFill="accent1"/>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0072BC" w:themeFill="accent1"/>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0072BC" w:themeFill="accent1"/>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5EBFFF" w:themeFill="accent1"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5EBFFF" w:themeFill="accent1" w:themeFillTint="7F"/>
      </w:tcPr>
    </w:tblStylePr>
  </w:style>
  <w:style w:type="table" w:styleId="Srednjamrea3poudarek2">
    <w:name w:val="Medium Grid 3 Accent 2"/>
    <w:basedOn w:val="Navadnatabela"/>
    <w:uiPriority w:val="99"/>
    <w:semiHidden/>
    <w:rsid w:val="00014566"/>
    <w:rPr>
      <w:lang w:val="fr-FR" w:eastAsia="fr-FR"/>
    </w:rPr>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FFB0B0" w:themeFill="accent2"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C00000" w:themeFill="accent2"/>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C00000" w:themeFill="accent2"/>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C00000" w:themeFill="accent2"/>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C00000" w:themeFill="accent2"/>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FF6060" w:themeFill="accent2"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FF6060" w:themeFill="accent2" w:themeFillTint="7F"/>
      </w:tcPr>
    </w:tblStylePr>
  </w:style>
  <w:style w:type="table" w:styleId="Srednjamrea3poudarek3">
    <w:name w:val="Medium Grid 3 Accent 3"/>
    <w:basedOn w:val="Navadnatabela"/>
    <w:uiPriority w:val="99"/>
    <w:semiHidden/>
    <w:rsid w:val="00014566"/>
    <w:rPr>
      <w:lang w:val="fr-FR" w:eastAsia="fr-FR"/>
    </w:rPr>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D7D7D7" w:themeFill="accent3"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5F5F5F" w:themeFill="accent3"/>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5F5F5F" w:themeFill="accent3"/>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5F5F5F" w:themeFill="accent3"/>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5F5F5F" w:themeFill="accent3"/>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AFAFAF" w:themeFill="accent3"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AFAFAF" w:themeFill="accent3" w:themeFillTint="7F"/>
      </w:tcPr>
    </w:tblStylePr>
  </w:style>
  <w:style w:type="table" w:styleId="Srednjamrea3poudarek4">
    <w:name w:val="Medium Grid 3 Accent 4"/>
    <w:basedOn w:val="Navadnatabela"/>
    <w:uiPriority w:val="99"/>
    <w:semiHidden/>
    <w:rsid w:val="00014566"/>
    <w:rPr>
      <w:lang w:val="fr-FR" w:eastAsia="fr-FR"/>
    </w:rPr>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E5E5E5" w:themeFill="accent4"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969696" w:themeFill="accent4"/>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969696" w:themeFill="accent4"/>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969696" w:themeFill="accent4"/>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969696" w:themeFill="accent4"/>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CACACA" w:themeFill="accent4"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CACACA" w:themeFill="accent4" w:themeFillTint="7F"/>
      </w:tcPr>
    </w:tblStylePr>
  </w:style>
  <w:style w:type="table" w:styleId="Srednjamrea3poudarek5">
    <w:name w:val="Medium Grid 3 Accent 5"/>
    <w:basedOn w:val="Navadnatabela"/>
    <w:uiPriority w:val="99"/>
    <w:semiHidden/>
    <w:rsid w:val="00014566"/>
    <w:rPr>
      <w:lang w:val="fr-FR" w:eastAsia="fr-FR"/>
    </w:rPr>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D7D7D7" w:themeFill="accent5"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5F5F5F" w:themeFill="accent5"/>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5F5F5F" w:themeFill="accent5"/>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5F5F5F" w:themeFill="accent5"/>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5F5F5F" w:themeFill="accent5"/>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AFAFAF" w:themeFill="accent5"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AFAFAF" w:themeFill="accent5" w:themeFillTint="7F"/>
      </w:tcPr>
    </w:tblStylePr>
  </w:style>
  <w:style w:type="table" w:styleId="Srednjamrea3poudarek6">
    <w:name w:val="Medium Grid 3 Accent 6"/>
    <w:basedOn w:val="Navadnatabela"/>
    <w:uiPriority w:val="99"/>
    <w:semiHidden/>
    <w:rsid w:val="00014566"/>
    <w:rPr>
      <w:lang w:val="fr-FR" w:eastAsia="fr-FR"/>
    </w:rPr>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D3D3D3" w:themeFill="accent6"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4D4D4D" w:themeFill="accent6"/>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4D4D4D" w:themeFill="accent6"/>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4D4D4D" w:themeFill="accent6"/>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4D4D4D" w:themeFill="accent6"/>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A6A6A6" w:themeFill="accent6"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A6A6A6" w:themeFill="accent6" w:themeFillTint="7F"/>
      </w:tcPr>
    </w:tblStylePr>
  </w:style>
  <w:style w:type="table" w:styleId="Srednjiseznam1">
    <w:name w:val="Medium List 1"/>
    <w:basedOn w:val="Navadnatabela"/>
    <w:uiPriority w:val="99"/>
    <w:semiHidden/>
    <w:rsid w:val="00014566"/>
    <w:rPr>
      <w:color w:val="000000" w:themeColor="text1"/>
      <w:lang w:val="fr-FR" w:eastAsia="fr-FR"/>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C6C6C6"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Srednjiseznam1poudarek1">
    <w:name w:val="Medium List 1 Accent 1"/>
    <w:basedOn w:val="Navadnatabela"/>
    <w:uiPriority w:val="99"/>
    <w:semiHidden/>
    <w:rsid w:val="00014566"/>
    <w:rPr>
      <w:color w:val="000000" w:themeColor="text1"/>
      <w:lang w:val="fr-FR" w:eastAsia="fr-FR"/>
    </w:rPr>
    <w:tblPr>
      <w:tblStyleRowBandSize w:val="1"/>
      <w:tblStyleColBandSize w:val="1"/>
      <w:tblBorders>
        <w:top w:val="single" w:sz="8" w:space="0" w:color="0072BC" w:themeColor="accent1"/>
        <w:bottom w:val="single" w:sz="8" w:space="0" w:color="0072BC" w:themeColor="accent1"/>
      </w:tblBorders>
    </w:tblPr>
    <w:tblStylePr w:type="firstRow">
      <w:rPr>
        <w:rFonts w:asciiTheme="majorHAnsi" w:eastAsiaTheme="majorEastAsia" w:hAnsiTheme="majorHAnsi" w:cstheme="majorBidi"/>
      </w:rPr>
      <w:tblPr/>
      <w:tcPr>
        <w:tcBorders>
          <w:top w:val="nil"/>
          <w:bottom w:val="single" w:sz="8" w:space="0" w:color="0072BC" w:themeColor="accent1"/>
        </w:tcBorders>
      </w:tcPr>
    </w:tblStylePr>
    <w:tblStylePr w:type="lastRow">
      <w:rPr>
        <w:b/>
        <w:bCs/>
        <w:color w:val="C6C6C6" w:themeColor="text2"/>
      </w:rPr>
      <w:tblPr/>
      <w:tcPr>
        <w:tcBorders>
          <w:top w:val="single" w:sz="8" w:space="0" w:color="0072BC" w:themeColor="accent1"/>
          <w:bottom w:val="single" w:sz="8" w:space="0" w:color="0072BC" w:themeColor="accent1"/>
        </w:tcBorders>
      </w:tcPr>
    </w:tblStylePr>
    <w:tblStylePr w:type="firstCol">
      <w:rPr>
        <w:b/>
        <w:bCs/>
      </w:rPr>
    </w:tblStylePr>
    <w:tblStylePr w:type="lastCol">
      <w:rPr>
        <w:b/>
        <w:bCs/>
      </w:rPr>
      <w:tblPr/>
      <w:tcPr>
        <w:tcBorders>
          <w:top w:val="single" w:sz="8" w:space="0" w:color="0072BC" w:themeColor="accent1"/>
          <w:bottom w:val="single" w:sz="8" w:space="0" w:color="0072BC" w:themeColor="accent1"/>
        </w:tcBorders>
      </w:tcPr>
    </w:tblStylePr>
    <w:tblStylePr w:type="band1Vert">
      <w:tblPr/>
      <w:tcPr>
        <w:shd w:val="clear" w:color="auto" w:fill="AFDFFF" w:themeFill="accent1" w:themeFillTint="3F"/>
      </w:tcPr>
    </w:tblStylePr>
    <w:tblStylePr w:type="band1Horz">
      <w:tblPr/>
      <w:tcPr>
        <w:shd w:val="clear" w:color="auto" w:fill="AFDFFF" w:themeFill="accent1" w:themeFillTint="3F"/>
      </w:tcPr>
    </w:tblStylePr>
  </w:style>
  <w:style w:type="table" w:styleId="Srednjiseznam1poudarek2">
    <w:name w:val="Medium List 1 Accent 2"/>
    <w:basedOn w:val="Navadnatabela"/>
    <w:uiPriority w:val="99"/>
    <w:semiHidden/>
    <w:rsid w:val="00014566"/>
    <w:rPr>
      <w:color w:val="000000" w:themeColor="text1"/>
      <w:lang w:val="fr-FR" w:eastAsia="fr-FR"/>
    </w:rPr>
    <w:tblPr>
      <w:tblStyleRowBandSize w:val="1"/>
      <w:tblStyleColBandSize w:val="1"/>
      <w:tblBorders>
        <w:top w:val="single" w:sz="8" w:space="0" w:color="C00000" w:themeColor="accent2"/>
        <w:bottom w:val="single" w:sz="8" w:space="0" w:color="C00000" w:themeColor="accent2"/>
      </w:tblBorders>
    </w:tblPr>
    <w:tblStylePr w:type="firstRow">
      <w:rPr>
        <w:rFonts w:asciiTheme="majorHAnsi" w:eastAsiaTheme="majorEastAsia" w:hAnsiTheme="majorHAnsi" w:cstheme="majorBidi"/>
      </w:rPr>
      <w:tblPr/>
      <w:tcPr>
        <w:tcBorders>
          <w:top w:val="nil"/>
          <w:bottom w:val="single" w:sz="8" w:space="0" w:color="C00000" w:themeColor="accent2"/>
        </w:tcBorders>
      </w:tcPr>
    </w:tblStylePr>
    <w:tblStylePr w:type="lastRow">
      <w:rPr>
        <w:b/>
        <w:bCs/>
        <w:color w:val="C6C6C6" w:themeColor="text2"/>
      </w:rPr>
      <w:tblPr/>
      <w:tcPr>
        <w:tcBorders>
          <w:top w:val="single" w:sz="8" w:space="0" w:color="C00000" w:themeColor="accent2"/>
          <w:bottom w:val="single" w:sz="8" w:space="0" w:color="C00000" w:themeColor="accent2"/>
        </w:tcBorders>
      </w:tcPr>
    </w:tblStylePr>
    <w:tblStylePr w:type="firstCol">
      <w:rPr>
        <w:b/>
        <w:bCs/>
      </w:rPr>
    </w:tblStylePr>
    <w:tblStylePr w:type="lastCol">
      <w:rPr>
        <w:b/>
        <w:bCs/>
      </w:rPr>
      <w:tblPr/>
      <w:tcPr>
        <w:tcBorders>
          <w:top w:val="single" w:sz="8" w:space="0" w:color="C00000" w:themeColor="accent2"/>
          <w:bottom w:val="single" w:sz="8" w:space="0" w:color="C00000" w:themeColor="accent2"/>
        </w:tcBorders>
      </w:tcPr>
    </w:tblStylePr>
    <w:tblStylePr w:type="band1Vert">
      <w:tblPr/>
      <w:tcPr>
        <w:shd w:val="clear" w:color="auto" w:fill="FFB0B0" w:themeFill="accent2" w:themeFillTint="3F"/>
      </w:tcPr>
    </w:tblStylePr>
    <w:tblStylePr w:type="band1Horz">
      <w:tblPr/>
      <w:tcPr>
        <w:shd w:val="clear" w:color="auto" w:fill="FFB0B0" w:themeFill="accent2" w:themeFillTint="3F"/>
      </w:tcPr>
    </w:tblStylePr>
  </w:style>
  <w:style w:type="table" w:styleId="Srednjiseznam1poudarek3">
    <w:name w:val="Medium List 1 Accent 3"/>
    <w:basedOn w:val="Navadnatabela"/>
    <w:uiPriority w:val="99"/>
    <w:semiHidden/>
    <w:rsid w:val="00014566"/>
    <w:rPr>
      <w:color w:val="000000" w:themeColor="text1"/>
      <w:lang w:val="fr-FR" w:eastAsia="fr-FR"/>
    </w:rPr>
    <w:tblPr>
      <w:tblStyleRowBandSize w:val="1"/>
      <w:tblStyleColBandSize w:val="1"/>
      <w:tblBorders>
        <w:top w:val="single" w:sz="8" w:space="0" w:color="5F5F5F" w:themeColor="accent3"/>
        <w:bottom w:val="single" w:sz="8" w:space="0" w:color="5F5F5F" w:themeColor="accent3"/>
      </w:tblBorders>
    </w:tblPr>
    <w:tblStylePr w:type="firstRow">
      <w:rPr>
        <w:rFonts w:asciiTheme="majorHAnsi" w:eastAsiaTheme="majorEastAsia" w:hAnsiTheme="majorHAnsi" w:cstheme="majorBidi"/>
      </w:rPr>
      <w:tblPr/>
      <w:tcPr>
        <w:tcBorders>
          <w:top w:val="nil"/>
          <w:bottom w:val="single" w:sz="8" w:space="0" w:color="5F5F5F" w:themeColor="accent3"/>
        </w:tcBorders>
      </w:tcPr>
    </w:tblStylePr>
    <w:tblStylePr w:type="lastRow">
      <w:rPr>
        <w:b/>
        <w:bCs/>
        <w:color w:val="C6C6C6" w:themeColor="text2"/>
      </w:rPr>
      <w:tblPr/>
      <w:tcPr>
        <w:tcBorders>
          <w:top w:val="single" w:sz="8" w:space="0" w:color="5F5F5F" w:themeColor="accent3"/>
          <w:bottom w:val="single" w:sz="8" w:space="0" w:color="5F5F5F" w:themeColor="accent3"/>
        </w:tcBorders>
      </w:tcPr>
    </w:tblStylePr>
    <w:tblStylePr w:type="firstCol">
      <w:rPr>
        <w:b/>
        <w:bCs/>
      </w:rPr>
    </w:tblStylePr>
    <w:tblStylePr w:type="lastCol">
      <w:rPr>
        <w:b/>
        <w:bCs/>
      </w:rPr>
      <w:tblPr/>
      <w:tcPr>
        <w:tcBorders>
          <w:top w:val="single" w:sz="8" w:space="0" w:color="5F5F5F" w:themeColor="accent3"/>
          <w:bottom w:val="single" w:sz="8" w:space="0" w:color="5F5F5F" w:themeColor="accent3"/>
        </w:tcBorders>
      </w:tcPr>
    </w:tblStylePr>
    <w:tblStylePr w:type="band1Vert">
      <w:tblPr/>
      <w:tcPr>
        <w:shd w:val="clear" w:color="auto" w:fill="D7D7D7" w:themeFill="accent3" w:themeFillTint="3F"/>
      </w:tcPr>
    </w:tblStylePr>
    <w:tblStylePr w:type="band1Horz">
      <w:tblPr/>
      <w:tcPr>
        <w:shd w:val="clear" w:color="auto" w:fill="D7D7D7" w:themeFill="accent3" w:themeFillTint="3F"/>
      </w:tcPr>
    </w:tblStylePr>
  </w:style>
  <w:style w:type="table" w:styleId="Srednjiseznam1poudarek4">
    <w:name w:val="Medium List 1 Accent 4"/>
    <w:basedOn w:val="Navadnatabela"/>
    <w:uiPriority w:val="99"/>
    <w:semiHidden/>
    <w:rsid w:val="00014566"/>
    <w:rPr>
      <w:color w:val="000000" w:themeColor="text1"/>
      <w:lang w:val="fr-FR" w:eastAsia="fr-FR"/>
    </w:rPr>
    <w:tblPr>
      <w:tblStyleRowBandSize w:val="1"/>
      <w:tblStyleColBandSize w:val="1"/>
      <w:tblBorders>
        <w:top w:val="single" w:sz="8" w:space="0" w:color="969696" w:themeColor="accent4"/>
        <w:bottom w:val="single" w:sz="8" w:space="0" w:color="969696" w:themeColor="accent4"/>
      </w:tblBorders>
    </w:tblPr>
    <w:tblStylePr w:type="firstRow">
      <w:rPr>
        <w:rFonts w:asciiTheme="majorHAnsi" w:eastAsiaTheme="majorEastAsia" w:hAnsiTheme="majorHAnsi" w:cstheme="majorBidi"/>
      </w:rPr>
      <w:tblPr/>
      <w:tcPr>
        <w:tcBorders>
          <w:top w:val="nil"/>
          <w:bottom w:val="single" w:sz="8" w:space="0" w:color="969696" w:themeColor="accent4"/>
        </w:tcBorders>
      </w:tcPr>
    </w:tblStylePr>
    <w:tblStylePr w:type="lastRow">
      <w:rPr>
        <w:b/>
        <w:bCs/>
        <w:color w:val="C6C6C6" w:themeColor="text2"/>
      </w:rPr>
      <w:tblPr/>
      <w:tcPr>
        <w:tcBorders>
          <w:top w:val="single" w:sz="8" w:space="0" w:color="969696" w:themeColor="accent4"/>
          <w:bottom w:val="single" w:sz="8" w:space="0" w:color="969696" w:themeColor="accent4"/>
        </w:tcBorders>
      </w:tcPr>
    </w:tblStylePr>
    <w:tblStylePr w:type="firstCol">
      <w:rPr>
        <w:b/>
        <w:bCs/>
      </w:rPr>
    </w:tblStylePr>
    <w:tblStylePr w:type="lastCol">
      <w:rPr>
        <w:b/>
        <w:bCs/>
      </w:rPr>
      <w:tblPr/>
      <w:tcPr>
        <w:tcBorders>
          <w:top w:val="single" w:sz="8" w:space="0" w:color="969696" w:themeColor="accent4"/>
          <w:bottom w:val="single" w:sz="8" w:space="0" w:color="969696" w:themeColor="accent4"/>
        </w:tcBorders>
      </w:tcPr>
    </w:tblStylePr>
    <w:tblStylePr w:type="band1Vert">
      <w:tblPr/>
      <w:tcPr>
        <w:shd w:val="clear" w:color="auto" w:fill="E5E5E5" w:themeFill="accent4" w:themeFillTint="3F"/>
      </w:tcPr>
    </w:tblStylePr>
    <w:tblStylePr w:type="band1Horz">
      <w:tblPr/>
      <w:tcPr>
        <w:shd w:val="clear" w:color="auto" w:fill="E5E5E5" w:themeFill="accent4" w:themeFillTint="3F"/>
      </w:tcPr>
    </w:tblStylePr>
  </w:style>
  <w:style w:type="table" w:styleId="Srednjiseznam1poudarek5">
    <w:name w:val="Medium List 1 Accent 5"/>
    <w:basedOn w:val="Navadnatabela"/>
    <w:uiPriority w:val="99"/>
    <w:semiHidden/>
    <w:rsid w:val="00014566"/>
    <w:rPr>
      <w:color w:val="000000" w:themeColor="text1"/>
      <w:lang w:val="fr-FR" w:eastAsia="fr-FR"/>
    </w:rPr>
    <w:tblPr>
      <w:tblStyleRowBandSize w:val="1"/>
      <w:tblStyleColBandSize w:val="1"/>
      <w:tblBorders>
        <w:top w:val="single" w:sz="8" w:space="0" w:color="5F5F5F" w:themeColor="accent5"/>
        <w:bottom w:val="single" w:sz="8" w:space="0" w:color="5F5F5F" w:themeColor="accent5"/>
      </w:tblBorders>
    </w:tblPr>
    <w:tblStylePr w:type="firstRow">
      <w:rPr>
        <w:rFonts w:asciiTheme="majorHAnsi" w:eastAsiaTheme="majorEastAsia" w:hAnsiTheme="majorHAnsi" w:cstheme="majorBidi"/>
      </w:rPr>
      <w:tblPr/>
      <w:tcPr>
        <w:tcBorders>
          <w:top w:val="nil"/>
          <w:bottom w:val="single" w:sz="8" w:space="0" w:color="5F5F5F" w:themeColor="accent5"/>
        </w:tcBorders>
      </w:tcPr>
    </w:tblStylePr>
    <w:tblStylePr w:type="lastRow">
      <w:rPr>
        <w:b/>
        <w:bCs/>
        <w:color w:val="C6C6C6" w:themeColor="text2"/>
      </w:rPr>
      <w:tblPr/>
      <w:tcPr>
        <w:tcBorders>
          <w:top w:val="single" w:sz="8" w:space="0" w:color="5F5F5F" w:themeColor="accent5"/>
          <w:bottom w:val="single" w:sz="8" w:space="0" w:color="5F5F5F" w:themeColor="accent5"/>
        </w:tcBorders>
      </w:tcPr>
    </w:tblStylePr>
    <w:tblStylePr w:type="firstCol">
      <w:rPr>
        <w:b/>
        <w:bCs/>
      </w:rPr>
    </w:tblStylePr>
    <w:tblStylePr w:type="lastCol">
      <w:rPr>
        <w:b/>
        <w:bCs/>
      </w:rPr>
      <w:tblPr/>
      <w:tcPr>
        <w:tcBorders>
          <w:top w:val="single" w:sz="8" w:space="0" w:color="5F5F5F" w:themeColor="accent5"/>
          <w:bottom w:val="single" w:sz="8" w:space="0" w:color="5F5F5F" w:themeColor="accent5"/>
        </w:tcBorders>
      </w:tcPr>
    </w:tblStylePr>
    <w:tblStylePr w:type="band1Vert">
      <w:tblPr/>
      <w:tcPr>
        <w:shd w:val="clear" w:color="auto" w:fill="D7D7D7" w:themeFill="accent5" w:themeFillTint="3F"/>
      </w:tcPr>
    </w:tblStylePr>
    <w:tblStylePr w:type="band1Horz">
      <w:tblPr/>
      <w:tcPr>
        <w:shd w:val="clear" w:color="auto" w:fill="D7D7D7" w:themeFill="accent5" w:themeFillTint="3F"/>
      </w:tcPr>
    </w:tblStylePr>
  </w:style>
  <w:style w:type="table" w:styleId="Srednjiseznam1poudarek6">
    <w:name w:val="Medium List 1 Accent 6"/>
    <w:basedOn w:val="Navadnatabela"/>
    <w:uiPriority w:val="99"/>
    <w:semiHidden/>
    <w:rsid w:val="00014566"/>
    <w:rPr>
      <w:color w:val="000000" w:themeColor="text1"/>
      <w:lang w:val="fr-FR" w:eastAsia="fr-FR"/>
    </w:rPr>
    <w:tblPr>
      <w:tblStyleRowBandSize w:val="1"/>
      <w:tblStyleColBandSize w:val="1"/>
      <w:tblBorders>
        <w:top w:val="single" w:sz="8" w:space="0" w:color="4D4D4D" w:themeColor="accent6"/>
        <w:bottom w:val="single" w:sz="8" w:space="0" w:color="4D4D4D" w:themeColor="accent6"/>
      </w:tblBorders>
    </w:tblPr>
    <w:tblStylePr w:type="firstRow">
      <w:rPr>
        <w:rFonts w:asciiTheme="majorHAnsi" w:eastAsiaTheme="majorEastAsia" w:hAnsiTheme="majorHAnsi" w:cstheme="majorBidi"/>
      </w:rPr>
      <w:tblPr/>
      <w:tcPr>
        <w:tcBorders>
          <w:top w:val="nil"/>
          <w:bottom w:val="single" w:sz="8" w:space="0" w:color="4D4D4D" w:themeColor="accent6"/>
        </w:tcBorders>
      </w:tcPr>
    </w:tblStylePr>
    <w:tblStylePr w:type="lastRow">
      <w:rPr>
        <w:b/>
        <w:bCs/>
        <w:color w:val="C6C6C6" w:themeColor="text2"/>
      </w:rPr>
      <w:tblPr/>
      <w:tcPr>
        <w:tcBorders>
          <w:top w:val="single" w:sz="8" w:space="0" w:color="4D4D4D" w:themeColor="accent6"/>
          <w:bottom w:val="single" w:sz="8" w:space="0" w:color="4D4D4D" w:themeColor="accent6"/>
        </w:tcBorders>
      </w:tcPr>
    </w:tblStylePr>
    <w:tblStylePr w:type="firstCol">
      <w:rPr>
        <w:b/>
        <w:bCs/>
      </w:rPr>
    </w:tblStylePr>
    <w:tblStylePr w:type="lastCol">
      <w:rPr>
        <w:b/>
        <w:bCs/>
      </w:rPr>
      <w:tblPr/>
      <w:tcPr>
        <w:tcBorders>
          <w:top w:val="single" w:sz="8" w:space="0" w:color="4D4D4D" w:themeColor="accent6"/>
          <w:bottom w:val="single" w:sz="8" w:space="0" w:color="4D4D4D" w:themeColor="accent6"/>
        </w:tcBorders>
      </w:tcPr>
    </w:tblStylePr>
    <w:tblStylePr w:type="band1Vert">
      <w:tblPr/>
      <w:tcPr>
        <w:shd w:val="clear" w:color="auto" w:fill="D3D3D3" w:themeFill="accent6" w:themeFillTint="3F"/>
      </w:tcPr>
    </w:tblStylePr>
    <w:tblStylePr w:type="band1Horz">
      <w:tblPr/>
      <w:tcPr>
        <w:shd w:val="clear" w:color="auto" w:fill="D3D3D3" w:themeFill="accent6" w:themeFillTint="3F"/>
      </w:tcPr>
    </w:tblStylePr>
  </w:style>
  <w:style w:type="table" w:styleId="Srednjiseznam2">
    <w:name w:val="Medium List 2"/>
    <w:basedOn w:val="Navadnatabela"/>
    <w:uiPriority w:val="99"/>
    <w:semiHidden/>
    <w:rsid w:val="00014566"/>
    <w:rPr>
      <w:rFonts w:asciiTheme="majorHAnsi" w:eastAsiaTheme="majorEastAsia" w:hAnsiTheme="majorHAnsi" w:cstheme="majorBidi"/>
      <w:color w:val="000000" w:themeColor="text1"/>
      <w:lang w:val="fr-FR" w:eastAsia="fr-FR"/>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0072BC" w:themeFill="background1"/>
      </w:tcPr>
    </w:tblStylePr>
    <w:tblStylePr w:type="lastRow">
      <w:tblPr/>
      <w:tcPr>
        <w:tcBorders>
          <w:top w:val="single" w:sz="8" w:space="0" w:color="000000" w:themeColor="text1"/>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000000" w:themeColor="text1"/>
          <w:insideH w:val="nil"/>
          <w:insideV w:val="nil"/>
        </w:tcBorders>
        <w:shd w:val="clear" w:color="auto" w:fill="0072BC" w:themeFill="background1"/>
      </w:tcPr>
    </w:tblStylePr>
    <w:tblStylePr w:type="lastCol">
      <w:tblPr/>
      <w:tcPr>
        <w:tcBorders>
          <w:top w:val="nil"/>
          <w:left w:val="single" w:sz="8" w:space="0" w:color="000000" w:themeColor="text1"/>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0072BC" w:themeFill="background1"/>
      </w:tcPr>
    </w:tblStylePr>
    <w:tblStylePr w:type="swCell">
      <w:tblPr/>
      <w:tcPr>
        <w:tcBorders>
          <w:top w:val="nil"/>
        </w:tcBorders>
      </w:tcPr>
    </w:tblStylePr>
  </w:style>
  <w:style w:type="table" w:styleId="Srednjiseznam2poudarek1">
    <w:name w:val="Medium List 2 Accent 1"/>
    <w:basedOn w:val="Navadnatabela"/>
    <w:uiPriority w:val="99"/>
    <w:semiHidden/>
    <w:rsid w:val="00014566"/>
    <w:rPr>
      <w:rFonts w:asciiTheme="majorHAnsi" w:eastAsiaTheme="majorEastAsia" w:hAnsiTheme="majorHAnsi" w:cstheme="majorBidi"/>
      <w:color w:val="000000" w:themeColor="text1"/>
      <w:lang w:val="fr-FR" w:eastAsia="fr-FR"/>
    </w:rPr>
    <w:tblPr>
      <w:tblStyleRowBandSize w:val="1"/>
      <w:tblStyleColBandSize w:val="1"/>
      <w:tblBorders>
        <w:top w:val="single" w:sz="8" w:space="0" w:color="0072BC" w:themeColor="accent1"/>
        <w:left w:val="single" w:sz="8" w:space="0" w:color="0072BC" w:themeColor="accent1"/>
        <w:bottom w:val="single" w:sz="8" w:space="0" w:color="0072BC" w:themeColor="accent1"/>
        <w:right w:val="single" w:sz="8" w:space="0" w:color="0072BC" w:themeColor="accent1"/>
      </w:tblBorders>
    </w:tblPr>
    <w:tblStylePr w:type="firstRow">
      <w:rPr>
        <w:sz w:val="24"/>
        <w:szCs w:val="24"/>
      </w:rPr>
      <w:tblPr/>
      <w:tcPr>
        <w:tcBorders>
          <w:top w:val="nil"/>
          <w:left w:val="nil"/>
          <w:bottom w:val="single" w:sz="24" w:space="0" w:color="0072BC" w:themeColor="accent1"/>
          <w:right w:val="nil"/>
          <w:insideH w:val="nil"/>
          <w:insideV w:val="nil"/>
        </w:tcBorders>
        <w:shd w:val="clear" w:color="auto" w:fill="0072BC" w:themeFill="background1"/>
      </w:tcPr>
    </w:tblStylePr>
    <w:tblStylePr w:type="lastRow">
      <w:tblPr/>
      <w:tcPr>
        <w:tcBorders>
          <w:top w:val="single" w:sz="8" w:space="0" w:color="0072BC" w:themeColor="accent1"/>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0072BC" w:themeColor="accent1"/>
          <w:insideH w:val="nil"/>
          <w:insideV w:val="nil"/>
        </w:tcBorders>
        <w:shd w:val="clear" w:color="auto" w:fill="0072BC" w:themeFill="background1"/>
      </w:tcPr>
    </w:tblStylePr>
    <w:tblStylePr w:type="lastCol">
      <w:tblPr/>
      <w:tcPr>
        <w:tcBorders>
          <w:top w:val="nil"/>
          <w:left w:val="single" w:sz="8" w:space="0" w:color="0072BC" w:themeColor="accent1"/>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AFDFFF" w:themeFill="accent1" w:themeFillTint="3F"/>
      </w:tcPr>
    </w:tblStylePr>
    <w:tblStylePr w:type="band1Horz">
      <w:tblPr/>
      <w:tcPr>
        <w:tcBorders>
          <w:top w:val="nil"/>
          <w:bottom w:val="nil"/>
          <w:insideH w:val="nil"/>
          <w:insideV w:val="nil"/>
        </w:tcBorders>
        <w:shd w:val="clear" w:color="auto" w:fill="AFDFFF" w:themeFill="accent1" w:themeFillTint="3F"/>
      </w:tcPr>
    </w:tblStylePr>
    <w:tblStylePr w:type="nwCell">
      <w:tblPr/>
      <w:tcPr>
        <w:shd w:val="clear" w:color="auto" w:fill="0072BC" w:themeFill="background1"/>
      </w:tcPr>
    </w:tblStylePr>
    <w:tblStylePr w:type="swCell">
      <w:tblPr/>
      <w:tcPr>
        <w:tcBorders>
          <w:top w:val="nil"/>
        </w:tcBorders>
      </w:tcPr>
    </w:tblStylePr>
  </w:style>
  <w:style w:type="table" w:styleId="Srednjiseznam2poudarek2">
    <w:name w:val="Medium List 2 Accent 2"/>
    <w:basedOn w:val="Navadnatabela"/>
    <w:uiPriority w:val="99"/>
    <w:semiHidden/>
    <w:rsid w:val="00014566"/>
    <w:rPr>
      <w:rFonts w:asciiTheme="majorHAnsi" w:eastAsiaTheme="majorEastAsia" w:hAnsiTheme="majorHAnsi" w:cstheme="majorBidi"/>
      <w:color w:val="000000" w:themeColor="text1"/>
      <w:lang w:val="fr-FR" w:eastAsia="fr-FR"/>
    </w:rPr>
    <w:tblPr>
      <w:tblStyleRowBandSize w:val="1"/>
      <w:tblStyleColBandSize w:val="1"/>
      <w:tblBorders>
        <w:top w:val="single" w:sz="8" w:space="0" w:color="C00000" w:themeColor="accent2"/>
        <w:left w:val="single" w:sz="8" w:space="0" w:color="C00000" w:themeColor="accent2"/>
        <w:bottom w:val="single" w:sz="8" w:space="0" w:color="C00000" w:themeColor="accent2"/>
        <w:right w:val="single" w:sz="8" w:space="0" w:color="C00000" w:themeColor="accent2"/>
      </w:tblBorders>
    </w:tblPr>
    <w:tblStylePr w:type="firstRow">
      <w:rPr>
        <w:sz w:val="24"/>
        <w:szCs w:val="24"/>
      </w:rPr>
      <w:tblPr/>
      <w:tcPr>
        <w:tcBorders>
          <w:top w:val="nil"/>
          <w:left w:val="nil"/>
          <w:bottom w:val="single" w:sz="24" w:space="0" w:color="C00000" w:themeColor="accent2"/>
          <w:right w:val="nil"/>
          <w:insideH w:val="nil"/>
          <w:insideV w:val="nil"/>
        </w:tcBorders>
        <w:shd w:val="clear" w:color="auto" w:fill="0072BC" w:themeFill="background1"/>
      </w:tcPr>
    </w:tblStylePr>
    <w:tblStylePr w:type="lastRow">
      <w:tblPr/>
      <w:tcPr>
        <w:tcBorders>
          <w:top w:val="single" w:sz="8" w:space="0" w:color="C00000" w:themeColor="accent2"/>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C00000" w:themeColor="accent2"/>
          <w:insideH w:val="nil"/>
          <w:insideV w:val="nil"/>
        </w:tcBorders>
        <w:shd w:val="clear" w:color="auto" w:fill="0072BC" w:themeFill="background1"/>
      </w:tcPr>
    </w:tblStylePr>
    <w:tblStylePr w:type="lastCol">
      <w:tblPr/>
      <w:tcPr>
        <w:tcBorders>
          <w:top w:val="nil"/>
          <w:left w:val="single" w:sz="8" w:space="0" w:color="C00000" w:themeColor="accent2"/>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FFB0B0" w:themeFill="accent2" w:themeFillTint="3F"/>
      </w:tcPr>
    </w:tblStylePr>
    <w:tblStylePr w:type="band1Horz">
      <w:tblPr/>
      <w:tcPr>
        <w:tcBorders>
          <w:top w:val="nil"/>
          <w:bottom w:val="nil"/>
          <w:insideH w:val="nil"/>
          <w:insideV w:val="nil"/>
        </w:tcBorders>
        <w:shd w:val="clear" w:color="auto" w:fill="FFB0B0" w:themeFill="accent2" w:themeFillTint="3F"/>
      </w:tcPr>
    </w:tblStylePr>
    <w:tblStylePr w:type="nwCell">
      <w:tblPr/>
      <w:tcPr>
        <w:shd w:val="clear" w:color="auto" w:fill="0072BC" w:themeFill="background1"/>
      </w:tcPr>
    </w:tblStylePr>
    <w:tblStylePr w:type="swCell">
      <w:tblPr/>
      <w:tcPr>
        <w:tcBorders>
          <w:top w:val="nil"/>
        </w:tcBorders>
      </w:tcPr>
    </w:tblStylePr>
  </w:style>
  <w:style w:type="table" w:styleId="Srednjiseznam2poudarek3">
    <w:name w:val="Medium List 2 Accent 3"/>
    <w:basedOn w:val="Navadnatabela"/>
    <w:uiPriority w:val="99"/>
    <w:semiHidden/>
    <w:rsid w:val="00014566"/>
    <w:rPr>
      <w:rFonts w:asciiTheme="majorHAnsi" w:eastAsiaTheme="majorEastAsia" w:hAnsiTheme="majorHAnsi" w:cstheme="majorBidi"/>
      <w:color w:val="000000" w:themeColor="text1"/>
      <w:lang w:val="fr-FR" w:eastAsia="fr-FR"/>
    </w:rPr>
    <w:tblPr>
      <w:tblStyleRowBandSize w:val="1"/>
      <w:tblStyleColBandSize w:val="1"/>
      <w:tblBorders>
        <w:top w:val="single" w:sz="8" w:space="0" w:color="5F5F5F" w:themeColor="accent3"/>
        <w:left w:val="single" w:sz="8" w:space="0" w:color="5F5F5F" w:themeColor="accent3"/>
        <w:bottom w:val="single" w:sz="8" w:space="0" w:color="5F5F5F" w:themeColor="accent3"/>
        <w:right w:val="single" w:sz="8" w:space="0" w:color="5F5F5F" w:themeColor="accent3"/>
      </w:tblBorders>
    </w:tblPr>
    <w:tblStylePr w:type="firstRow">
      <w:rPr>
        <w:sz w:val="24"/>
        <w:szCs w:val="24"/>
      </w:rPr>
      <w:tblPr/>
      <w:tcPr>
        <w:tcBorders>
          <w:top w:val="nil"/>
          <w:left w:val="nil"/>
          <w:bottom w:val="single" w:sz="24" w:space="0" w:color="5F5F5F" w:themeColor="accent3"/>
          <w:right w:val="nil"/>
          <w:insideH w:val="nil"/>
          <w:insideV w:val="nil"/>
        </w:tcBorders>
        <w:shd w:val="clear" w:color="auto" w:fill="0072BC" w:themeFill="background1"/>
      </w:tcPr>
    </w:tblStylePr>
    <w:tblStylePr w:type="lastRow">
      <w:tblPr/>
      <w:tcPr>
        <w:tcBorders>
          <w:top w:val="single" w:sz="8" w:space="0" w:color="5F5F5F" w:themeColor="accent3"/>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5F5F5F" w:themeColor="accent3"/>
          <w:insideH w:val="nil"/>
          <w:insideV w:val="nil"/>
        </w:tcBorders>
        <w:shd w:val="clear" w:color="auto" w:fill="0072BC" w:themeFill="background1"/>
      </w:tcPr>
    </w:tblStylePr>
    <w:tblStylePr w:type="lastCol">
      <w:tblPr/>
      <w:tcPr>
        <w:tcBorders>
          <w:top w:val="nil"/>
          <w:left w:val="single" w:sz="8" w:space="0" w:color="5F5F5F" w:themeColor="accent3"/>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D7D7D7" w:themeFill="accent3" w:themeFillTint="3F"/>
      </w:tcPr>
    </w:tblStylePr>
    <w:tblStylePr w:type="band1Horz">
      <w:tblPr/>
      <w:tcPr>
        <w:tcBorders>
          <w:top w:val="nil"/>
          <w:bottom w:val="nil"/>
          <w:insideH w:val="nil"/>
          <w:insideV w:val="nil"/>
        </w:tcBorders>
        <w:shd w:val="clear" w:color="auto" w:fill="D7D7D7" w:themeFill="accent3" w:themeFillTint="3F"/>
      </w:tcPr>
    </w:tblStylePr>
    <w:tblStylePr w:type="nwCell">
      <w:tblPr/>
      <w:tcPr>
        <w:shd w:val="clear" w:color="auto" w:fill="0072BC" w:themeFill="background1"/>
      </w:tcPr>
    </w:tblStylePr>
    <w:tblStylePr w:type="swCell">
      <w:tblPr/>
      <w:tcPr>
        <w:tcBorders>
          <w:top w:val="nil"/>
        </w:tcBorders>
      </w:tcPr>
    </w:tblStylePr>
  </w:style>
  <w:style w:type="table" w:styleId="Srednjiseznam2poudarek4">
    <w:name w:val="Medium List 2 Accent 4"/>
    <w:basedOn w:val="Navadnatabela"/>
    <w:uiPriority w:val="99"/>
    <w:semiHidden/>
    <w:rsid w:val="00014566"/>
    <w:rPr>
      <w:rFonts w:asciiTheme="majorHAnsi" w:eastAsiaTheme="majorEastAsia" w:hAnsiTheme="majorHAnsi" w:cstheme="majorBidi"/>
      <w:color w:val="000000" w:themeColor="text1"/>
      <w:lang w:val="fr-FR" w:eastAsia="fr-FR"/>
    </w:rPr>
    <w:tblPr>
      <w:tblStyleRowBandSize w:val="1"/>
      <w:tblStyleColBandSize w:val="1"/>
      <w:tblBorders>
        <w:top w:val="single" w:sz="8" w:space="0" w:color="969696" w:themeColor="accent4"/>
        <w:left w:val="single" w:sz="8" w:space="0" w:color="969696" w:themeColor="accent4"/>
        <w:bottom w:val="single" w:sz="8" w:space="0" w:color="969696" w:themeColor="accent4"/>
        <w:right w:val="single" w:sz="8" w:space="0" w:color="969696" w:themeColor="accent4"/>
      </w:tblBorders>
    </w:tblPr>
    <w:tblStylePr w:type="firstRow">
      <w:rPr>
        <w:sz w:val="24"/>
        <w:szCs w:val="24"/>
      </w:rPr>
      <w:tblPr/>
      <w:tcPr>
        <w:tcBorders>
          <w:top w:val="nil"/>
          <w:left w:val="nil"/>
          <w:bottom w:val="single" w:sz="24" w:space="0" w:color="969696" w:themeColor="accent4"/>
          <w:right w:val="nil"/>
          <w:insideH w:val="nil"/>
          <w:insideV w:val="nil"/>
        </w:tcBorders>
        <w:shd w:val="clear" w:color="auto" w:fill="0072BC" w:themeFill="background1"/>
      </w:tcPr>
    </w:tblStylePr>
    <w:tblStylePr w:type="lastRow">
      <w:tblPr/>
      <w:tcPr>
        <w:tcBorders>
          <w:top w:val="single" w:sz="8" w:space="0" w:color="969696" w:themeColor="accent4"/>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969696" w:themeColor="accent4"/>
          <w:insideH w:val="nil"/>
          <w:insideV w:val="nil"/>
        </w:tcBorders>
        <w:shd w:val="clear" w:color="auto" w:fill="0072BC" w:themeFill="background1"/>
      </w:tcPr>
    </w:tblStylePr>
    <w:tblStylePr w:type="lastCol">
      <w:tblPr/>
      <w:tcPr>
        <w:tcBorders>
          <w:top w:val="nil"/>
          <w:left w:val="single" w:sz="8" w:space="0" w:color="969696" w:themeColor="accent4"/>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E5E5E5" w:themeFill="accent4" w:themeFillTint="3F"/>
      </w:tcPr>
    </w:tblStylePr>
    <w:tblStylePr w:type="band1Horz">
      <w:tblPr/>
      <w:tcPr>
        <w:tcBorders>
          <w:top w:val="nil"/>
          <w:bottom w:val="nil"/>
          <w:insideH w:val="nil"/>
          <w:insideV w:val="nil"/>
        </w:tcBorders>
        <w:shd w:val="clear" w:color="auto" w:fill="E5E5E5" w:themeFill="accent4" w:themeFillTint="3F"/>
      </w:tcPr>
    </w:tblStylePr>
    <w:tblStylePr w:type="nwCell">
      <w:tblPr/>
      <w:tcPr>
        <w:shd w:val="clear" w:color="auto" w:fill="0072BC" w:themeFill="background1"/>
      </w:tcPr>
    </w:tblStylePr>
    <w:tblStylePr w:type="swCell">
      <w:tblPr/>
      <w:tcPr>
        <w:tcBorders>
          <w:top w:val="nil"/>
        </w:tcBorders>
      </w:tcPr>
    </w:tblStylePr>
  </w:style>
  <w:style w:type="table" w:styleId="Srednjiseznam2poudarek5">
    <w:name w:val="Medium List 2 Accent 5"/>
    <w:basedOn w:val="Navadnatabela"/>
    <w:uiPriority w:val="99"/>
    <w:semiHidden/>
    <w:rsid w:val="00014566"/>
    <w:rPr>
      <w:rFonts w:asciiTheme="majorHAnsi" w:eastAsiaTheme="majorEastAsia" w:hAnsiTheme="majorHAnsi" w:cstheme="majorBidi"/>
      <w:color w:val="000000" w:themeColor="text1"/>
      <w:lang w:val="fr-FR" w:eastAsia="fr-FR"/>
    </w:rPr>
    <w:tblPr>
      <w:tblStyleRowBandSize w:val="1"/>
      <w:tblStyleColBandSize w:val="1"/>
      <w:tblBorders>
        <w:top w:val="single" w:sz="8" w:space="0" w:color="5F5F5F" w:themeColor="accent5"/>
        <w:left w:val="single" w:sz="8" w:space="0" w:color="5F5F5F" w:themeColor="accent5"/>
        <w:bottom w:val="single" w:sz="8" w:space="0" w:color="5F5F5F" w:themeColor="accent5"/>
        <w:right w:val="single" w:sz="8" w:space="0" w:color="5F5F5F" w:themeColor="accent5"/>
      </w:tblBorders>
    </w:tblPr>
    <w:tblStylePr w:type="firstRow">
      <w:rPr>
        <w:sz w:val="24"/>
        <w:szCs w:val="24"/>
      </w:rPr>
      <w:tblPr/>
      <w:tcPr>
        <w:tcBorders>
          <w:top w:val="nil"/>
          <w:left w:val="nil"/>
          <w:bottom w:val="single" w:sz="24" w:space="0" w:color="5F5F5F" w:themeColor="accent5"/>
          <w:right w:val="nil"/>
          <w:insideH w:val="nil"/>
          <w:insideV w:val="nil"/>
        </w:tcBorders>
        <w:shd w:val="clear" w:color="auto" w:fill="0072BC" w:themeFill="background1"/>
      </w:tcPr>
    </w:tblStylePr>
    <w:tblStylePr w:type="lastRow">
      <w:tblPr/>
      <w:tcPr>
        <w:tcBorders>
          <w:top w:val="single" w:sz="8" w:space="0" w:color="5F5F5F" w:themeColor="accent5"/>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5F5F5F" w:themeColor="accent5"/>
          <w:insideH w:val="nil"/>
          <w:insideV w:val="nil"/>
        </w:tcBorders>
        <w:shd w:val="clear" w:color="auto" w:fill="0072BC" w:themeFill="background1"/>
      </w:tcPr>
    </w:tblStylePr>
    <w:tblStylePr w:type="lastCol">
      <w:tblPr/>
      <w:tcPr>
        <w:tcBorders>
          <w:top w:val="nil"/>
          <w:left w:val="single" w:sz="8" w:space="0" w:color="5F5F5F" w:themeColor="accent5"/>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D7D7D7" w:themeFill="accent5" w:themeFillTint="3F"/>
      </w:tcPr>
    </w:tblStylePr>
    <w:tblStylePr w:type="band1Horz">
      <w:tblPr/>
      <w:tcPr>
        <w:tcBorders>
          <w:top w:val="nil"/>
          <w:bottom w:val="nil"/>
          <w:insideH w:val="nil"/>
          <w:insideV w:val="nil"/>
        </w:tcBorders>
        <w:shd w:val="clear" w:color="auto" w:fill="D7D7D7" w:themeFill="accent5" w:themeFillTint="3F"/>
      </w:tcPr>
    </w:tblStylePr>
    <w:tblStylePr w:type="nwCell">
      <w:tblPr/>
      <w:tcPr>
        <w:shd w:val="clear" w:color="auto" w:fill="0072BC" w:themeFill="background1"/>
      </w:tcPr>
    </w:tblStylePr>
    <w:tblStylePr w:type="swCell">
      <w:tblPr/>
      <w:tcPr>
        <w:tcBorders>
          <w:top w:val="nil"/>
        </w:tcBorders>
      </w:tcPr>
    </w:tblStylePr>
  </w:style>
  <w:style w:type="table" w:styleId="Srednjiseznam2poudarek6">
    <w:name w:val="Medium List 2 Accent 6"/>
    <w:basedOn w:val="Navadnatabela"/>
    <w:uiPriority w:val="99"/>
    <w:semiHidden/>
    <w:rsid w:val="00014566"/>
    <w:rPr>
      <w:rFonts w:asciiTheme="majorHAnsi" w:eastAsiaTheme="majorEastAsia" w:hAnsiTheme="majorHAnsi" w:cstheme="majorBidi"/>
      <w:color w:val="000000" w:themeColor="text1"/>
      <w:lang w:val="fr-FR" w:eastAsia="fr-FR"/>
    </w:rPr>
    <w:tblPr>
      <w:tblStyleRowBandSize w:val="1"/>
      <w:tblStyleColBandSize w:val="1"/>
      <w:tblBorders>
        <w:top w:val="single" w:sz="8" w:space="0" w:color="4D4D4D" w:themeColor="accent6"/>
        <w:left w:val="single" w:sz="8" w:space="0" w:color="4D4D4D" w:themeColor="accent6"/>
        <w:bottom w:val="single" w:sz="8" w:space="0" w:color="4D4D4D" w:themeColor="accent6"/>
        <w:right w:val="single" w:sz="8" w:space="0" w:color="4D4D4D" w:themeColor="accent6"/>
      </w:tblBorders>
    </w:tblPr>
    <w:tblStylePr w:type="firstRow">
      <w:rPr>
        <w:sz w:val="24"/>
        <w:szCs w:val="24"/>
      </w:rPr>
      <w:tblPr/>
      <w:tcPr>
        <w:tcBorders>
          <w:top w:val="nil"/>
          <w:left w:val="nil"/>
          <w:bottom w:val="single" w:sz="24" w:space="0" w:color="4D4D4D" w:themeColor="accent6"/>
          <w:right w:val="nil"/>
          <w:insideH w:val="nil"/>
          <w:insideV w:val="nil"/>
        </w:tcBorders>
        <w:shd w:val="clear" w:color="auto" w:fill="0072BC" w:themeFill="background1"/>
      </w:tcPr>
    </w:tblStylePr>
    <w:tblStylePr w:type="lastRow">
      <w:tblPr/>
      <w:tcPr>
        <w:tcBorders>
          <w:top w:val="single" w:sz="8" w:space="0" w:color="4D4D4D" w:themeColor="accent6"/>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4D4D4D" w:themeColor="accent6"/>
          <w:insideH w:val="nil"/>
          <w:insideV w:val="nil"/>
        </w:tcBorders>
        <w:shd w:val="clear" w:color="auto" w:fill="0072BC" w:themeFill="background1"/>
      </w:tcPr>
    </w:tblStylePr>
    <w:tblStylePr w:type="lastCol">
      <w:tblPr/>
      <w:tcPr>
        <w:tcBorders>
          <w:top w:val="nil"/>
          <w:left w:val="single" w:sz="8" w:space="0" w:color="4D4D4D" w:themeColor="accent6"/>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D3D3D3" w:themeFill="accent6" w:themeFillTint="3F"/>
      </w:tcPr>
    </w:tblStylePr>
    <w:tblStylePr w:type="band1Horz">
      <w:tblPr/>
      <w:tcPr>
        <w:tcBorders>
          <w:top w:val="nil"/>
          <w:bottom w:val="nil"/>
          <w:insideH w:val="nil"/>
          <w:insideV w:val="nil"/>
        </w:tcBorders>
        <w:shd w:val="clear" w:color="auto" w:fill="D3D3D3" w:themeFill="accent6" w:themeFillTint="3F"/>
      </w:tcPr>
    </w:tblStylePr>
    <w:tblStylePr w:type="nwCell">
      <w:tblPr/>
      <w:tcPr>
        <w:shd w:val="clear" w:color="auto" w:fill="0072BC" w:themeFill="background1"/>
      </w:tcPr>
    </w:tblStylePr>
    <w:tblStylePr w:type="swCell">
      <w:tblPr/>
      <w:tcPr>
        <w:tcBorders>
          <w:top w:val="nil"/>
        </w:tcBorders>
      </w:tcPr>
    </w:tblStylePr>
  </w:style>
  <w:style w:type="table" w:styleId="Srednjesenenje1">
    <w:name w:val="Medium Shading 1"/>
    <w:basedOn w:val="Navadnatabela"/>
    <w:uiPriority w:val="99"/>
    <w:semiHidden/>
    <w:rsid w:val="00014566"/>
    <w:rPr>
      <w:lang w:val="fr-FR" w:eastAsia="fr-FR"/>
    </w:r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0072BC"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Srednjesenenje1poudarek1">
    <w:name w:val="Medium Shading 1 Accent 1"/>
    <w:basedOn w:val="Navadnatabela"/>
    <w:uiPriority w:val="99"/>
    <w:semiHidden/>
    <w:rsid w:val="00014566"/>
    <w:rPr>
      <w:lang w:val="fr-FR" w:eastAsia="fr-FR"/>
    </w:rPr>
    <w:tblPr>
      <w:tblStyleRowBandSize w:val="1"/>
      <w:tblStyleColBandSize w:val="1"/>
      <w:tblBorders>
        <w:top w:val="single" w:sz="8" w:space="0" w:color="0D9FFF" w:themeColor="accent1" w:themeTint="BF"/>
        <w:left w:val="single" w:sz="8" w:space="0" w:color="0D9FFF" w:themeColor="accent1" w:themeTint="BF"/>
        <w:bottom w:val="single" w:sz="8" w:space="0" w:color="0D9FFF" w:themeColor="accent1" w:themeTint="BF"/>
        <w:right w:val="single" w:sz="8" w:space="0" w:color="0D9FFF" w:themeColor="accent1" w:themeTint="BF"/>
        <w:insideH w:val="single" w:sz="8" w:space="0" w:color="0D9FFF" w:themeColor="accent1" w:themeTint="BF"/>
      </w:tblBorders>
    </w:tblPr>
    <w:tblStylePr w:type="firstRow">
      <w:pPr>
        <w:spacing w:before="0" w:after="0" w:line="240" w:lineRule="auto"/>
      </w:pPr>
      <w:rPr>
        <w:b/>
        <w:bCs/>
        <w:color w:val="0072BC" w:themeColor="background1"/>
      </w:rPr>
      <w:tblPr/>
      <w:tcPr>
        <w:tcBorders>
          <w:top w:val="single" w:sz="8" w:space="0" w:color="0D9FFF" w:themeColor="accent1" w:themeTint="BF"/>
          <w:left w:val="single" w:sz="8" w:space="0" w:color="0D9FFF" w:themeColor="accent1" w:themeTint="BF"/>
          <w:bottom w:val="single" w:sz="8" w:space="0" w:color="0D9FFF" w:themeColor="accent1" w:themeTint="BF"/>
          <w:right w:val="single" w:sz="8" w:space="0" w:color="0D9FFF" w:themeColor="accent1" w:themeTint="BF"/>
          <w:insideH w:val="nil"/>
          <w:insideV w:val="nil"/>
        </w:tcBorders>
        <w:shd w:val="clear" w:color="auto" w:fill="0072BC" w:themeFill="accent1"/>
      </w:tcPr>
    </w:tblStylePr>
    <w:tblStylePr w:type="lastRow">
      <w:pPr>
        <w:spacing w:before="0" w:after="0" w:line="240" w:lineRule="auto"/>
      </w:pPr>
      <w:rPr>
        <w:b/>
        <w:bCs/>
      </w:rPr>
      <w:tblPr/>
      <w:tcPr>
        <w:tcBorders>
          <w:top w:val="double" w:sz="6" w:space="0" w:color="0D9FFF" w:themeColor="accent1" w:themeTint="BF"/>
          <w:left w:val="single" w:sz="8" w:space="0" w:color="0D9FFF" w:themeColor="accent1" w:themeTint="BF"/>
          <w:bottom w:val="single" w:sz="8" w:space="0" w:color="0D9FFF" w:themeColor="accent1" w:themeTint="BF"/>
          <w:right w:val="single" w:sz="8" w:space="0" w:color="0D9FFF" w:themeColor="accent1" w:themeTint="BF"/>
          <w:insideH w:val="nil"/>
          <w:insideV w:val="nil"/>
        </w:tcBorders>
      </w:tcPr>
    </w:tblStylePr>
    <w:tblStylePr w:type="firstCol">
      <w:rPr>
        <w:b/>
        <w:bCs/>
      </w:rPr>
    </w:tblStylePr>
    <w:tblStylePr w:type="lastCol">
      <w:rPr>
        <w:b/>
        <w:bCs/>
      </w:rPr>
    </w:tblStylePr>
    <w:tblStylePr w:type="band1Vert">
      <w:tblPr/>
      <w:tcPr>
        <w:shd w:val="clear" w:color="auto" w:fill="AFDFFF" w:themeFill="accent1" w:themeFillTint="3F"/>
      </w:tcPr>
    </w:tblStylePr>
    <w:tblStylePr w:type="band1Horz">
      <w:tblPr/>
      <w:tcPr>
        <w:tcBorders>
          <w:insideH w:val="nil"/>
          <w:insideV w:val="nil"/>
        </w:tcBorders>
        <w:shd w:val="clear" w:color="auto" w:fill="AFDFFF" w:themeFill="accent1" w:themeFillTint="3F"/>
      </w:tcPr>
    </w:tblStylePr>
    <w:tblStylePr w:type="band2Horz">
      <w:tblPr/>
      <w:tcPr>
        <w:tcBorders>
          <w:insideH w:val="nil"/>
          <w:insideV w:val="nil"/>
        </w:tcBorders>
      </w:tcPr>
    </w:tblStylePr>
  </w:style>
  <w:style w:type="table" w:styleId="Srednjesenenje1poudarek2">
    <w:name w:val="Medium Shading 1 Accent 2"/>
    <w:basedOn w:val="Navadnatabela"/>
    <w:uiPriority w:val="99"/>
    <w:semiHidden/>
    <w:rsid w:val="00014566"/>
    <w:rPr>
      <w:lang w:val="fr-FR" w:eastAsia="fr-FR"/>
    </w:rPr>
    <w:tblPr>
      <w:tblStyleRowBandSize w:val="1"/>
      <w:tblStyleColBandSize w:val="1"/>
      <w:tblBorders>
        <w:top w:val="single" w:sz="8" w:space="0" w:color="FF1010" w:themeColor="accent2" w:themeTint="BF"/>
        <w:left w:val="single" w:sz="8" w:space="0" w:color="FF1010" w:themeColor="accent2" w:themeTint="BF"/>
        <w:bottom w:val="single" w:sz="8" w:space="0" w:color="FF1010" w:themeColor="accent2" w:themeTint="BF"/>
        <w:right w:val="single" w:sz="8" w:space="0" w:color="FF1010" w:themeColor="accent2" w:themeTint="BF"/>
        <w:insideH w:val="single" w:sz="8" w:space="0" w:color="FF1010" w:themeColor="accent2" w:themeTint="BF"/>
      </w:tblBorders>
    </w:tblPr>
    <w:tblStylePr w:type="firstRow">
      <w:pPr>
        <w:spacing w:before="0" w:after="0" w:line="240" w:lineRule="auto"/>
      </w:pPr>
      <w:rPr>
        <w:b/>
        <w:bCs/>
        <w:color w:val="0072BC" w:themeColor="background1"/>
      </w:rPr>
      <w:tblPr/>
      <w:tcPr>
        <w:tcBorders>
          <w:top w:val="single" w:sz="8" w:space="0" w:color="FF1010" w:themeColor="accent2" w:themeTint="BF"/>
          <w:left w:val="single" w:sz="8" w:space="0" w:color="FF1010" w:themeColor="accent2" w:themeTint="BF"/>
          <w:bottom w:val="single" w:sz="8" w:space="0" w:color="FF1010" w:themeColor="accent2" w:themeTint="BF"/>
          <w:right w:val="single" w:sz="8" w:space="0" w:color="FF1010" w:themeColor="accent2" w:themeTint="BF"/>
          <w:insideH w:val="nil"/>
          <w:insideV w:val="nil"/>
        </w:tcBorders>
        <w:shd w:val="clear" w:color="auto" w:fill="C00000" w:themeFill="accent2"/>
      </w:tcPr>
    </w:tblStylePr>
    <w:tblStylePr w:type="lastRow">
      <w:pPr>
        <w:spacing w:before="0" w:after="0" w:line="240" w:lineRule="auto"/>
      </w:pPr>
      <w:rPr>
        <w:b/>
        <w:bCs/>
      </w:rPr>
      <w:tblPr/>
      <w:tcPr>
        <w:tcBorders>
          <w:top w:val="double" w:sz="6" w:space="0" w:color="FF1010" w:themeColor="accent2" w:themeTint="BF"/>
          <w:left w:val="single" w:sz="8" w:space="0" w:color="FF1010" w:themeColor="accent2" w:themeTint="BF"/>
          <w:bottom w:val="single" w:sz="8" w:space="0" w:color="FF1010" w:themeColor="accent2" w:themeTint="BF"/>
          <w:right w:val="single" w:sz="8" w:space="0" w:color="FF1010" w:themeColor="accent2" w:themeTint="BF"/>
          <w:insideH w:val="nil"/>
          <w:insideV w:val="nil"/>
        </w:tcBorders>
      </w:tcPr>
    </w:tblStylePr>
    <w:tblStylePr w:type="firstCol">
      <w:rPr>
        <w:b/>
        <w:bCs/>
      </w:rPr>
    </w:tblStylePr>
    <w:tblStylePr w:type="lastCol">
      <w:rPr>
        <w:b/>
        <w:bCs/>
      </w:rPr>
    </w:tblStylePr>
    <w:tblStylePr w:type="band1Vert">
      <w:tblPr/>
      <w:tcPr>
        <w:shd w:val="clear" w:color="auto" w:fill="FFB0B0" w:themeFill="accent2" w:themeFillTint="3F"/>
      </w:tcPr>
    </w:tblStylePr>
    <w:tblStylePr w:type="band1Horz">
      <w:tblPr/>
      <w:tcPr>
        <w:tcBorders>
          <w:insideH w:val="nil"/>
          <w:insideV w:val="nil"/>
        </w:tcBorders>
        <w:shd w:val="clear" w:color="auto" w:fill="FFB0B0" w:themeFill="accent2" w:themeFillTint="3F"/>
      </w:tcPr>
    </w:tblStylePr>
    <w:tblStylePr w:type="band2Horz">
      <w:tblPr/>
      <w:tcPr>
        <w:tcBorders>
          <w:insideH w:val="nil"/>
          <w:insideV w:val="nil"/>
        </w:tcBorders>
      </w:tcPr>
    </w:tblStylePr>
  </w:style>
  <w:style w:type="table" w:styleId="Srednjesenenje1poudarek3">
    <w:name w:val="Medium Shading 1 Accent 3"/>
    <w:basedOn w:val="Navadnatabela"/>
    <w:uiPriority w:val="99"/>
    <w:semiHidden/>
    <w:rsid w:val="00014566"/>
    <w:rPr>
      <w:lang w:val="fr-FR" w:eastAsia="fr-FR"/>
    </w:rPr>
    <w:tblPr>
      <w:tblStyleRowBandSize w:val="1"/>
      <w:tblStyleColBandSize w:val="1"/>
      <w:tblBorders>
        <w:top w:val="single" w:sz="8" w:space="0" w:color="878787" w:themeColor="accent3" w:themeTint="BF"/>
        <w:left w:val="single" w:sz="8" w:space="0" w:color="878787" w:themeColor="accent3" w:themeTint="BF"/>
        <w:bottom w:val="single" w:sz="8" w:space="0" w:color="878787" w:themeColor="accent3" w:themeTint="BF"/>
        <w:right w:val="single" w:sz="8" w:space="0" w:color="878787" w:themeColor="accent3" w:themeTint="BF"/>
        <w:insideH w:val="single" w:sz="8" w:space="0" w:color="878787" w:themeColor="accent3" w:themeTint="BF"/>
      </w:tblBorders>
    </w:tblPr>
    <w:tblStylePr w:type="firstRow">
      <w:pPr>
        <w:spacing w:before="0" w:after="0" w:line="240" w:lineRule="auto"/>
      </w:pPr>
      <w:rPr>
        <w:b/>
        <w:bCs/>
        <w:color w:val="0072BC" w:themeColor="background1"/>
      </w:rPr>
      <w:tblPr/>
      <w:tcPr>
        <w:tcBorders>
          <w:top w:val="single" w:sz="8" w:space="0" w:color="878787" w:themeColor="accent3" w:themeTint="BF"/>
          <w:left w:val="single" w:sz="8" w:space="0" w:color="878787" w:themeColor="accent3" w:themeTint="BF"/>
          <w:bottom w:val="single" w:sz="8" w:space="0" w:color="878787" w:themeColor="accent3" w:themeTint="BF"/>
          <w:right w:val="single" w:sz="8" w:space="0" w:color="878787" w:themeColor="accent3" w:themeTint="BF"/>
          <w:insideH w:val="nil"/>
          <w:insideV w:val="nil"/>
        </w:tcBorders>
        <w:shd w:val="clear" w:color="auto" w:fill="5F5F5F" w:themeFill="accent3"/>
      </w:tcPr>
    </w:tblStylePr>
    <w:tblStylePr w:type="lastRow">
      <w:pPr>
        <w:spacing w:before="0" w:after="0" w:line="240" w:lineRule="auto"/>
      </w:pPr>
      <w:rPr>
        <w:b/>
        <w:bCs/>
      </w:rPr>
      <w:tblPr/>
      <w:tcPr>
        <w:tcBorders>
          <w:top w:val="double" w:sz="6" w:space="0" w:color="878787" w:themeColor="accent3" w:themeTint="BF"/>
          <w:left w:val="single" w:sz="8" w:space="0" w:color="878787" w:themeColor="accent3" w:themeTint="BF"/>
          <w:bottom w:val="single" w:sz="8" w:space="0" w:color="878787" w:themeColor="accent3" w:themeTint="BF"/>
          <w:right w:val="single" w:sz="8" w:space="0" w:color="878787" w:themeColor="accent3" w:themeTint="BF"/>
          <w:insideH w:val="nil"/>
          <w:insideV w:val="nil"/>
        </w:tcBorders>
      </w:tcPr>
    </w:tblStylePr>
    <w:tblStylePr w:type="firstCol">
      <w:rPr>
        <w:b/>
        <w:bCs/>
      </w:rPr>
    </w:tblStylePr>
    <w:tblStylePr w:type="lastCol">
      <w:rPr>
        <w:b/>
        <w:bCs/>
      </w:rPr>
    </w:tblStylePr>
    <w:tblStylePr w:type="band1Vert">
      <w:tblPr/>
      <w:tcPr>
        <w:shd w:val="clear" w:color="auto" w:fill="D7D7D7" w:themeFill="accent3" w:themeFillTint="3F"/>
      </w:tcPr>
    </w:tblStylePr>
    <w:tblStylePr w:type="band1Horz">
      <w:tblPr/>
      <w:tcPr>
        <w:tcBorders>
          <w:insideH w:val="nil"/>
          <w:insideV w:val="nil"/>
        </w:tcBorders>
        <w:shd w:val="clear" w:color="auto" w:fill="D7D7D7" w:themeFill="accent3" w:themeFillTint="3F"/>
      </w:tcPr>
    </w:tblStylePr>
    <w:tblStylePr w:type="band2Horz">
      <w:tblPr/>
      <w:tcPr>
        <w:tcBorders>
          <w:insideH w:val="nil"/>
          <w:insideV w:val="nil"/>
        </w:tcBorders>
      </w:tcPr>
    </w:tblStylePr>
  </w:style>
  <w:style w:type="table" w:styleId="Srednjesenenje1poudarek4">
    <w:name w:val="Medium Shading 1 Accent 4"/>
    <w:basedOn w:val="Navadnatabela"/>
    <w:uiPriority w:val="99"/>
    <w:semiHidden/>
    <w:rsid w:val="00014566"/>
    <w:rPr>
      <w:lang w:val="fr-FR" w:eastAsia="fr-FR"/>
    </w:rPr>
    <w:tblPr>
      <w:tblStyleRowBandSize w:val="1"/>
      <w:tblStyleColBandSize w:val="1"/>
      <w:tblBorders>
        <w:top w:val="single" w:sz="8" w:space="0" w:color="B0B0B0" w:themeColor="accent4" w:themeTint="BF"/>
        <w:left w:val="single" w:sz="8" w:space="0" w:color="B0B0B0" w:themeColor="accent4" w:themeTint="BF"/>
        <w:bottom w:val="single" w:sz="8" w:space="0" w:color="B0B0B0" w:themeColor="accent4" w:themeTint="BF"/>
        <w:right w:val="single" w:sz="8" w:space="0" w:color="B0B0B0" w:themeColor="accent4" w:themeTint="BF"/>
        <w:insideH w:val="single" w:sz="8" w:space="0" w:color="B0B0B0" w:themeColor="accent4" w:themeTint="BF"/>
      </w:tblBorders>
    </w:tblPr>
    <w:tblStylePr w:type="firstRow">
      <w:pPr>
        <w:spacing w:before="0" w:after="0" w:line="240" w:lineRule="auto"/>
      </w:pPr>
      <w:rPr>
        <w:b/>
        <w:bCs/>
        <w:color w:val="0072BC" w:themeColor="background1"/>
      </w:rPr>
      <w:tblPr/>
      <w:tcPr>
        <w:tcBorders>
          <w:top w:val="single" w:sz="8" w:space="0" w:color="B0B0B0" w:themeColor="accent4" w:themeTint="BF"/>
          <w:left w:val="single" w:sz="8" w:space="0" w:color="B0B0B0" w:themeColor="accent4" w:themeTint="BF"/>
          <w:bottom w:val="single" w:sz="8" w:space="0" w:color="B0B0B0" w:themeColor="accent4" w:themeTint="BF"/>
          <w:right w:val="single" w:sz="8" w:space="0" w:color="B0B0B0" w:themeColor="accent4" w:themeTint="BF"/>
          <w:insideH w:val="nil"/>
          <w:insideV w:val="nil"/>
        </w:tcBorders>
        <w:shd w:val="clear" w:color="auto" w:fill="969696" w:themeFill="accent4"/>
      </w:tcPr>
    </w:tblStylePr>
    <w:tblStylePr w:type="lastRow">
      <w:pPr>
        <w:spacing w:before="0" w:after="0" w:line="240" w:lineRule="auto"/>
      </w:pPr>
      <w:rPr>
        <w:b/>
        <w:bCs/>
      </w:rPr>
      <w:tblPr/>
      <w:tcPr>
        <w:tcBorders>
          <w:top w:val="double" w:sz="6" w:space="0" w:color="B0B0B0" w:themeColor="accent4" w:themeTint="BF"/>
          <w:left w:val="single" w:sz="8" w:space="0" w:color="B0B0B0" w:themeColor="accent4" w:themeTint="BF"/>
          <w:bottom w:val="single" w:sz="8" w:space="0" w:color="B0B0B0" w:themeColor="accent4" w:themeTint="BF"/>
          <w:right w:val="single" w:sz="8" w:space="0" w:color="B0B0B0" w:themeColor="accent4" w:themeTint="BF"/>
          <w:insideH w:val="nil"/>
          <w:insideV w:val="nil"/>
        </w:tcBorders>
      </w:tcPr>
    </w:tblStylePr>
    <w:tblStylePr w:type="firstCol">
      <w:rPr>
        <w:b/>
        <w:bCs/>
      </w:rPr>
    </w:tblStylePr>
    <w:tblStylePr w:type="lastCol">
      <w:rPr>
        <w:b/>
        <w:bCs/>
      </w:rPr>
    </w:tblStylePr>
    <w:tblStylePr w:type="band1Vert">
      <w:tblPr/>
      <w:tcPr>
        <w:shd w:val="clear" w:color="auto" w:fill="E5E5E5" w:themeFill="accent4" w:themeFillTint="3F"/>
      </w:tcPr>
    </w:tblStylePr>
    <w:tblStylePr w:type="band1Horz">
      <w:tblPr/>
      <w:tcPr>
        <w:tcBorders>
          <w:insideH w:val="nil"/>
          <w:insideV w:val="nil"/>
        </w:tcBorders>
        <w:shd w:val="clear" w:color="auto" w:fill="E5E5E5" w:themeFill="accent4" w:themeFillTint="3F"/>
      </w:tcPr>
    </w:tblStylePr>
    <w:tblStylePr w:type="band2Horz">
      <w:tblPr/>
      <w:tcPr>
        <w:tcBorders>
          <w:insideH w:val="nil"/>
          <w:insideV w:val="nil"/>
        </w:tcBorders>
      </w:tcPr>
    </w:tblStylePr>
  </w:style>
  <w:style w:type="table" w:styleId="Srednjesenenje1poudarek5">
    <w:name w:val="Medium Shading 1 Accent 5"/>
    <w:basedOn w:val="Navadnatabela"/>
    <w:uiPriority w:val="99"/>
    <w:semiHidden/>
    <w:rsid w:val="00014566"/>
    <w:rPr>
      <w:lang w:val="fr-FR" w:eastAsia="fr-FR"/>
    </w:rPr>
    <w:tblPr>
      <w:tblStyleRowBandSize w:val="1"/>
      <w:tblStyleColBandSize w:val="1"/>
      <w:tblBorders>
        <w:top w:val="single" w:sz="8"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single" w:sz="8" w:space="0" w:color="878787" w:themeColor="accent5" w:themeTint="BF"/>
      </w:tblBorders>
    </w:tblPr>
    <w:tblStylePr w:type="firstRow">
      <w:pPr>
        <w:spacing w:before="0" w:after="0" w:line="240" w:lineRule="auto"/>
      </w:pPr>
      <w:rPr>
        <w:b/>
        <w:bCs/>
        <w:color w:val="0072BC" w:themeColor="background1"/>
      </w:rPr>
      <w:tblPr/>
      <w:tcPr>
        <w:tcBorders>
          <w:top w:val="single" w:sz="8"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nil"/>
          <w:insideV w:val="nil"/>
        </w:tcBorders>
        <w:shd w:val="clear" w:color="auto" w:fill="5F5F5F" w:themeFill="accent5"/>
      </w:tcPr>
    </w:tblStylePr>
    <w:tblStylePr w:type="lastRow">
      <w:pPr>
        <w:spacing w:before="0" w:after="0" w:line="240" w:lineRule="auto"/>
      </w:pPr>
      <w:rPr>
        <w:b/>
        <w:bCs/>
      </w:rPr>
      <w:tblPr/>
      <w:tcPr>
        <w:tcBorders>
          <w:top w:val="double" w:sz="6"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nil"/>
          <w:insideV w:val="nil"/>
        </w:tcBorders>
      </w:tcPr>
    </w:tblStylePr>
    <w:tblStylePr w:type="firstCol">
      <w:rPr>
        <w:b/>
        <w:bCs/>
      </w:rPr>
    </w:tblStylePr>
    <w:tblStylePr w:type="lastCol">
      <w:rPr>
        <w:b/>
        <w:bCs/>
      </w:rPr>
    </w:tblStylePr>
    <w:tblStylePr w:type="band1Vert">
      <w:tblPr/>
      <w:tcPr>
        <w:shd w:val="clear" w:color="auto" w:fill="D7D7D7" w:themeFill="accent5" w:themeFillTint="3F"/>
      </w:tcPr>
    </w:tblStylePr>
    <w:tblStylePr w:type="band1Horz">
      <w:tblPr/>
      <w:tcPr>
        <w:tcBorders>
          <w:insideH w:val="nil"/>
          <w:insideV w:val="nil"/>
        </w:tcBorders>
        <w:shd w:val="clear" w:color="auto" w:fill="D7D7D7" w:themeFill="accent5" w:themeFillTint="3F"/>
      </w:tcPr>
    </w:tblStylePr>
    <w:tblStylePr w:type="band2Horz">
      <w:tblPr/>
      <w:tcPr>
        <w:tcBorders>
          <w:insideH w:val="nil"/>
          <w:insideV w:val="nil"/>
        </w:tcBorders>
      </w:tcPr>
    </w:tblStylePr>
  </w:style>
  <w:style w:type="table" w:styleId="Srednjesenenje1poudarek6">
    <w:name w:val="Medium Shading 1 Accent 6"/>
    <w:basedOn w:val="Navadnatabela"/>
    <w:uiPriority w:val="99"/>
    <w:semiHidden/>
    <w:rsid w:val="00014566"/>
    <w:rPr>
      <w:lang w:val="fr-FR" w:eastAsia="fr-FR"/>
    </w:rPr>
    <w:tblPr>
      <w:tblStyleRowBandSize w:val="1"/>
      <w:tblStyleColBandSize w:val="1"/>
      <w:tblBorders>
        <w:top w:val="single" w:sz="8"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single" w:sz="8" w:space="0" w:color="797979" w:themeColor="accent6" w:themeTint="BF"/>
      </w:tblBorders>
    </w:tblPr>
    <w:tblStylePr w:type="firstRow">
      <w:pPr>
        <w:spacing w:before="0" w:after="0" w:line="240" w:lineRule="auto"/>
      </w:pPr>
      <w:rPr>
        <w:b/>
        <w:bCs/>
        <w:color w:val="0072BC" w:themeColor="background1"/>
      </w:rPr>
      <w:tblPr/>
      <w:tcPr>
        <w:tcBorders>
          <w:top w:val="single" w:sz="8"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nil"/>
          <w:insideV w:val="nil"/>
        </w:tcBorders>
        <w:shd w:val="clear" w:color="auto" w:fill="4D4D4D" w:themeFill="accent6"/>
      </w:tcPr>
    </w:tblStylePr>
    <w:tblStylePr w:type="lastRow">
      <w:pPr>
        <w:spacing w:before="0" w:after="0" w:line="240" w:lineRule="auto"/>
      </w:pPr>
      <w:rPr>
        <w:b/>
        <w:bCs/>
      </w:rPr>
      <w:tblPr/>
      <w:tcPr>
        <w:tcBorders>
          <w:top w:val="double" w:sz="6"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nil"/>
          <w:insideV w:val="nil"/>
        </w:tcBorders>
      </w:tcPr>
    </w:tblStylePr>
    <w:tblStylePr w:type="firstCol">
      <w:rPr>
        <w:b/>
        <w:bCs/>
      </w:rPr>
    </w:tblStylePr>
    <w:tblStylePr w:type="lastCol">
      <w:rPr>
        <w:b/>
        <w:bCs/>
      </w:rPr>
    </w:tblStylePr>
    <w:tblStylePr w:type="band1Vert">
      <w:tblPr/>
      <w:tcPr>
        <w:shd w:val="clear" w:color="auto" w:fill="D3D3D3" w:themeFill="accent6" w:themeFillTint="3F"/>
      </w:tcPr>
    </w:tblStylePr>
    <w:tblStylePr w:type="band1Horz">
      <w:tblPr/>
      <w:tcPr>
        <w:tcBorders>
          <w:insideH w:val="nil"/>
          <w:insideV w:val="nil"/>
        </w:tcBorders>
        <w:shd w:val="clear" w:color="auto" w:fill="D3D3D3" w:themeFill="accent6" w:themeFillTint="3F"/>
      </w:tcPr>
    </w:tblStylePr>
    <w:tblStylePr w:type="band2Horz">
      <w:tblPr/>
      <w:tcPr>
        <w:tcBorders>
          <w:insideH w:val="nil"/>
          <w:insideV w:val="nil"/>
        </w:tcBorders>
      </w:tcPr>
    </w:tblStylePr>
  </w:style>
  <w:style w:type="table" w:styleId="Srednjesenenje2">
    <w:name w:val="Medium Shading 2"/>
    <w:basedOn w:val="Navadnatabela"/>
    <w:uiPriority w:val="99"/>
    <w:semiHidden/>
    <w:rsid w:val="00014566"/>
    <w:rPr>
      <w:lang w:val="fr-FR" w:eastAsia="fr-FR"/>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0072BC"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table" w:styleId="Srednjesenenje2poudarek1">
    <w:name w:val="Medium Shading 2 Accent 1"/>
    <w:basedOn w:val="Navadnatabela"/>
    <w:uiPriority w:val="99"/>
    <w:semiHidden/>
    <w:rsid w:val="00014566"/>
    <w:rPr>
      <w:lang w:val="fr-FR" w:eastAsia="fr-FR"/>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0072BC"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0072BC" w:themeFill="accent1"/>
      </w:tcPr>
    </w:tblStylePr>
    <w:tblStylePr w:type="lastCol">
      <w:rPr>
        <w:b/>
        <w:bCs/>
        <w:color w:val="0072BC" w:themeColor="background1"/>
      </w:rPr>
      <w:tblPr/>
      <w:tcPr>
        <w:tcBorders>
          <w:left w:val="nil"/>
          <w:right w:val="nil"/>
          <w:insideH w:val="nil"/>
          <w:insideV w:val="nil"/>
        </w:tcBorders>
        <w:shd w:val="clear" w:color="auto" w:fill="0072BC" w:themeFill="accent1"/>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table" w:styleId="Srednjesenenje2poudarek2">
    <w:name w:val="Medium Shading 2 Accent 2"/>
    <w:basedOn w:val="Navadnatabela"/>
    <w:uiPriority w:val="99"/>
    <w:semiHidden/>
    <w:rsid w:val="00014566"/>
    <w:rPr>
      <w:lang w:val="fr-FR" w:eastAsia="fr-FR"/>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C00000"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C00000" w:themeFill="accent2"/>
      </w:tcPr>
    </w:tblStylePr>
    <w:tblStylePr w:type="lastCol">
      <w:rPr>
        <w:b/>
        <w:bCs/>
        <w:color w:val="0072BC" w:themeColor="background1"/>
      </w:rPr>
      <w:tblPr/>
      <w:tcPr>
        <w:tcBorders>
          <w:left w:val="nil"/>
          <w:right w:val="nil"/>
          <w:insideH w:val="nil"/>
          <w:insideV w:val="nil"/>
        </w:tcBorders>
        <w:shd w:val="clear" w:color="auto" w:fill="C00000" w:themeFill="accent2"/>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table" w:styleId="Srednjesenenje2poudarek3">
    <w:name w:val="Medium Shading 2 Accent 3"/>
    <w:basedOn w:val="Navadnatabela"/>
    <w:uiPriority w:val="99"/>
    <w:semiHidden/>
    <w:rsid w:val="00014566"/>
    <w:rPr>
      <w:lang w:val="fr-FR" w:eastAsia="fr-FR"/>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5F5F5F"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5F5F5F" w:themeFill="accent3"/>
      </w:tcPr>
    </w:tblStylePr>
    <w:tblStylePr w:type="lastCol">
      <w:rPr>
        <w:b/>
        <w:bCs/>
        <w:color w:val="0072BC" w:themeColor="background1"/>
      </w:rPr>
      <w:tblPr/>
      <w:tcPr>
        <w:tcBorders>
          <w:left w:val="nil"/>
          <w:right w:val="nil"/>
          <w:insideH w:val="nil"/>
          <w:insideV w:val="nil"/>
        </w:tcBorders>
        <w:shd w:val="clear" w:color="auto" w:fill="5F5F5F" w:themeFill="accent3"/>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table" w:styleId="Srednjesenenje2poudarek4">
    <w:name w:val="Medium Shading 2 Accent 4"/>
    <w:basedOn w:val="Navadnatabela"/>
    <w:uiPriority w:val="99"/>
    <w:semiHidden/>
    <w:rsid w:val="00014566"/>
    <w:rPr>
      <w:lang w:val="fr-FR" w:eastAsia="fr-FR"/>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969696"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969696" w:themeFill="accent4"/>
      </w:tcPr>
    </w:tblStylePr>
    <w:tblStylePr w:type="lastCol">
      <w:rPr>
        <w:b/>
        <w:bCs/>
        <w:color w:val="0072BC" w:themeColor="background1"/>
      </w:rPr>
      <w:tblPr/>
      <w:tcPr>
        <w:tcBorders>
          <w:left w:val="nil"/>
          <w:right w:val="nil"/>
          <w:insideH w:val="nil"/>
          <w:insideV w:val="nil"/>
        </w:tcBorders>
        <w:shd w:val="clear" w:color="auto" w:fill="969696" w:themeFill="accent4"/>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table" w:styleId="Srednjesenenje2poudarek5">
    <w:name w:val="Medium Shading 2 Accent 5"/>
    <w:basedOn w:val="Navadnatabela"/>
    <w:uiPriority w:val="99"/>
    <w:semiHidden/>
    <w:rsid w:val="00014566"/>
    <w:rPr>
      <w:lang w:val="fr-FR" w:eastAsia="fr-FR"/>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5F5F5F"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5F5F5F" w:themeFill="accent5"/>
      </w:tcPr>
    </w:tblStylePr>
    <w:tblStylePr w:type="lastCol">
      <w:rPr>
        <w:b/>
        <w:bCs/>
        <w:color w:val="0072BC" w:themeColor="background1"/>
      </w:rPr>
      <w:tblPr/>
      <w:tcPr>
        <w:tcBorders>
          <w:left w:val="nil"/>
          <w:right w:val="nil"/>
          <w:insideH w:val="nil"/>
          <w:insideV w:val="nil"/>
        </w:tcBorders>
        <w:shd w:val="clear" w:color="auto" w:fill="5F5F5F" w:themeFill="accent5"/>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table" w:styleId="Srednjesenenje2poudarek6">
    <w:name w:val="Medium Shading 2 Accent 6"/>
    <w:basedOn w:val="Navadnatabela"/>
    <w:uiPriority w:val="99"/>
    <w:semiHidden/>
    <w:rsid w:val="00014566"/>
    <w:rPr>
      <w:lang w:val="fr-FR" w:eastAsia="fr-FR"/>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4D4D4D"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4D4D4D" w:themeFill="accent6"/>
      </w:tcPr>
    </w:tblStylePr>
    <w:tblStylePr w:type="lastCol">
      <w:rPr>
        <w:b/>
        <w:bCs/>
        <w:color w:val="0072BC" w:themeColor="background1"/>
      </w:rPr>
      <w:tblPr/>
      <w:tcPr>
        <w:tcBorders>
          <w:left w:val="nil"/>
          <w:right w:val="nil"/>
          <w:insideH w:val="nil"/>
          <w:insideV w:val="nil"/>
        </w:tcBorders>
        <w:shd w:val="clear" w:color="auto" w:fill="4D4D4D" w:themeFill="accent6"/>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paragraph" w:styleId="Glavasporoila">
    <w:name w:val="Message Header"/>
    <w:basedOn w:val="Navaden"/>
    <w:link w:val="GlavasporoilaZnak"/>
    <w:uiPriority w:val="99"/>
    <w:semiHidden/>
    <w:rsid w:val="00014566"/>
    <w:pPr>
      <w:pBdr>
        <w:top w:val="single" w:sz="6" w:space="1" w:color="auto"/>
        <w:left w:val="single" w:sz="6" w:space="1" w:color="auto"/>
        <w:bottom w:val="single" w:sz="6" w:space="1" w:color="auto"/>
        <w:right w:val="single" w:sz="6" w:space="1" w:color="auto"/>
      </w:pBdr>
      <w:shd w:val="pct20" w:color="auto" w:fill="auto"/>
      <w:ind w:left="1134" w:hanging="1134"/>
    </w:pPr>
    <w:rPr>
      <w:rFonts w:asciiTheme="majorHAnsi" w:eastAsiaTheme="majorEastAsia" w:hAnsiTheme="majorHAnsi" w:cstheme="majorBidi"/>
      <w:szCs w:val="24"/>
    </w:rPr>
  </w:style>
  <w:style w:type="character" w:customStyle="1" w:styleId="GlavasporoilaZnak">
    <w:name w:val="Glava sporočila Znak"/>
    <w:basedOn w:val="Privzetapisavaodstavka"/>
    <w:link w:val="Glavasporoila"/>
    <w:uiPriority w:val="99"/>
    <w:semiHidden/>
    <w:rsid w:val="00014566"/>
    <w:rPr>
      <w:rFonts w:asciiTheme="majorHAnsi" w:eastAsiaTheme="majorEastAsia" w:hAnsiTheme="majorHAnsi" w:cstheme="majorBidi"/>
      <w:sz w:val="24"/>
      <w:szCs w:val="24"/>
      <w:shd w:val="pct20" w:color="auto" w:fill="auto"/>
    </w:rPr>
  </w:style>
  <w:style w:type="paragraph" w:styleId="Navadensplet">
    <w:name w:val="Normal (Web)"/>
    <w:basedOn w:val="Navaden"/>
    <w:uiPriority w:val="99"/>
    <w:semiHidden/>
    <w:rsid w:val="00014566"/>
    <w:rPr>
      <w:rFonts w:ascii="Times New Roman" w:hAnsi="Times New Roman" w:cs="Times New Roman"/>
      <w:szCs w:val="24"/>
    </w:rPr>
  </w:style>
  <w:style w:type="paragraph" w:styleId="Navaden-zamik">
    <w:name w:val="Normal Indent"/>
    <w:basedOn w:val="Navaden"/>
    <w:uiPriority w:val="99"/>
    <w:semiHidden/>
    <w:rsid w:val="00014566"/>
    <w:pPr>
      <w:ind w:left="720"/>
    </w:pPr>
  </w:style>
  <w:style w:type="paragraph" w:styleId="Opomba-naslov">
    <w:name w:val="Note Heading"/>
    <w:basedOn w:val="Navaden"/>
    <w:next w:val="Navaden"/>
    <w:link w:val="Opomba-naslovZnak"/>
    <w:uiPriority w:val="99"/>
    <w:semiHidden/>
    <w:rsid w:val="00014566"/>
  </w:style>
  <w:style w:type="character" w:customStyle="1" w:styleId="Opomba-naslovZnak">
    <w:name w:val="Opomba - naslov Znak"/>
    <w:basedOn w:val="Privzetapisavaodstavka"/>
    <w:link w:val="Opomba-naslov"/>
    <w:uiPriority w:val="99"/>
    <w:semiHidden/>
    <w:rsid w:val="00014566"/>
    <w:rPr>
      <w:rFonts w:eastAsiaTheme="minorEastAsia"/>
      <w:sz w:val="24"/>
    </w:rPr>
  </w:style>
  <w:style w:type="character" w:styleId="Besedilooznabemesta">
    <w:name w:val="Placeholder Text"/>
    <w:basedOn w:val="Privzetapisavaodstavka"/>
    <w:uiPriority w:val="99"/>
    <w:semiHidden/>
    <w:rsid w:val="0092038F"/>
    <w:rPr>
      <w:color w:val="auto"/>
      <w:bdr w:val="none" w:sz="0" w:space="0" w:color="auto"/>
      <w:shd w:val="clear" w:color="auto" w:fill="DFDFDF" w:themeFill="background2" w:themeFillShade="E6"/>
    </w:rPr>
  </w:style>
  <w:style w:type="paragraph" w:styleId="Golobesedilo">
    <w:name w:val="Plain Text"/>
    <w:basedOn w:val="Navaden"/>
    <w:link w:val="GolobesediloZnak"/>
    <w:uiPriority w:val="99"/>
    <w:semiHidden/>
    <w:rsid w:val="00014566"/>
    <w:rPr>
      <w:rFonts w:ascii="Consolas" w:hAnsi="Consolas" w:cs="Consolas"/>
      <w:sz w:val="21"/>
      <w:szCs w:val="21"/>
    </w:rPr>
  </w:style>
  <w:style w:type="character" w:customStyle="1" w:styleId="GolobesediloZnak">
    <w:name w:val="Golo besedilo Znak"/>
    <w:basedOn w:val="Privzetapisavaodstavka"/>
    <w:link w:val="Golobesedilo"/>
    <w:uiPriority w:val="99"/>
    <w:semiHidden/>
    <w:rsid w:val="00014566"/>
    <w:rPr>
      <w:rFonts w:ascii="Consolas" w:eastAsiaTheme="minorEastAsia" w:hAnsi="Consolas" w:cs="Consolas"/>
      <w:sz w:val="21"/>
      <w:szCs w:val="21"/>
    </w:rPr>
  </w:style>
  <w:style w:type="paragraph" w:styleId="Uvodnipozdrav">
    <w:name w:val="Salutation"/>
    <w:basedOn w:val="Navaden"/>
    <w:next w:val="Navaden"/>
    <w:link w:val="UvodnipozdravZnak"/>
    <w:uiPriority w:val="99"/>
    <w:semiHidden/>
    <w:rsid w:val="00014566"/>
  </w:style>
  <w:style w:type="character" w:customStyle="1" w:styleId="UvodnipozdravZnak">
    <w:name w:val="Uvodni pozdrav Znak"/>
    <w:basedOn w:val="Privzetapisavaodstavka"/>
    <w:link w:val="Uvodnipozdrav"/>
    <w:uiPriority w:val="99"/>
    <w:semiHidden/>
    <w:rsid w:val="00014566"/>
    <w:rPr>
      <w:rFonts w:eastAsiaTheme="minorEastAsia"/>
      <w:sz w:val="24"/>
    </w:rPr>
  </w:style>
  <w:style w:type="paragraph" w:styleId="Podpis">
    <w:name w:val="Signature"/>
    <w:basedOn w:val="Navaden"/>
    <w:link w:val="PodpisZnak"/>
    <w:uiPriority w:val="99"/>
    <w:semiHidden/>
    <w:rsid w:val="00014566"/>
    <w:pPr>
      <w:ind w:left="4252"/>
    </w:pPr>
  </w:style>
  <w:style w:type="character" w:customStyle="1" w:styleId="PodpisZnak">
    <w:name w:val="Podpis Znak"/>
    <w:basedOn w:val="Privzetapisavaodstavka"/>
    <w:link w:val="Podpis"/>
    <w:uiPriority w:val="99"/>
    <w:semiHidden/>
    <w:rsid w:val="00014566"/>
    <w:rPr>
      <w:rFonts w:eastAsiaTheme="minorEastAsia"/>
      <w:sz w:val="24"/>
    </w:rPr>
  </w:style>
  <w:style w:type="table" w:styleId="Tabela3-Duinki1">
    <w:name w:val="Table 3D effects 1"/>
    <w:basedOn w:val="Navadnatabela"/>
    <w:uiPriority w:val="99"/>
    <w:semiHidden/>
    <w:rsid w:val="00014566"/>
    <w:pPr>
      <w:suppressAutoHyphens/>
    </w:pPr>
    <w:rPr>
      <w:lang w:val="fr-FR" w:eastAsia="fr-FR"/>
    </w:r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ela3-Duinki2">
    <w:name w:val="Table 3D effects 2"/>
    <w:basedOn w:val="Navadnatabela"/>
    <w:uiPriority w:val="99"/>
    <w:semiHidden/>
    <w:rsid w:val="00014566"/>
    <w:pPr>
      <w:suppressAutoHyphens/>
    </w:pPr>
    <w:rPr>
      <w:lang w:val="fr-FR" w:eastAsia="fr-FR"/>
    </w:r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3-Duinki3">
    <w:name w:val="Table 3D effects 3"/>
    <w:basedOn w:val="Navadnatabela"/>
    <w:uiPriority w:val="99"/>
    <w:semiHidden/>
    <w:rsid w:val="00014566"/>
    <w:pPr>
      <w:suppressAutoHyphens/>
    </w:pPr>
    <w:rPr>
      <w:lang w:val="fr-FR" w:eastAsia="fr-FR"/>
    </w:r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klasina1">
    <w:name w:val="Table Classic 1"/>
    <w:basedOn w:val="Navadnatabela"/>
    <w:uiPriority w:val="99"/>
    <w:semiHidden/>
    <w:rsid w:val="00014566"/>
    <w:pPr>
      <w:suppressAutoHyphens/>
    </w:pPr>
    <w:rPr>
      <w:lang w:val="fr-FR" w:eastAsia="fr-FR"/>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klasina2">
    <w:name w:val="Table Classic 2"/>
    <w:basedOn w:val="Navadnatabela"/>
    <w:uiPriority w:val="99"/>
    <w:semiHidden/>
    <w:rsid w:val="00014566"/>
    <w:pPr>
      <w:suppressAutoHyphens/>
    </w:pPr>
    <w:rPr>
      <w:lang w:val="fr-FR" w:eastAsia="fr-FR"/>
    </w:r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elaklasina3">
    <w:name w:val="Table Classic 3"/>
    <w:basedOn w:val="Navadnatabela"/>
    <w:uiPriority w:val="99"/>
    <w:semiHidden/>
    <w:rsid w:val="00014566"/>
    <w:pPr>
      <w:suppressAutoHyphens/>
    </w:pPr>
    <w:rPr>
      <w:color w:val="000080"/>
      <w:lang w:val="fr-FR" w:eastAsia="fr-FR"/>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elaklasina4">
    <w:name w:val="Table Classic 4"/>
    <w:basedOn w:val="Navadnatabela"/>
    <w:uiPriority w:val="99"/>
    <w:semiHidden/>
    <w:rsid w:val="00014566"/>
    <w:pPr>
      <w:suppressAutoHyphens/>
    </w:pPr>
    <w:rPr>
      <w:lang w:val="fr-FR" w:eastAsia="fr-FR"/>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elaivobarvna1">
    <w:name w:val="Table Colorful 1"/>
    <w:basedOn w:val="Navadnatabela"/>
    <w:uiPriority w:val="99"/>
    <w:semiHidden/>
    <w:rsid w:val="00014566"/>
    <w:pPr>
      <w:suppressAutoHyphens/>
    </w:pPr>
    <w:rPr>
      <w:color w:val="FFFFFF"/>
      <w:lang w:val="fr-FR" w:eastAsia="fr-FR"/>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elaivobarvna2">
    <w:name w:val="Table Colorful 2"/>
    <w:basedOn w:val="Navadnatabela"/>
    <w:uiPriority w:val="99"/>
    <w:semiHidden/>
    <w:rsid w:val="00014566"/>
    <w:pPr>
      <w:suppressAutoHyphens/>
    </w:pPr>
    <w:rPr>
      <w:lang w:val="fr-FR" w:eastAsia="fr-FR"/>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elaivobarvna3">
    <w:name w:val="Table Colorful 3"/>
    <w:basedOn w:val="Navadnatabela"/>
    <w:uiPriority w:val="99"/>
    <w:semiHidden/>
    <w:rsid w:val="00014566"/>
    <w:pPr>
      <w:suppressAutoHyphens/>
    </w:pPr>
    <w:rPr>
      <w:lang w:val="fr-FR" w:eastAsia="fr-FR"/>
    </w:r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elastolpci1">
    <w:name w:val="Table Columns 1"/>
    <w:basedOn w:val="Navadnatabela"/>
    <w:uiPriority w:val="99"/>
    <w:semiHidden/>
    <w:rsid w:val="00014566"/>
    <w:pPr>
      <w:suppressAutoHyphens/>
    </w:pPr>
    <w:rPr>
      <w:b/>
      <w:bCs/>
      <w:lang w:val="fr-FR" w:eastAsia="fr-FR"/>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stolpci2">
    <w:name w:val="Table Columns 2"/>
    <w:basedOn w:val="Navadnatabela"/>
    <w:uiPriority w:val="99"/>
    <w:semiHidden/>
    <w:rsid w:val="00014566"/>
    <w:pPr>
      <w:suppressAutoHyphens/>
    </w:pPr>
    <w:rPr>
      <w:b/>
      <w:bCs/>
      <w:lang w:val="fr-FR" w:eastAsia="fr-FR"/>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stolpci3">
    <w:name w:val="Table Columns 3"/>
    <w:basedOn w:val="Navadnatabela"/>
    <w:uiPriority w:val="99"/>
    <w:semiHidden/>
    <w:rsid w:val="00014566"/>
    <w:pPr>
      <w:suppressAutoHyphens/>
    </w:pPr>
    <w:rPr>
      <w:b/>
      <w:bCs/>
      <w:lang w:val="fr-FR" w:eastAsia="fr-FR"/>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elastolpci4">
    <w:name w:val="Table Columns 4"/>
    <w:basedOn w:val="Navadnatabela"/>
    <w:uiPriority w:val="99"/>
    <w:semiHidden/>
    <w:rsid w:val="00014566"/>
    <w:pPr>
      <w:suppressAutoHyphens/>
    </w:pPr>
    <w:rPr>
      <w:lang w:val="fr-FR" w:eastAsia="fr-FR"/>
    </w:rPr>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elastolpci5">
    <w:name w:val="Table Columns 5"/>
    <w:basedOn w:val="Navadnatabela"/>
    <w:uiPriority w:val="99"/>
    <w:semiHidden/>
    <w:rsid w:val="00014566"/>
    <w:pPr>
      <w:suppressAutoHyphens/>
    </w:pPr>
    <w:rPr>
      <w:lang w:val="fr-FR" w:eastAsia="fr-FR"/>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elasodobna">
    <w:name w:val="Table Contemporary"/>
    <w:basedOn w:val="Navadnatabela"/>
    <w:uiPriority w:val="99"/>
    <w:semiHidden/>
    <w:rsid w:val="00014566"/>
    <w:pPr>
      <w:suppressAutoHyphens/>
    </w:pPr>
    <w:rPr>
      <w:lang w:val="fr-FR" w:eastAsia="fr-FR"/>
    </w:r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elaelegantna">
    <w:name w:val="Table Elegant"/>
    <w:basedOn w:val="Navadnatabela"/>
    <w:uiPriority w:val="99"/>
    <w:semiHidden/>
    <w:rsid w:val="00014566"/>
    <w:pPr>
      <w:suppressAutoHyphens/>
    </w:pPr>
    <w:rPr>
      <w:lang w:val="fr-FR" w:eastAsia="fr-FR"/>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elamrea1">
    <w:name w:val="Table Grid 1"/>
    <w:basedOn w:val="Navadnatabela"/>
    <w:uiPriority w:val="99"/>
    <w:semiHidden/>
    <w:rsid w:val="00014566"/>
    <w:pPr>
      <w:suppressAutoHyphens/>
    </w:pPr>
    <w:rPr>
      <w:lang w:val="fr-FR" w:eastAsia="fr-FR"/>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elamrea2">
    <w:name w:val="Table Grid 2"/>
    <w:basedOn w:val="Navadnatabela"/>
    <w:uiPriority w:val="99"/>
    <w:semiHidden/>
    <w:rsid w:val="00014566"/>
    <w:pPr>
      <w:suppressAutoHyphens/>
    </w:pPr>
    <w:rPr>
      <w:lang w:val="fr-FR" w:eastAsia="fr-FR"/>
    </w:rPr>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elamrea3">
    <w:name w:val="Table Grid 3"/>
    <w:basedOn w:val="Navadnatabela"/>
    <w:uiPriority w:val="99"/>
    <w:semiHidden/>
    <w:rsid w:val="00014566"/>
    <w:pPr>
      <w:suppressAutoHyphens/>
    </w:pPr>
    <w:rPr>
      <w:lang w:val="fr-FR" w:eastAsia="fr-FR"/>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elamrea4">
    <w:name w:val="Table Grid 4"/>
    <w:basedOn w:val="Navadnatabela"/>
    <w:uiPriority w:val="99"/>
    <w:semiHidden/>
    <w:rsid w:val="00014566"/>
    <w:pPr>
      <w:suppressAutoHyphens/>
    </w:pPr>
    <w:rPr>
      <w:lang w:val="fr-FR" w:eastAsia="fr-FR"/>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elamrea5">
    <w:name w:val="Table Grid 5"/>
    <w:basedOn w:val="Navadnatabela"/>
    <w:uiPriority w:val="99"/>
    <w:semiHidden/>
    <w:rsid w:val="00014566"/>
    <w:pPr>
      <w:suppressAutoHyphens/>
    </w:pPr>
    <w:rPr>
      <w:lang w:val="fr-FR" w:eastAsia="fr-FR"/>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elamrea6">
    <w:name w:val="Table Grid 6"/>
    <w:basedOn w:val="Navadnatabela"/>
    <w:uiPriority w:val="99"/>
    <w:semiHidden/>
    <w:rsid w:val="00014566"/>
    <w:pPr>
      <w:suppressAutoHyphens/>
    </w:pPr>
    <w:rPr>
      <w:lang w:val="fr-FR" w:eastAsia="fr-FR"/>
    </w:r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elamrea7">
    <w:name w:val="Table Grid 7"/>
    <w:basedOn w:val="Navadnatabela"/>
    <w:uiPriority w:val="99"/>
    <w:semiHidden/>
    <w:rsid w:val="00014566"/>
    <w:pPr>
      <w:suppressAutoHyphens/>
    </w:pPr>
    <w:rPr>
      <w:b/>
      <w:bCs/>
      <w:lang w:val="fr-FR" w:eastAsia="fr-FR"/>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elamrea8">
    <w:name w:val="Table Grid 8"/>
    <w:basedOn w:val="Navadnatabela"/>
    <w:uiPriority w:val="99"/>
    <w:semiHidden/>
    <w:rsid w:val="00014566"/>
    <w:pPr>
      <w:suppressAutoHyphens/>
    </w:pPr>
    <w:rPr>
      <w:lang w:val="fr-FR" w:eastAsia="fr-FR"/>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elaseznam1">
    <w:name w:val="Table List 1"/>
    <w:basedOn w:val="Navadnatabela"/>
    <w:uiPriority w:val="99"/>
    <w:semiHidden/>
    <w:rsid w:val="00014566"/>
    <w:pPr>
      <w:suppressAutoHyphens/>
    </w:pPr>
    <w:rPr>
      <w:lang w:val="fr-FR" w:eastAsia="fr-FR"/>
    </w:r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seznam2">
    <w:name w:val="Table List 2"/>
    <w:basedOn w:val="Navadnatabela"/>
    <w:uiPriority w:val="99"/>
    <w:semiHidden/>
    <w:rsid w:val="00014566"/>
    <w:pPr>
      <w:suppressAutoHyphens/>
    </w:pPr>
    <w:rPr>
      <w:lang w:val="fr-FR" w:eastAsia="fr-FR"/>
    </w:rPr>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seznam3">
    <w:name w:val="Table List 3"/>
    <w:basedOn w:val="Navadnatabela"/>
    <w:uiPriority w:val="99"/>
    <w:semiHidden/>
    <w:rsid w:val="00014566"/>
    <w:pPr>
      <w:suppressAutoHyphens/>
    </w:pPr>
    <w:rPr>
      <w:lang w:val="fr-FR" w:eastAsia="fr-FR"/>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elaseznam4">
    <w:name w:val="Table List 4"/>
    <w:basedOn w:val="Navadnatabela"/>
    <w:uiPriority w:val="99"/>
    <w:semiHidden/>
    <w:rsid w:val="00014566"/>
    <w:pPr>
      <w:suppressAutoHyphens/>
    </w:pPr>
    <w:rPr>
      <w:lang w:val="fr-FR" w:eastAsia="fr-FR"/>
    </w:r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elaseznam5">
    <w:name w:val="Table List 5"/>
    <w:basedOn w:val="Navadnatabela"/>
    <w:uiPriority w:val="99"/>
    <w:semiHidden/>
    <w:rsid w:val="00014566"/>
    <w:pPr>
      <w:suppressAutoHyphens/>
    </w:pPr>
    <w:rPr>
      <w:lang w:val="fr-FR" w:eastAsia="fr-FR"/>
    </w:r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elaseznam6">
    <w:name w:val="Table List 6"/>
    <w:basedOn w:val="Navadnatabela"/>
    <w:uiPriority w:val="99"/>
    <w:semiHidden/>
    <w:rsid w:val="00014566"/>
    <w:pPr>
      <w:suppressAutoHyphens/>
    </w:pPr>
    <w:rPr>
      <w:lang w:val="fr-FR" w:eastAsia="fr-FR"/>
    </w:r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elaseznam7">
    <w:name w:val="Table List 7"/>
    <w:basedOn w:val="Navadnatabela"/>
    <w:uiPriority w:val="99"/>
    <w:semiHidden/>
    <w:rsid w:val="00014566"/>
    <w:pPr>
      <w:suppressAutoHyphens/>
    </w:pPr>
    <w:rPr>
      <w:lang w:val="fr-FR" w:eastAsia="fr-FR"/>
    </w:rPr>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elaseznam8">
    <w:name w:val="Table List 8"/>
    <w:basedOn w:val="Navadnatabela"/>
    <w:uiPriority w:val="99"/>
    <w:semiHidden/>
    <w:rsid w:val="00014566"/>
    <w:pPr>
      <w:suppressAutoHyphens/>
    </w:pPr>
    <w:rPr>
      <w:lang w:val="fr-FR" w:eastAsia="fr-FR"/>
    </w:rPr>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paragraph" w:styleId="Kazalovirov">
    <w:name w:val="table of authorities"/>
    <w:basedOn w:val="Navaden"/>
    <w:next w:val="Navaden"/>
    <w:uiPriority w:val="99"/>
    <w:semiHidden/>
    <w:rsid w:val="00014566"/>
    <w:pPr>
      <w:ind w:left="240" w:hanging="240"/>
    </w:pPr>
  </w:style>
  <w:style w:type="paragraph" w:styleId="Kazaloslik">
    <w:name w:val="table of figures"/>
    <w:basedOn w:val="Navaden"/>
    <w:next w:val="Navaden"/>
    <w:uiPriority w:val="99"/>
    <w:semiHidden/>
    <w:rsid w:val="00014566"/>
  </w:style>
  <w:style w:type="table" w:styleId="Tabelaprofesionalna">
    <w:name w:val="Table Professional"/>
    <w:basedOn w:val="Navadnatabela"/>
    <w:uiPriority w:val="99"/>
    <w:semiHidden/>
    <w:rsid w:val="00014566"/>
    <w:pPr>
      <w:suppressAutoHyphens/>
    </w:pPr>
    <w:rPr>
      <w:lang w:val="fr-FR" w:eastAsia="fr-FR"/>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elapreprosta1">
    <w:name w:val="Table Simple 1"/>
    <w:basedOn w:val="Navadnatabela"/>
    <w:uiPriority w:val="99"/>
    <w:semiHidden/>
    <w:rsid w:val="00014566"/>
    <w:pPr>
      <w:suppressAutoHyphens/>
    </w:pPr>
    <w:rPr>
      <w:lang w:val="fr-FR" w:eastAsia="fr-FR"/>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elapreprosta2">
    <w:name w:val="Table Simple 2"/>
    <w:basedOn w:val="Navadnatabela"/>
    <w:uiPriority w:val="99"/>
    <w:semiHidden/>
    <w:rsid w:val="00014566"/>
    <w:pPr>
      <w:suppressAutoHyphens/>
    </w:pPr>
    <w:rPr>
      <w:lang w:val="fr-FR" w:eastAsia="fr-FR"/>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elapreprosta3">
    <w:name w:val="Table Simple 3"/>
    <w:basedOn w:val="Navadnatabela"/>
    <w:uiPriority w:val="99"/>
    <w:semiHidden/>
    <w:rsid w:val="00014566"/>
    <w:pPr>
      <w:suppressAutoHyphens/>
    </w:pPr>
    <w:rPr>
      <w:lang w:val="fr-FR" w:eastAsia="fr-FR"/>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elanena1">
    <w:name w:val="Table Subtle 1"/>
    <w:basedOn w:val="Navadnatabela"/>
    <w:uiPriority w:val="99"/>
    <w:semiHidden/>
    <w:rsid w:val="00014566"/>
    <w:pPr>
      <w:suppressAutoHyphens/>
    </w:pPr>
    <w:rPr>
      <w:lang w:val="fr-FR" w:eastAsia="fr-FR"/>
    </w:rPr>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nena2">
    <w:name w:val="Table Subtle 2"/>
    <w:basedOn w:val="Navadnatabela"/>
    <w:uiPriority w:val="99"/>
    <w:semiHidden/>
    <w:rsid w:val="00014566"/>
    <w:pPr>
      <w:suppressAutoHyphens/>
    </w:pPr>
    <w:rPr>
      <w:lang w:val="fr-FR" w:eastAsia="fr-FR"/>
    </w:rPr>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tema">
    <w:name w:val="Table Theme"/>
    <w:basedOn w:val="Navadnatabela"/>
    <w:uiPriority w:val="99"/>
    <w:semiHidden/>
    <w:rsid w:val="00014566"/>
    <w:pPr>
      <w:suppressAutoHyphens/>
    </w:pPr>
    <w:rPr>
      <w:lang w:val="fr-FR" w:eastAsia="fr-F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elaspletna1">
    <w:name w:val="Table Web 1"/>
    <w:basedOn w:val="Navadnatabela"/>
    <w:uiPriority w:val="99"/>
    <w:semiHidden/>
    <w:rsid w:val="00014566"/>
    <w:pPr>
      <w:suppressAutoHyphens/>
    </w:pPr>
    <w:rPr>
      <w:lang w:val="fr-FR" w:eastAsia="fr-FR"/>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elaspletna2">
    <w:name w:val="Table Web 2"/>
    <w:basedOn w:val="Navadnatabela"/>
    <w:uiPriority w:val="99"/>
    <w:semiHidden/>
    <w:rsid w:val="00014566"/>
    <w:pPr>
      <w:suppressAutoHyphens/>
    </w:pPr>
    <w:rPr>
      <w:lang w:val="fr-FR" w:eastAsia="fr-FR"/>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elaspletna3">
    <w:name w:val="Table Web 3"/>
    <w:basedOn w:val="Navadnatabela"/>
    <w:uiPriority w:val="99"/>
    <w:semiHidden/>
    <w:rsid w:val="00014566"/>
    <w:pPr>
      <w:suppressAutoHyphens/>
    </w:pPr>
    <w:rPr>
      <w:lang w:val="fr-FR" w:eastAsia="fr-FR"/>
    </w:r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styleId="Kazalovsebine6">
    <w:name w:val="toc 6"/>
    <w:basedOn w:val="Navaden"/>
    <w:next w:val="Navaden"/>
    <w:autoRedefine/>
    <w:uiPriority w:val="99"/>
    <w:semiHidden/>
    <w:rsid w:val="0092038F"/>
    <w:pPr>
      <w:tabs>
        <w:tab w:val="right" w:leader="dot" w:pos="7371"/>
      </w:tabs>
      <w:spacing w:after="60" w:line="240" w:lineRule="exact"/>
      <w:ind w:left="2041" w:right="567" w:hanging="340"/>
    </w:pPr>
    <w:rPr>
      <w:sz w:val="20"/>
    </w:rPr>
  </w:style>
  <w:style w:type="paragraph" w:styleId="Kazalovsebine7">
    <w:name w:val="toc 7"/>
    <w:basedOn w:val="Navaden"/>
    <w:next w:val="Navaden"/>
    <w:autoRedefine/>
    <w:uiPriority w:val="99"/>
    <w:semiHidden/>
    <w:rsid w:val="0092038F"/>
    <w:pPr>
      <w:tabs>
        <w:tab w:val="right" w:leader="dot" w:pos="7371"/>
      </w:tabs>
      <w:spacing w:after="60" w:line="240" w:lineRule="exact"/>
      <w:ind w:left="2381" w:right="567" w:hanging="340"/>
    </w:pPr>
    <w:rPr>
      <w:sz w:val="20"/>
    </w:rPr>
  </w:style>
  <w:style w:type="paragraph" w:styleId="Kazalovsebine8">
    <w:name w:val="toc 8"/>
    <w:basedOn w:val="Navaden"/>
    <w:next w:val="Navaden"/>
    <w:autoRedefine/>
    <w:uiPriority w:val="99"/>
    <w:semiHidden/>
    <w:rsid w:val="00014566"/>
    <w:pPr>
      <w:spacing w:after="100"/>
      <w:ind w:left="1680"/>
    </w:pPr>
  </w:style>
  <w:style w:type="paragraph" w:styleId="Kazalovsebine9">
    <w:name w:val="toc 9"/>
    <w:basedOn w:val="Navaden"/>
    <w:next w:val="Navaden"/>
    <w:autoRedefine/>
    <w:uiPriority w:val="99"/>
    <w:semiHidden/>
    <w:rsid w:val="00014566"/>
    <w:pPr>
      <w:spacing w:after="100"/>
      <w:ind w:left="1920"/>
    </w:pPr>
  </w:style>
  <w:style w:type="character" w:customStyle="1" w:styleId="ECHRParaChar">
    <w:name w:val="ECHR_Para Char"/>
    <w:aliases w:val="Ju_Para Char"/>
    <w:basedOn w:val="Privzetapisavaodstavka"/>
    <w:link w:val="ECHRPara"/>
    <w:uiPriority w:val="12"/>
    <w:rsid w:val="005A5F54"/>
    <w:rPr>
      <w:rFonts w:eastAsiaTheme="minorEastAsia"/>
      <w:sz w:val="24"/>
    </w:rPr>
  </w:style>
  <w:style w:type="paragraph" w:customStyle="1" w:styleId="JuLista">
    <w:name w:val="Ju_List_a"/>
    <w:basedOn w:val="JuList"/>
    <w:uiPriority w:val="28"/>
    <w:qFormat/>
    <w:rsid w:val="0092038F"/>
    <w:pPr>
      <w:ind w:left="346" w:firstLine="0"/>
    </w:pPr>
  </w:style>
  <w:style w:type="paragraph" w:customStyle="1" w:styleId="JuListi">
    <w:name w:val="Ju_List_i"/>
    <w:basedOn w:val="Navaden"/>
    <w:next w:val="JuLista"/>
    <w:uiPriority w:val="28"/>
    <w:qFormat/>
    <w:rsid w:val="0092038F"/>
    <w:pPr>
      <w:ind w:left="794"/>
    </w:pPr>
  </w:style>
  <w:style w:type="paragraph" w:customStyle="1" w:styleId="OpiH1">
    <w:name w:val="Opi_H_1"/>
    <w:basedOn w:val="ECHRHeading2"/>
    <w:uiPriority w:val="42"/>
    <w:qFormat/>
    <w:rsid w:val="0092038F"/>
    <w:pPr>
      <w:ind w:left="635" w:hanging="357"/>
      <w:outlineLvl w:val="2"/>
    </w:pPr>
  </w:style>
  <w:style w:type="paragraph" w:customStyle="1" w:styleId="OpiHa0">
    <w:name w:val="Opi_H_a"/>
    <w:basedOn w:val="ECHRHeading3"/>
    <w:uiPriority w:val="43"/>
    <w:qFormat/>
    <w:rsid w:val="0092038F"/>
    <w:pPr>
      <w:ind w:left="833" w:hanging="357"/>
      <w:outlineLvl w:val="3"/>
    </w:pPr>
    <w:rPr>
      <w:b/>
      <w:i w:val="0"/>
      <w:sz w:val="20"/>
    </w:rPr>
  </w:style>
  <w:style w:type="paragraph" w:customStyle="1" w:styleId="OpiHi">
    <w:name w:val="Opi_H_i"/>
    <w:basedOn w:val="ECHRHeading4"/>
    <w:uiPriority w:val="44"/>
    <w:qFormat/>
    <w:rsid w:val="0092038F"/>
    <w:pPr>
      <w:ind w:left="1037" w:hanging="357"/>
      <w:outlineLvl w:val="4"/>
    </w:pPr>
    <w:rPr>
      <w:b w:val="0"/>
      <w:i/>
    </w:rPr>
  </w:style>
  <w:style w:type="paragraph" w:customStyle="1" w:styleId="DummyStyle">
    <w:name w:val="Dummy_Style"/>
    <w:basedOn w:val="Navaden"/>
    <w:semiHidden/>
    <w:qFormat/>
    <w:rsid w:val="0092038F"/>
    <w:rPr>
      <w:color w:val="00B050"/>
    </w:rPr>
  </w:style>
  <w:style w:type="character" w:customStyle="1" w:styleId="textcolumn">
    <w:name w:val="textcolumn"/>
    <w:basedOn w:val="Privzetapisavaodstavka"/>
    <w:rsid w:val="004C1AE6"/>
  </w:style>
  <w:style w:type="paragraph" w:customStyle="1" w:styleId="JuHeaderLandscape">
    <w:name w:val="Ju_Header_Landscape"/>
    <w:basedOn w:val="ECHRHeader"/>
    <w:uiPriority w:val="4"/>
    <w:qFormat/>
    <w:rsid w:val="0092038F"/>
    <w:pPr>
      <w:tabs>
        <w:tab w:val="clear" w:pos="3686"/>
        <w:tab w:val="clear" w:pos="7371"/>
        <w:tab w:val="center" w:pos="6146"/>
        <w:tab w:val="right" w:pos="12293"/>
      </w:tabs>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0414755">
      <w:bodyDiv w:val="1"/>
      <w:marLeft w:val="0"/>
      <w:marRight w:val="0"/>
      <w:marTop w:val="0"/>
      <w:marBottom w:val="0"/>
      <w:divBdr>
        <w:top w:val="none" w:sz="0" w:space="0" w:color="auto"/>
        <w:left w:val="none" w:sz="0" w:space="0" w:color="auto"/>
        <w:bottom w:val="none" w:sz="0" w:space="0" w:color="auto"/>
        <w:right w:val="none" w:sz="0" w:space="0" w:color="auto"/>
      </w:divBdr>
      <w:divsChild>
        <w:div w:id="193079506">
          <w:marLeft w:val="0"/>
          <w:marRight w:val="0"/>
          <w:marTop w:val="0"/>
          <w:marBottom w:val="0"/>
          <w:divBdr>
            <w:top w:val="none" w:sz="0" w:space="0" w:color="auto"/>
            <w:left w:val="none" w:sz="0" w:space="0" w:color="auto"/>
            <w:bottom w:val="none" w:sz="0" w:space="0" w:color="auto"/>
            <w:right w:val="none" w:sz="0" w:space="0" w:color="auto"/>
          </w:divBdr>
          <w:divsChild>
            <w:div w:id="892036440">
              <w:marLeft w:val="0"/>
              <w:marRight w:val="0"/>
              <w:marTop w:val="0"/>
              <w:marBottom w:val="0"/>
              <w:divBdr>
                <w:top w:val="none" w:sz="0" w:space="0" w:color="auto"/>
                <w:left w:val="none" w:sz="0" w:space="0" w:color="auto"/>
                <w:bottom w:val="none" w:sz="0" w:space="0" w:color="auto"/>
                <w:right w:val="none" w:sz="0" w:space="0" w:color="auto"/>
              </w:divBdr>
              <w:divsChild>
                <w:div w:id="2046715485">
                  <w:marLeft w:val="0"/>
                  <w:marRight w:val="0"/>
                  <w:marTop w:val="0"/>
                  <w:marBottom w:val="0"/>
                  <w:divBdr>
                    <w:top w:val="none" w:sz="0" w:space="0" w:color="auto"/>
                    <w:left w:val="none" w:sz="0" w:space="0" w:color="auto"/>
                    <w:bottom w:val="none" w:sz="0" w:space="0" w:color="auto"/>
                    <w:right w:val="none" w:sz="0" w:space="0" w:color="auto"/>
                  </w:divBdr>
                  <w:divsChild>
                    <w:div w:id="1255821184">
                      <w:marLeft w:val="0"/>
                      <w:marRight w:val="0"/>
                      <w:marTop w:val="0"/>
                      <w:marBottom w:val="0"/>
                      <w:divBdr>
                        <w:top w:val="none" w:sz="0" w:space="0" w:color="auto"/>
                        <w:left w:val="none" w:sz="0" w:space="0" w:color="auto"/>
                        <w:bottom w:val="none" w:sz="0" w:space="0" w:color="auto"/>
                        <w:right w:val="none" w:sz="0" w:space="0" w:color="auto"/>
                      </w:divBdr>
                      <w:divsChild>
                        <w:div w:id="2076582776">
                          <w:marLeft w:val="0"/>
                          <w:marRight w:val="0"/>
                          <w:marTop w:val="0"/>
                          <w:marBottom w:val="0"/>
                          <w:divBdr>
                            <w:top w:val="none" w:sz="0" w:space="0" w:color="auto"/>
                            <w:left w:val="none" w:sz="0" w:space="0" w:color="auto"/>
                            <w:bottom w:val="none" w:sz="0" w:space="0" w:color="auto"/>
                            <w:right w:val="none" w:sz="0" w:space="0" w:color="auto"/>
                          </w:divBdr>
                          <w:divsChild>
                            <w:div w:id="7658113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1170781">
      <w:bodyDiv w:val="1"/>
      <w:marLeft w:val="0"/>
      <w:marRight w:val="0"/>
      <w:marTop w:val="0"/>
      <w:marBottom w:val="0"/>
      <w:divBdr>
        <w:top w:val="none" w:sz="0" w:space="0" w:color="auto"/>
        <w:left w:val="none" w:sz="0" w:space="0" w:color="auto"/>
        <w:bottom w:val="none" w:sz="0" w:space="0" w:color="auto"/>
        <w:right w:val="none" w:sz="0" w:space="0" w:color="auto"/>
      </w:divBdr>
      <w:divsChild>
        <w:div w:id="1545096998">
          <w:marLeft w:val="0"/>
          <w:marRight w:val="0"/>
          <w:marTop w:val="0"/>
          <w:marBottom w:val="0"/>
          <w:divBdr>
            <w:top w:val="none" w:sz="0" w:space="0" w:color="auto"/>
            <w:left w:val="none" w:sz="0" w:space="0" w:color="auto"/>
            <w:bottom w:val="none" w:sz="0" w:space="0" w:color="auto"/>
            <w:right w:val="none" w:sz="0" w:space="0" w:color="auto"/>
          </w:divBdr>
          <w:divsChild>
            <w:div w:id="1203398639">
              <w:marLeft w:val="0"/>
              <w:marRight w:val="0"/>
              <w:marTop w:val="0"/>
              <w:marBottom w:val="0"/>
              <w:divBdr>
                <w:top w:val="none" w:sz="0" w:space="0" w:color="auto"/>
                <w:left w:val="none" w:sz="0" w:space="0" w:color="auto"/>
                <w:bottom w:val="none" w:sz="0" w:space="0" w:color="auto"/>
                <w:right w:val="none" w:sz="0" w:space="0" w:color="auto"/>
              </w:divBdr>
              <w:divsChild>
                <w:div w:id="1387024862">
                  <w:marLeft w:val="0"/>
                  <w:marRight w:val="0"/>
                  <w:marTop w:val="0"/>
                  <w:marBottom w:val="0"/>
                  <w:divBdr>
                    <w:top w:val="none" w:sz="0" w:space="0" w:color="auto"/>
                    <w:left w:val="none" w:sz="0" w:space="0" w:color="auto"/>
                    <w:bottom w:val="none" w:sz="0" w:space="0" w:color="auto"/>
                    <w:right w:val="none" w:sz="0" w:space="0" w:color="auto"/>
                  </w:divBdr>
                  <w:divsChild>
                    <w:div w:id="779185889">
                      <w:marLeft w:val="0"/>
                      <w:marRight w:val="0"/>
                      <w:marTop w:val="0"/>
                      <w:marBottom w:val="0"/>
                      <w:divBdr>
                        <w:top w:val="none" w:sz="0" w:space="0" w:color="auto"/>
                        <w:left w:val="none" w:sz="0" w:space="0" w:color="auto"/>
                        <w:bottom w:val="none" w:sz="0" w:space="0" w:color="auto"/>
                        <w:right w:val="none" w:sz="0" w:space="0" w:color="auto"/>
                      </w:divBdr>
                      <w:divsChild>
                        <w:div w:id="33771440">
                          <w:marLeft w:val="0"/>
                          <w:marRight w:val="0"/>
                          <w:marTop w:val="0"/>
                          <w:marBottom w:val="0"/>
                          <w:divBdr>
                            <w:top w:val="none" w:sz="0" w:space="0" w:color="auto"/>
                            <w:left w:val="none" w:sz="0" w:space="0" w:color="auto"/>
                            <w:bottom w:val="none" w:sz="0" w:space="0" w:color="auto"/>
                            <w:right w:val="none" w:sz="0" w:space="0" w:color="auto"/>
                          </w:divBdr>
                          <w:divsChild>
                            <w:div w:id="10852251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41477193">
      <w:bodyDiv w:val="1"/>
      <w:marLeft w:val="0"/>
      <w:marRight w:val="0"/>
      <w:marTop w:val="0"/>
      <w:marBottom w:val="0"/>
      <w:divBdr>
        <w:top w:val="none" w:sz="0" w:space="0" w:color="auto"/>
        <w:left w:val="none" w:sz="0" w:space="0" w:color="auto"/>
        <w:bottom w:val="none" w:sz="0" w:space="0" w:color="auto"/>
        <w:right w:val="none" w:sz="0" w:space="0" w:color="auto"/>
      </w:divBdr>
      <w:divsChild>
        <w:div w:id="1628388410">
          <w:marLeft w:val="0"/>
          <w:marRight w:val="0"/>
          <w:marTop w:val="0"/>
          <w:marBottom w:val="0"/>
          <w:divBdr>
            <w:top w:val="none" w:sz="0" w:space="0" w:color="auto"/>
            <w:left w:val="none" w:sz="0" w:space="0" w:color="auto"/>
            <w:bottom w:val="none" w:sz="0" w:space="0" w:color="auto"/>
            <w:right w:val="none" w:sz="0" w:space="0" w:color="auto"/>
          </w:divBdr>
          <w:divsChild>
            <w:div w:id="526874274">
              <w:marLeft w:val="0"/>
              <w:marRight w:val="0"/>
              <w:marTop w:val="0"/>
              <w:marBottom w:val="0"/>
              <w:divBdr>
                <w:top w:val="none" w:sz="0" w:space="0" w:color="auto"/>
                <w:left w:val="none" w:sz="0" w:space="0" w:color="auto"/>
                <w:bottom w:val="none" w:sz="0" w:space="0" w:color="auto"/>
                <w:right w:val="none" w:sz="0" w:space="0" w:color="auto"/>
              </w:divBdr>
              <w:divsChild>
                <w:div w:id="1048527994">
                  <w:marLeft w:val="0"/>
                  <w:marRight w:val="0"/>
                  <w:marTop w:val="0"/>
                  <w:marBottom w:val="0"/>
                  <w:divBdr>
                    <w:top w:val="none" w:sz="0" w:space="0" w:color="auto"/>
                    <w:left w:val="none" w:sz="0" w:space="0" w:color="auto"/>
                    <w:bottom w:val="none" w:sz="0" w:space="0" w:color="auto"/>
                    <w:right w:val="none" w:sz="0" w:space="0" w:color="auto"/>
                  </w:divBdr>
                  <w:divsChild>
                    <w:div w:id="2086948858">
                      <w:marLeft w:val="0"/>
                      <w:marRight w:val="0"/>
                      <w:marTop w:val="0"/>
                      <w:marBottom w:val="0"/>
                      <w:divBdr>
                        <w:top w:val="none" w:sz="0" w:space="0" w:color="auto"/>
                        <w:left w:val="none" w:sz="0" w:space="0" w:color="auto"/>
                        <w:bottom w:val="none" w:sz="0" w:space="0" w:color="auto"/>
                        <w:right w:val="none" w:sz="0" w:space="0" w:color="auto"/>
                      </w:divBdr>
                      <w:divsChild>
                        <w:div w:id="1040131204">
                          <w:marLeft w:val="0"/>
                          <w:marRight w:val="0"/>
                          <w:marTop w:val="0"/>
                          <w:marBottom w:val="0"/>
                          <w:divBdr>
                            <w:top w:val="none" w:sz="0" w:space="0" w:color="auto"/>
                            <w:left w:val="none" w:sz="0" w:space="0" w:color="auto"/>
                            <w:bottom w:val="none" w:sz="0" w:space="0" w:color="auto"/>
                            <w:right w:val="none" w:sz="0" w:space="0" w:color="auto"/>
                          </w:divBdr>
                          <w:divsChild>
                            <w:div w:id="388041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42122926">
      <w:bodyDiv w:val="1"/>
      <w:marLeft w:val="0"/>
      <w:marRight w:val="0"/>
      <w:marTop w:val="0"/>
      <w:marBottom w:val="0"/>
      <w:divBdr>
        <w:top w:val="none" w:sz="0" w:space="0" w:color="auto"/>
        <w:left w:val="none" w:sz="0" w:space="0" w:color="auto"/>
        <w:bottom w:val="none" w:sz="0" w:space="0" w:color="auto"/>
        <w:right w:val="none" w:sz="0" w:space="0" w:color="auto"/>
      </w:divBdr>
      <w:divsChild>
        <w:div w:id="710157966">
          <w:marLeft w:val="0"/>
          <w:marRight w:val="0"/>
          <w:marTop w:val="0"/>
          <w:marBottom w:val="0"/>
          <w:divBdr>
            <w:top w:val="none" w:sz="0" w:space="0" w:color="auto"/>
            <w:left w:val="none" w:sz="0" w:space="0" w:color="auto"/>
            <w:bottom w:val="none" w:sz="0" w:space="0" w:color="auto"/>
            <w:right w:val="none" w:sz="0" w:space="0" w:color="auto"/>
          </w:divBdr>
          <w:divsChild>
            <w:div w:id="1183322594">
              <w:marLeft w:val="0"/>
              <w:marRight w:val="0"/>
              <w:marTop w:val="0"/>
              <w:marBottom w:val="0"/>
              <w:divBdr>
                <w:top w:val="none" w:sz="0" w:space="0" w:color="auto"/>
                <w:left w:val="none" w:sz="0" w:space="0" w:color="auto"/>
                <w:bottom w:val="none" w:sz="0" w:space="0" w:color="auto"/>
                <w:right w:val="none" w:sz="0" w:space="0" w:color="auto"/>
              </w:divBdr>
              <w:divsChild>
                <w:div w:id="1902986303">
                  <w:marLeft w:val="0"/>
                  <w:marRight w:val="0"/>
                  <w:marTop w:val="0"/>
                  <w:marBottom w:val="0"/>
                  <w:divBdr>
                    <w:top w:val="none" w:sz="0" w:space="0" w:color="auto"/>
                    <w:left w:val="none" w:sz="0" w:space="0" w:color="auto"/>
                    <w:bottom w:val="none" w:sz="0" w:space="0" w:color="auto"/>
                    <w:right w:val="none" w:sz="0" w:space="0" w:color="auto"/>
                  </w:divBdr>
                  <w:divsChild>
                    <w:div w:id="2040424678">
                      <w:marLeft w:val="0"/>
                      <w:marRight w:val="0"/>
                      <w:marTop w:val="0"/>
                      <w:marBottom w:val="0"/>
                      <w:divBdr>
                        <w:top w:val="none" w:sz="0" w:space="0" w:color="auto"/>
                        <w:left w:val="none" w:sz="0" w:space="0" w:color="auto"/>
                        <w:bottom w:val="none" w:sz="0" w:space="0" w:color="auto"/>
                        <w:right w:val="none" w:sz="0" w:space="0" w:color="auto"/>
                      </w:divBdr>
                      <w:divsChild>
                        <w:div w:id="631600960">
                          <w:marLeft w:val="0"/>
                          <w:marRight w:val="0"/>
                          <w:marTop w:val="0"/>
                          <w:marBottom w:val="0"/>
                          <w:divBdr>
                            <w:top w:val="none" w:sz="0" w:space="0" w:color="auto"/>
                            <w:left w:val="none" w:sz="0" w:space="0" w:color="auto"/>
                            <w:bottom w:val="none" w:sz="0" w:space="0" w:color="auto"/>
                            <w:right w:val="none" w:sz="0" w:space="0" w:color="auto"/>
                          </w:divBdr>
                          <w:divsChild>
                            <w:div w:id="1385374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55636450">
      <w:bodyDiv w:val="1"/>
      <w:marLeft w:val="0"/>
      <w:marRight w:val="0"/>
      <w:marTop w:val="0"/>
      <w:marBottom w:val="0"/>
      <w:divBdr>
        <w:top w:val="none" w:sz="0" w:space="0" w:color="auto"/>
        <w:left w:val="none" w:sz="0" w:space="0" w:color="auto"/>
        <w:bottom w:val="none" w:sz="0" w:space="0" w:color="auto"/>
        <w:right w:val="none" w:sz="0" w:space="0" w:color="auto"/>
      </w:divBdr>
      <w:divsChild>
        <w:div w:id="2061245333">
          <w:marLeft w:val="0"/>
          <w:marRight w:val="0"/>
          <w:marTop w:val="0"/>
          <w:marBottom w:val="0"/>
          <w:divBdr>
            <w:top w:val="none" w:sz="0" w:space="0" w:color="auto"/>
            <w:left w:val="none" w:sz="0" w:space="0" w:color="auto"/>
            <w:bottom w:val="none" w:sz="0" w:space="0" w:color="auto"/>
            <w:right w:val="none" w:sz="0" w:space="0" w:color="auto"/>
          </w:divBdr>
          <w:divsChild>
            <w:div w:id="1137450216">
              <w:marLeft w:val="0"/>
              <w:marRight w:val="0"/>
              <w:marTop w:val="0"/>
              <w:marBottom w:val="0"/>
              <w:divBdr>
                <w:top w:val="none" w:sz="0" w:space="0" w:color="auto"/>
                <w:left w:val="none" w:sz="0" w:space="0" w:color="auto"/>
                <w:bottom w:val="none" w:sz="0" w:space="0" w:color="auto"/>
                <w:right w:val="none" w:sz="0" w:space="0" w:color="auto"/>
              </w:divBdr>
              <w:divsChild>
                <w:div w:id="618031503">
                  <w:marLeft w:val="0"/>
                  <w:marRight w:val="0"/>
                  <w:marTop w:val="0"/>
                  <w:marBottom w:val="0"/>
                  <w:divBdr>
                    <w:top w:val="none" w:sz="0" w:space="0" w:color="auto"/>
                    <w:left w:val="none" w:sz="0" w:space="0" w:color="auto"/>
                    <w:bottom w:val="none" w:sz="0" w:space="0" w:color="auto"/>
                    <w:right w:val="none" w:sz="0" w:space="0" w:color="auto"/>
                  </w:divBdr>
                  <w:divsChild>
                    <w:div w:id="560479077">
                      <w:marLeft w:val="0"/>
                      <w:marRight w:val="0"/>
                      <w:marTop w:val="0"/>
                      <w:marBottom w:val="0"/>
                      <w:divBdr>
                        <w:top w:val="none" w:sz="0" w:space="0" w:color="auto"/>
                        <w:left w:val="none" w:sz="0" w:space="0" w:color="auto"/>
                        <w:bottom w:val="none" w:sz="0" w:space="0" w:color="auto"/>
                        <w:right w:val="none" w:sz="0" w:space="0" w:color="auto"/>
                      </w:divBdr>
                      <w:divsChild>
                        <w:div w:id="148207375">
                          <w:marLeft w:val="0"/>
                          <w:marRight w:val="0"/>
                          <w:marTop w:val="0"/>
                          <w:marBottom w:val="0"/>
                          <w:divBdr>
                            <w:top w:val="none" w:sz="0" w:space="0" w:color="auto"/>
                            <w:left w:val="none" w:sz="0" w:space="0" w:color="auto"/>
                            <w:bottom w:val="none" w:sz="0" w:space="0" w:color="auto"/>
                            <w:right w:val="none" w:sz="0" w:space="0" w:color="auto"/>
                          </w:divBdr>
                          <w:divsChild>
                            <w:div w:id="793258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82961218">
      <w:bodyDiv w:val="1"/>
      <w:marLeft w:val="0"/>
      <w:marRight w:val="0"/>
      <w:marTop w:val="0"/>
      <w:marBottom w:val="0"/>
      <w:divBdr>
        <w:top w:val="none" w:sz="0" w:space="0" w:color="auto"/>
        <w:left w:val="none" w:sz="0" w:space="0" w:color="auto"/>
        <w:bottom w:val="none" w:sz="0" w:space="0" w:color="auto"/>
        <w:right w:val="none" w:sz="0" w:space="0" w:color="auto"/>
      </w:divBdr>
      <w:divsChild>
        <w:div w:id="435291000">
          <w:marLeft w:val="0"/>
          <w:marRight w:val="0"/>
          <w:marTop w:val="0"/>
          <w:marBottom w:val="0"/>
          <w:divBdr>
            <w:top w:val="none" w:sz="0" w:space="0" w:color="auto"/>
            <w:left w:val="none" w:sz="0" w:space="0" w:color="auto"/>
            <w:bottom w:val="none" w:sz="0" w:space="0" w:color="auto"/>
            <w:right w:val="none" w:sz="0" w:space="0" w:color="auto"/>
          </w:divBdr>
          <w:divsChild>
            <w:div w:id="13311556">
              <w:marLeft w:val="0"/>
              <w:marRight w:val="0"/>
              <w:marTop w:val="0"/>
              <w:marBottom w:val="0"/>
              <w:divBdr>
                <w:top w:val="none" w:sz="0" w:space="0" w:color="auto"/>
                <w:left w:val="none" w:sz="0" w:space="0" w:color="auto"/>
                <w:bottom w:val="none" w:sz="0" w:space="0" w:color="auto"/>
                <w:right w:val="none" w:sz="0" w:space="0" w:color="auto"/>
              </w:divBdr>
              <w:divsChild>
                <w:div w:id="1712222699">
                  <w:marLeft w:val="0"/>
                  <w:marRight w:val="0"/>
                  <w:marTop w:val="0"/>
                  <w:marBottom w:val="0"/>
                  <w:divBdr>
                    <w:top w:val="none" w:sz="0" w:space="0" w:color="auto"/>
                    <w:left w:val="none" w:sz="0" w:space="0" w:color="auto"/>
                    <w:bottom w:val="none" w:sz="0" w:space="0" w:color="auto"/>
                    <w:right w:val="none" w:sz="0" w:space="0" w:color="auto"/>
                  </w:divBdr>
                  <w:divsChild>
                    <w:div w:id="1961106897">
                      <w:marLeft w:val="0"/>
                      <w:marRight w:val="0"/>
                      <w:marTop w:val="0"/>
                      <w:marBottom w:val="0"/>
                      <w:divBdr>
                        <w:top w:val="none" w:sz="0" w:space="0" w:color="auto"/>
                        <w:left w:val="none" w:sz="0" w:space="0" w:color="auto"/>
                        <w:bottom w:val="none" w:sz="0" w:space="0" w:color="auto"/>
                        <w:right w:val="none" w:sz="0" w:space="0" w:color="auto"/>
                      </w:divBdr>
                      <w:divsChild>
                        <w:div w:id="517701077">
                          <w:marLeft w:val="0"/>
                          <w:marRight w:val="0"/>
                          <w:marTop w:val="0"/>
                          <w:marBottom w:val="0"/>
                          <w:divBdr>
                            <w:top w:val="none" w:sz="0" w:space="0" w:color="auto"/>
                            <w:left w:val="none" w:sz="0" w:space="0" w:color="auto"/>
                            <w:bottom w:val="none" w:sz="0" w:space="0" w:color="auto"/>
                            <w:right w:val="none" w:sz="0" w:space="0" w:color="auto"/>
                          </w:divBdr>
                          <w:divsChild>
                            <w:div w:id="2106728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56970586">
      <w:bodyDiv w:val="1"/>
      <w:marLeft w:val="0"/>
      <w:marRight w:val="0"/>
      <w:marTop w:val="0"/>
      <w:marBottom w:val="0"/>
      <w:divBdr>
        <w:top w:val="none" w:sz="0" w:space="0" w:color="auto"/>
        <w:left w:val="none" w:sz="0" w:space="0" w:color="auto"/>
        <w:bottom w:val="none" w:sz="0" w:space="0" w:color="auto"/>
        <w:right w:val="none" w:sz="0" w:space="0" w:color="auto"/>
      </w:divBdr>
      <w:divsChild>
        <w:div w:id="670717632">
          <w:marLeft w:val="0"/>
          <w:marRight w:val="0"/>
          <w:marTop w:val="0"/>
          <w:marBottom w:val="0"/>
          <w:divBdr>
            <w:top w:val="none" w:sz="0" w:space="0" w:color="auto"/>
            <w:left w:val="none" w:sz="0" w:space="0" w:color="auto"/>
            <w:bottom w:val="none" w:sz="0" w:space="0" w:color="auto"/>
            <w:right w:val="none" w:sz="0" w:space="0" w:color="auto"/>
          </w:divBdr>
          <w:divsChild>
            <w:div w:id="2101675123">
              <w:marLeft w:val="0"/>
              <w:marRight w:val="0"/>
              <w:marTop w:val="0"/>
              <w:marBottom w:val="0"/>
              <w:divBdr>
                <w:top w:val="none" w:sz="0" w:space="0" w:color="auto"/>
                <w:left w:val="none" w:sz="0" w:space="0" w:color="auto"/>
                <w:bottom w:val="none" w:sz="0" w:space="0" w:color="auto"/>
                <w:right w:val="none" w:sz="0" w:space="0" w:color="auto"/>
              </w:divBdr>
              <w:divsChild>
                <w:div w:id="344207336">
                  <w:marLeft w:val="0"/>
                  <w:marRight w:val="0"/>
                  <w:marTop w:val="0"/>
                  <w:marBottom w:val="0"/>
                  <w:divBdr>
                    <w:top w:val="none" w:sz="0" w:space="0" w:color="auto"/>
                    <w:left w:val="none" w:sz="0" w:space="0" w:color="auto"/>
                    <w:bottom w:val="none" w:sz="0" w:space="0" w:color="auto"/>
                    <w:right w:val="none" w:sz="0" w:space="0" w:color="auto"/>
                  </w:divBdr>
                  <w:divsChild>
                    <w:div w:id="2077586497">
                      <w:marLeft w:val="0"/>
                      <w:marRight w:val="0"/>
                      <w:marTop w:val="0"/>
                      <w:marBottom w:val="0"/>
                      <w:divBdr>
                        <w:top w:val="none" w:sz="0" w:space="0" w:color="auto"/>
                        <w:left w:val="none" w:sz="0" w:space="0" w:color="auto"/>
                        <w:bottom w:val="none" w:sz="0" w:space="0" w:color="auto"/>
                        <w:right w:val="none" w:sz="0" w:space="0" w:color="auto"/>
                      </w:divBdr>
                      <w:divsChild>
                        <w:div w:id="928777379">
                          <w:marLeft w:val="0"/>
                          <w:marRight w:val="0"/>
                          <w:marTop w:val="0"/>
                          <w:marBottom w:val="0"/>
                          <w:divBdr>
                            <w:top w:val="none" w:sz="0" w:space="0" w:color="auto"/>
                            <w:left w:val="none" w:sz="0" w:space="0" w:color="auto"/>
                            <w:bottom w:val="none" w:sz="0" w:space="0" w:color="auto"/>
                            <w:right w:val="none" w:sz="0" w:space="0" w:color="auto"/>
                          </w:divBdr>
                          <w:divsChild>
                            <w:div w:id="1148864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71208107">
      <w:bodyDiv w:val="1"/>
      <w:marLeft w:val="0"/>
      <w:marRight w:val="0"/>
      <w:marTop w:val="0"/>
      <w:marBottom w:val="0"/>
      <w:divBdr>
        <w:top w:val="none" w:sz="0" w:space="0" w:color="auto"/>
        <w:left w:val="none" w:sz="0" w:space="0" w:color="auto"/>
        <w:bottom w:val="none" w:sz="0" w:space="0" w:color="auto"/>
        <w:right w:val="none" w:sz="0" w:space="0" w:color="auto"/>
      </w:divBdr>
      <w:divsChild>
        <w:div w:id="1920480708">
          <w:marLeft w:val="0"/>
          <w:marRight w:val="0"/>
          <w:marTop w:val="0"/>
          <w:marBottom w:val="0"/>
          <w:divBdr>
            <w:top w:val="none" w:sz="0" w:space="0" w:color="auto"/>
            <w:left w:val="none" w:sz="0" w:space="0" w:color="auto"/>
            <w:bottom w:val="none" w:sz="0" w:space="0" w:color="auto"/>
            <w:right w:val="none" w:sz="0" w:space="0" w:color="auto"/>
          </w:divBdr>
          <w:divsChild>
            <w:div w:id="1537111651">
              <w:marLeft w:val="0"/>
              <w:marRight w:val="0"/>
              <w:marTop w:val="0"/>
              <w:marBottom w:val="0"/>
              <w:divBdr>
                <w:top w:val="none" w:sz="0" w:space="0" w:color="auto"/>
                <w:left w:val="none" w:sz="0" w:space="0" w:color="auto"/>
                <w:bottom w:val="none" w:sz="0" w:space="0" w:color="auto"/>
                <w:right w:val="none" w:sz="0" w:space="0" w:color="auto"/>
              </w:divBdr>
              <w:divsChild>
                <w:div w:id="35352993">
                  <w:marLeft w:val="0"/>
                  <w:marRight w:val="0"/>
                  <w:marTop w:val="0"/>
                  <w:marBottom w:val="0"/>
                  <w:divBdr>
                    <w:top w:val="none" w:sz="0" w:space="0" w:color="auto"/>
                    <w:left w:val="none" w:sz="0" w:space="0" w:color="auto"/>
                    <w:bottom w:val="none" w:sz="0" w:space="0" w:color="auto"/>
                    <w:right w:val="none" w:sz="0" w:space="0" w:color="auto"/>
                  </w:divBdr>
                  <w:divsChild>
                    <w:div w:id="603541059">
                      <w:marLeft w:val="0"/>
                      <w:marRight w:val="0"/>
                      <w:marTop w:val="0"/>
                      <w:marBottom w:val="0"/>
                      <w:divBdr>
                        <w:top w:val="none" w:sz="0" w:space="0" w:color="auto"/>
                        <w:left w:val="none" w:sz="0" w:space="0" w:color="auto"/>
                        <w:bottom w:val="none" w:sz="0" w:space="0" w:color="auto"/>
                        <w:right w:val="none" w:sz="0" w:space="0" w:color="auto"/>
                      </w:divBdr>
                      <w:divsChild>
                        <w:div w:id="719093753">
                          <w:marLeft w:val="0"/>
                          <w:marRight w:val="0"/>
                          <w:marTop w:val="0"/>
                          <w:marBottom w:val="0"/>
                          <w:divBdr>
                            <w:top w:val="none" w:sz="0" w:space="0" w:color="auto"/>
                            <w:left w:val="none" w:sz="0" w:space="0" w:color="auto"/>
                            <w:bottom w:val="none" w:sz="0" w:space="0" w:color="auto"/>
                            <w:right w:val="none" w:sz="0" w:space="0" w:color="auto"/>
                          </w:divBdr>
                          <w:divsChild>
                            <w:div w:id="1754933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40937781">
      <w:bodyDiv w:val="1"/>
      <w:marLeft w:val="0"/>
      <w:marRight w:val="0"/>
      <w:marTop w:val="0"/>
      <w:marBottom w:val="0"/>
      <w:divBdr>
        <w:top w:val="none" w:sz="0" w:space="0" w:color="auto"/>
        <w:left w:val="none" w:sz="0" w:space="0" w:color="auto"/>
        <w:bottom w:val="none" w:sz="0" w:space="0" w:color="auto"/>
        <w:right w:val="none" w:sz="0" w:space="0" w:color="auto"/>
      </w:divBdr>
      <w:divsChild>
        <w:div w:id="916402471">
          <w:marLeft w:val="0"/>
          <w:marRight w:val="0"/>
          <w:marTop w:val="0"/>
          <w:marBottom w:val="0"/>
          <w:divBdr>
            <w:top w:val="none" w:sz="0" w:space="0" w:color="auto"/>
            <w:left w:val="none" w:sz="0" w:space="0" w:color="auto"/>
            <w:bottom w:val="none" w:sz="0" w:space="0" w:color="auto"/>
            <w:right w:val="none" w:sz="0" w:space="0" w:color="auto"/>
          </w:divBdr>
          <w:divsChild>
            <w:div w:id="739331496">
              <w:marLeft w:val="0"/>
              <w:marRight w:val="0"/>
              <w:marTop w:val="0"/>
              <w:marBottom w:val="0"/>
              <w:divBdr>
                <w:top w:val="none" w:sz="0" w:space="0" w:color="auto"/>
                <w:left w:val="none" w:sz="0" w:space="0" w:color="auto"/>
                <w:bottom w:val="none" w:sz="0" w:space="0" w:color="auto"/>
                <w:right w:val="none" w:sz="0" w:space="0" w:color="auto"/>
              </w:divBdr>
              <w:divsChild>
                <w:div w:id="722287087">
                  <w:marLeft w:val="0"/>
                  <w:marRight w:val="0"/>
                  <w:marTop w:val="0"/>
                  <w:marBottom w:val="0"/>
                  <w:divBdr>
                    <w:top w:val="none" w:sz="0" w:space="0" w:color="auto"/>
                    <w:left w:val="none" w:sz="0" w:space="0" w:color="auto"/>
                    <w:bottom w:val="none" w:sz="0" w:space="0" w:color="auto"/>
                    <w:right w:val="none" w:sz="0" w:space="0" w:color="auto"/>
                  </w:divBdr>
                  <w:divsChild>
                    <w:div w:id="528375889">
                      <w:marLeft w:val="0"/>
                      <w:marRight w:val="0"/>
                      <w:marTop w:val="0"/>
                      <w:marBottom w:val="0"/>
                      <w:divBdr>
                        <w:top w:val="none" w:sz="0" w:space="0" w:color="auto"/>
                        <w:left w:val="none" w:sz="0" w:space="0" w:color="auto"/>
                        <w:bottom w:val="none" w:sz="0" w:space="0" w:color="auto"/>
                        <w:right w:val="none" w:sz="0" w:space="0" w:color="auto"/>
                      </w:divBdr>
                      <w:divsChild>
                        <w:div w:id="2018851064">
                          <w:marLeft w:val="0"/>
                          <w:marRight w:val="0"/>
                          <w:marTop w:val="0"/>
                          <w:marBottom w:val="0"/>
                          <w:divBdr>
                            <w:top w:val="none" w:sz="0" w:space="0" w:color="auto"/>
                            <w:left w:val="none" w:sz="0" w:space="0" w:color="auto"/>
                            <w:bottom w:val="none" w:sz="0" w:space="0" w:color="auto"/>
                            <w:right w:val="none" w:sz="0" w:space="0" w:color="auto"/>
                          </w:divBdr>
                          <w:divsChild>
                            <w:div w:id="16823915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38380560">
      <w:bodyDiv w:val="1"/>
      <w:marLeft w:val="0"/>
      <w:marRight w:val="0"/>
      <w:marTop w:val="0"/>
      <w:marBottom w:val="0"/>
      <w:divBdr>
        <w:top w:val="none" w:sz="0" w:space="0" w:color="auto"/>
        <w:left w:val="none" w:sz="0" w:space="0" w:color="auto"/>
        <w:bottom w:val="none" w:sz="0" w:space="0" w:color="auto"/>
        <w:right w:val="none" w:sz="0" w:space="0" w:color="auto"/>
      </w:divBdr>
      <w:divsChild>
        <w:div w:id="1943106289">
          <w:marLeft w:val="0"/>
          <w:marRight w:val="0"/>
          <w:marTop w:val="0"/>
          <w:marBottom w:val="0"/>
          <w:divBdr>
            <w:top w:val="none" w:sz="0" w:space="0" w:color="auto"/>
            <w:left w:val="none" w:sz="0" w:space="0" w:color="auto"/>
            <w:bottom w:val="none" w:sz="0" w:space="0" w:color="auto"/>
            <w:right w:val="none" w:sz="0" w:space="0" w:color="auto"/>
          </w:divBdr>
          <w:divsChild>
            <w:div w:id="1645622789">
              <w:marLeft w:val="0"/>
              <w:marRight w:val="0"/>
              <w:marTop w:val="0"/>
              <w:marBottom w:val="0"/>
              <w:divBdr>
                <w:top w:val="none" w:sz="0" w:space="0" w:color="auto"/>
                <w:left w:val="none" w:sz="0" w:space="0" w:color="auto"/>
                <w:bottom w:val="none" w:sz="0" w:space="0" w:color="auto"/>
                <w:right w:val="none" w:sz="0" w:space="0" w:color="auto"/>
              </w:divBdr>
              <w:divsChild>
                <w:div w:id="775295010">
                  <w:marLeft w:val="0"/>
                  <w:marRight w:val="0"/>
                  <w:marTop w:val="0"/>
                  <w:marBottom w:val="0"/>
                  <w:divBdr>
                    <w:top w:val="none" w:sz="0" w:space="0" w:color="auto"/>
                    <w:left w:val="none" w:sz="0" w:space="0" w:color="auto"/>
                    <w:bottom w:val="none" w:sz="0" w:space="0" w:color="auto"/>
                    <w:right w:val="none" w:sz="0" w:space="0" w:color="auto"/>
                  </w:divBdr>
                  <w:divsChild>
                    <w:div w:id="915869501">
                      <w:marLeft w:val="0"/>
                      <w:marRight w:val="0"/>
                      <w:marTop w:val="0"/>
                      <w:marBottom w:val="0"/>
                      <w:divBdr>
                        <w:top w:val="none" w:sz="0" w:space="0" w:color="auto"/>
                        <w:left w:val="none" w:sz="0" w:space="0" w:color="auto"/>
                        <w:bottom w:val="none" w:sz="0" w:space="0" w:color="auto"/>
                        <w:right w:val="none" w:sz="0" w:space="0" w:color="auto"/>
                      </w:divBdr>
                      <w:divsChild>
                        <w:div w:id="429156654">
                          <w:marLeft w:val="0"/>
                          <w:marRight w:val="0"/>
                          <w:marTop w:val="0"/>
                          <w:marBottom w:val="0"/>
                          <w:divBdr>
                            <w:top w:val="none" w:sz="0" w:space="0" w:color="auto"/>
                            <w:left w:val="none" w:sz="0" w:space="0" w:color="auto"/>
                            <w:bottom w:val="none" w:sz="0" w:space="0" w:color="auto"/>
                            <w:right w:val="none" w:sz="0" w:space="0" w:color="auto"/>
                          </w:divBdr>
                          <w:divsChild>
                            <w:div w:id="15029675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50244200">
      <w:bodyDiv w:val="1"/>
      <w:marLeft w:val="0"/>
      <w:marRight w:val="0"/>
      <w:marTop w:val="0"/>
      <w:marBottom w:val="0"/>
      <w:divBdr>
        <w:top w:val="none" w:sz="0" w:space="0" w:color="auto"/>
        <w:left w:val="none" w:sz="0" w:space="0" w:color="auto"/>
        <w:bottom w:val="none" w:sz="0" w:space="0" w:color="auto"/>
        <w:right w:val="none" w:sz="0" w:space="0" w:color="auto"/>
      </w:divBdr>
      <w:divsChild>
        <w:div w:id="1041588516">
          <w:marLeft w:val="0"/>
          <w:marRight w:val="0"/>
          <w:marTop w:val="0"/>
          <w:marBottom w:val="0"/>
          <w:divBdr>
            <w:top w:val="none" w:sz="0" w:space="0" w:color="auto"/>
            <w:left w:val="none" w:sz="0" w:space="0" w:color="auto"/>
            <w:bottom w:val="none" w:sz="0" w:space="0" w:color="auto"/>
            <w:right w:val="none" w:sz="0" w:space="0" w:color="auto"/>
          </w:divBdr>
          <w:divsChild>
            <w:div w:id="1631548829">
              <w:marLeft w:val="0"/>
              <w:marRight w:val="0"/>
              <w:marTop w:val="0"/>
              <w:marBottom w:val="0"/>
              <w:divBdr>
                <w:top w:val="none" w:sz="0" w:space="0" w:color="auto"/>
                <w:left w:val="none" w:sz="0" w:space="0" w:color="auto"/>
                <w:bottom w:val="none" w:sz="0" w:space="0" w:color="auto"/>
                <w:right w:val="none" w:sz="0" w:space="0" w:color="auto"/>
              </w:divBdr>
              <w:divsChild>
                <w:div w:id="1577284358">
                  <w:marLeft w:val="0"/>
                  <w:marRight w:val="0"/>
                  <w:marTop w:val="0"/>
                  <w:marBottom w:val="0"/>
                  <w:divBdr>
                    <w:top w:val="none" w:sz="0" w:space="0" w:color="auto"/>
                    <w:left w:val="none" w:sz="0" w:space="0" w:color="auto"/>
                    <w:bottom w:val="none" w:sz="0" w:space="0" w:color="auto"/>
                    <w:right w:val="none" w:sz="0" w:space="0" w:color="auto"/>
                  </w:divBdr>
                  <w:divsChild>
                    <w:div w:id="1629386996">
                      <w:marLeft w:val="0"/>
                      <w:marRight w:val="0"/>
                      <w:marTop w:val="0"/>
                      <w:marBottom w:val="0"/>
                      <w:divBdr>
                        <w:top w:val="none" w:sz="0" w:space="0" w:color="auto"/>
                        <w:left w:val="none" w:sz="0" w:space="0" w:color="auto"/>
                        <w:bottom w:val="none" w:sz="0" w:space="0" w:color="auto"/>
                        <w:right w:val="none" w:sz="0" w:space="0" w:color="auto"/>
                      </w:divBdr>
                      <w:divsChild>
                        <w:div w:id="1533110832">
                          <w:marLeft w:val="0"/>
                          <w:marRight w:val="0"/>
                          <w:marTop w:val="0"/>
                          <w:marBottom w:val="0"/>
                          <w:divBdr>
                            <w:top w:val="none" w:sz="0" w:space="0" w:color="auto"/>
                            <w:left w:val="none" w:sz="0" w:space="0" w:color="auto"/>
                            <w:bottom w:val="none" w:sz="0" w:space="0" w:color="auto"/>
                            <w:right w:val="none" w:sz="0" w:space="0" w:color="auto"/>
                          </w:divBdr>
                          <w:divsChild>
                            <w:div w:id="8839533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22386740">
      <w:bodyDiv w:val="1"/>
      <w:marLeft w:val="0"/>
      <w:marRight w:val="0"/>
      <w:marTop w:val="0"/>
      <w:marBottom w:val="0"/>
      <w:divBdr>
        <w:top w:val="none" w:sz="0" w:space="0" w:color="auto"/>
        <w:left w:val="none" w:sz="0" w:space="0" w:color="auto"/>
        <w:bottom w:val="none" w:sz="0" w:space="0" w:color="auto"/>
        <w:right w:val="none" w:sz="0" w:space="0" w:color="auto"/>
      </w:divBdr>
      <w:divsChild>
        <w:div w:id="462961160">
          <w:marLeft w:val="0"/>
          <w:marRight w:val="0"/>
          <w:marTop w:val="0"/>
          <w:marBottom w:val="0"/>
          <w:divBdr>
            <w:top w:val="none" w:sz="0" w:space="0" w:color="auto"/>
            <w:left w:val="none" w:sz="0" w:space="0" w:color="auto"/>
            <w:bottom w:val="none" w:sz="0" w:space="0" w:color="auto"/>
            <w:right w:val="none" w:sz="0" w:space="0" w:color="auto"/>
          </w:divBdr>
          <w:divsChild>
            <w:div w:id="1230725861">
              <w:marLeft w:val="0"/>
              <w:marRight w:val="0"/>
              <w:marTop w:val="0"/>
              <w:marBottom w:val="0"/>
              <w:divBdr>
                <w:top w:val="none" w:sz="0" w:space="0" w:color="auto"/>
                <w:left w:val="none" w:sz="0" w:space="0" w:color="auto"/>
                <w:bottom w:val="none" w:sz="0" w:space="0" w:color="auto"/>
                <w:right w:val="none" w:sz="0" w:space="0" w:color="auto"/>
              </w:divBdr>
              <w:divsChild>
                <w:div w:id="1164323504">
                  <w:marLeft w:val="0"/>
                  <w:marRight w:val="0"/>
                  <w:marTop w:val="0"/>
                  <w:marBottom w:val="0"/>
                  <w:divBdr>
                    <w:top w:val="none" w:sz="0" w:space="0" w:color="auto"/>
                    <w:left w:val="none" w:sz="0" w:space="0" w:color="auto"/>
                    <w:bottom w:val="none" w:sz="0" w:space="0" w:color="auto"/>
                    <w:right w:val="none" w:sz="0" w:space="0" w:color="auto"/>
                  </w:divBdr>
                  <w:divsChild>
                    <w:div w:id="219557663">
                      <w:marLeft w:val="0"/>
                      <w:marRight w:val="0"/>
                      <w:marTop w:val="0"/>
                      <w:marBottom w:val="0"/>
                      <w:divBdr>
                        <w:top w:val="none" w:sz="0" w:space="0" w:color="auto"/>
                        <w:left w:val="none" w:sz="0" w:space="0" w:color="auto"/>
                        <w:bottom w:val="none" w:sz="0" w:space="0" w:color="auto"/>
                        <w:right w:val="none" w:sz="0" w:space="0" w:color="auto"/>
                      </w:divBdr>
                      <w:divsChild>
                        <w:div w:id="1431270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70727452">
      <w:bodyDiv w:val="1"/>
      <w:marLeft w:val="0"/>
      <w:marRight w:val="0"/>
      <w:marTop w:val="0"/>
      <w:marBottom w:val="0"/>
      <w:divBdr>
        <w:top w:val="none" w:sz="0" w:space="0" w:color="auto"/>
        <w:left w:val="none" w:sz="0" w:space="0" w:color="auto"/>
        <w:bottom w:val="none" w:sz="0" w:space="0" w:color="auto"/>
        <w:right w:val="none" w:sz="0" w:space="0" w:color="auto"/>
      </w:divBdr>
      <w:divsChild>
        <w:div w:id="1210654841">
          <w:marLeft w:val="0"/>
          <w:marRight w:val="0"/>
          <w:marTop w:val="0"/>
          <w:marBottom w:val="0"/>
          <w:divBdr>
            <w:top w:val="none" w:sz="0" w:space="0" w:color="auto"/>
            <w:left w:val="none" w:sz="0" w:space="0" w:color="auto"/>
            <w:bottom w:val="none" w:sz="0" w:space="0" w:color="auto"/>
            <w:right w:val="none" w:sz="0" w:space="0" w:color="auto"/>
          </w:divBdr>
          <w:divsChild>
            <w:div w:id="427654441">
              <w:marLeft w:val="0"/>
              <w:marRight w:val="0"/>
              <w:marTop w:val="0"/>
              <w:marBottom w:val="0"/>
              <w:divBdr>
                <w:top w:val="none" w:sz="0" w:space="0" w:color="auto"/>
                <w:left w:val="none" w:sz="0" w:space="0" w:color="auto"/>
                <w:bottom w:val="none" w:sz="0" w:space="0" w:color="auto"/>
                <w:right w:val="none" w:sz="0" w:space="0" w:color="auto"/>
              </w:divBdr>
              <w:divsChild>
                <w:div w:id="631252685">
                  <w:marLeft w:val="0"/>
                  <w:marRight w:val="0"/>
                  <w:marTop w:val="0"/>
                  <w:marBottom w:val="0"/>
                  <w:divBdr>
                    <w:top w:val="none" w:sz="0" w:space="0" w:color="auto"/>
                    <w:left w:val="none" w:sz="0" w:space="0" w:color="auto"/>
                    <w:bottom w:val="none" w:sz="0" w:space="0" w:color="auto"/>
                    <w:right w:val="none" w:sz="0" w:space="0" w:color="auto"/>
                  </w:divBdr>
                  <w:divsChild>
                    <w:div w:id="1568999252">
                      <w:marLeft w:val="0"/>
                      <w:marRight w:val="0"/>
                      <w:marTop w:val="0"/>
                      <w:marBottom w:val="0"/>
                      <w:divBdr>
                        <w:top w:val="none" w:sz="0" w:space="0" w:color="auto"/>
                        <w:left w:val="none" w:sz="0" w:space="0" w:color="auto"/>
                        <w:bottom w:val="none" w:sz="0" w:space="0" w:color="auto"/>
                        <w:right w:val="none" w:sz="0" w:space="0" w:color="auto"/>
                      </w:divBdr>
                      <w:divsChild>
                        <w:div w:id="191458374">
                          <w:marLeft w:val="0"/>
                          <w:marRight w:val="0"/>
                          <w:marTop w:val="0"/>
                          <w:marBottom w:val="0"/>
                          <w:divBdr>
                            <w:top w:val="none" w:sz="0" w:space="0" w:color="auto"/>
                            <w:left w:val="none" w:sz="0" w:space="0" w:color="auto"/>
                            <w:bottom w:val="none" w:sz="0" w:space="0" w:color="auto"/>
                            <w:right w:val="none" w:sz="0" w:space="0" w:color="auto"/>
                          </w:divBdr>
                          <w:divsChild>
                            <w:div w:id="967197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87306170">
      <w:bodyDiv w:val="1"/>
      <w:marLeft w:val="0"/>
      <w:marRight w:val="0"/>
      <w:marTop w:val="0"/>
      <w:marBottom w:val="0"/>
      <w:divBdr>
        <w:top w:val="none" w:sz="0" w:space="0" w:color="auto"/>
        <w:left w:val="none" w:sz="0" w:space="0" w:color="auto"/>
        <w:bottom w:val="none" w:sz="0" w:space="0" w:color="auto"/>
        <w:right w:val="none" w:sz="0" w:space="0" w:color="auto"/>
      </w:divBdr>
      <w:divsChild>
        <w:div w:id="246311405">
          <w:marLeft w:val="0"/>
          <w:marRight w:val="0"/>
          <w:marTop w:val="0"/>
          <w:marBottom w:val="0"/>
          <w:divBdr>
            <w:top w:val="none" w:sz="0" w:space="0" w:color="auto"/>
            <w:left w:val="none" w:sz="0" w:space="0" w:color="auto"/>
            <w:bottom w:val="none" w:sz="0" w:space="0" w:color="auto"/>
            <w:right w:val="none" w:sz="0" w:space="0" w:color="auto"/>
          </w:divBdr>
          <w:divsChild>
            <w:div w:id="1465582155">
              <w:marLeft w:val="0"/>
              <w:marRight w:val="0"/>
              <w:marTop w:val="0"/>
              <w:marBottom w:val="0"/>
              <w:divBdr>
                <w:top w:val="none" w:sz="0" w:space="0" w:color="auto"/>
                <w:left w:val="none" w:sz="0" w:space="0" w:color="auto"/>
                <w:bottom w:val="none" w:sz="0" w:space="0" w:color="auto"/>
                <w:right w:val="none" w:sz="0" w:space="0" w:color="auto"/>
              </w:divBdr>
              <w:divsChild>
                <w:div w:id="443620146">
                  <w:marLeft w:val="0"/>
                  <w:marRight w:val="0"/>
                  <w:marTop w:val="0"/>
                  <w:marBottom w:val="0"/>
                  <w:divBdr>
                    <w:top w:val="none" w:sz="0" w:space="0" w:color="auto"/>
                    <w:left w:val="none" w:sz="0" w:space="0" w:color="auto"/>
                    <w:bottom w:val="none" w:sz="0" w:space="0" w:color="auto"/>
                    <w:right w:val="none" w:sz="0" w:space="0" w:color="auto"/>
                  </w:divBdr>
                  <w:divsChild>
                    <w:div w:id="1553156715">
                      <w:marLeft w:val="0"/>
                      <w:marRight w:val="0"/>
                      <w:marTop w:val="0"/>
                      <w:marBottom w:val="0"/>
                      <w:divBdr>
                        <w:top w:val="none" w:sz="0" w:space="0" w:color="auto"/>
                        <w:left w:val="none" w:sz="0" w:space="0" w:color="auto"/>
                        <w:bottom w:val="none" w:sz="0" w:space="0" w:color="auto"/>
                        <w:right w:val="none" w:sz="0" w:space="0" w:color="auto"/>
                      </w:divBdr>
                      <w:divsChild>
                        <w:div w:id="312567424">
                          <w:marLeft w:val="0"/>
                          <w:marRight w:val="0"/>
                          <w:marTop w:val="0"/>
                          <w:marBottom w:val="0"/>
                          <w:divBdr>
                            <w:top w:val="none" w:sz="0" w:space="0" w:color="auto"/>
                            <w:left w:val="none" w:sz="0" w:space="0" w:color="auto"/>
                            <w:bottom w:val="none" w:sz="0" w:space="0" w:color="auto"/>
                            <w:right w:val="none" w:sz="0" w:space="0" w:color="auto"/>
                          </w:divBdr>
                          <w:divsChild>
                            <w:div w:id="1380666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29774997">
      <w:bodyDiv w:val="1"/>
      <w:marLeft w:val="0"/>
      <w:marRight w:val="0"/>
      <w:marTop w:val="0"/>
      <w:marBottom w:val="0"/>
      <w:divBdr>
        <w:top w:val="none" w:sz="0" w:space="0" w:color="auto"/>
        <w:left w:val="none" w:sz="0" w:space="0" w:color="auto"/>
        <w:bottom w:val="none" w:sz="0" w:space="0" w:color="auto"/>
        <w:right w:val="none" w:sz="0" w:space="0" w:color="auto"/>
      </w:divBdr>
      <w:divsChild>
        <w:div w:id="1288778304">
          <w:marLeft w:val="0"/>
          <w:marRight w:val="0"/>
          <w:marTop w:val="0"/>
          <w:marBottom w:val="0"/>
          <w:divBdr>
            <w:top w:val="none" w:sz="0" w:space="0" w:color="auto"/>
            <w:left w:val="none" w:sz="0" w:space="0" w:color="auto"/>
            <w:bottom w:val="none" w:sz="0" w:space="0" w:color="auto"/>
            <w:right w:val="none" w:sz="0" w:space="0" w:color="auto"/>
          </w:divBdr>
          <w:divsChild>
            <w:div w:id="1736392136">
              <w:marLeft w:val="0"/>
              <w:marRight w:val="0"/>
              <w:marTop w:val="0"/>
              <w:marBottom w:val="0"/>
              <w:divBdr>
                <w:top w:val="none" w:sz="0" w:space="0" w:color="auto"/>
                <w:left w:val="none" w:sz="0" w:space="0" w:color="auto"/>
                <w:bottom w:val="none" w:sz="0" w:space="0" w:color="auto"/>
                <w:right w:val="none" w:sz="0" w:space="0" w:color="auto"/>
              </w:divBdr>
              <w:divsChild>
                <w:div w:id="772669976">
                  <w:marLeft w:val="0"/>
                  <w:marRight w:val="0"/>
                  <w:marTop w:val="0"/>
                  <w:marBottom w:val="0"/>
                  <w:divBdr>
                    <w:top w:val="none" w:sz="0" w:space="0" w:color="auto"/>
                    <w:left w:val="none" w:sz="0" w:space="0" w:color="auto"/>
                    <w:bottom w:val="none" w:sz="0" w:space="0" w:color="auto"/>
                    <w:right w:val="none" w:sz="0" w:space="0" w:color="auto"/>
                  </w:divBdr>
                  <w:divsChild>
                    <w:div w:id="2119058668">
                      <w:marLeft w:val="0"/>
                      <w:marRight w:val="0"/>
                      <w:marTop w:val="0"/>
                      <w:marBottom w:val="0"/>
                      <w:divBdr>
                        <w:top w:val="none" w:sz="0" w:space="0" w:color="auto"/>
                        <w:left w:val="none" w:sz="0" w:space="0" w:color="auto"/>
                        <w:bottom w:val="none" w:sz="0" w:space="0" w:color="auto"/>
                        <w:right w:val="none" w:sz="0" w:space="0" w:color="auto"/>
                      </w:divBdr>
                      <w:divsChild>
                        <w:div w:id="468322545">
                          <w:marLeft w:val="0"/>
                          <w:marRight w:val="0"/>
                          <w:marTop w:val="0"/>
                          <w:marBottom w:val="0"/>
                          <w:divBdr>
                            <w:top w:val="none" w:sz="0" w:space="0" w:color="auto"/>
                            <w:left w:val="none" w:sz="0" w:space="0" w:color="auto"/>
                            <w:bottom w:val="none" w:sz="0" w:space="0" w:color="auto"/>
                            <w:right w:val="none" w:sz="0" w:space="0" w:color="auto"/>
                          </w:divBdr>
                          <w:divsChild>
                            <w:div w:id="1870607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45431580">
      <w:bodyDiv w:val="1"/>
      <w:marLeft w:val="0"/>
      <w:marRight w:val="0"/>
      <w:marTop w:val="0"/>
      <w:marBottom w:val="0"/>
      <w:divBdr>
        <w:top w:val="none" w:sz="0" w:space="0" w:color="auto"/>
        <w:left w:val="none" w:sz="0" w:space="0" w:color="auto"/>
        <w:bottom w:val="none" w:sz="0" w:space="0" w:color="auto"/>
        <w:right w:val="none" w:sz="0" w:space="0" w:color="auto"/>
      </w:divBdr>
    </w:div>
    <w:div w:id="1670215047">
      <w:bodyDiv w:val="1"/>
      <w:marLeft w:val="0"/>
      <w:marRight w:val="0"/>
      <w:marTop w:val="0"/>
      <w:marBottom w:val="0"/>
      <w:divBdr>
        <w:top w:val="none" w:sz="0" w:space="0" w:color="auto"/>
        <w:left w:val="none" w:sz="0" w:space="0" w:color="auto"/>
        <w:bottom w:val="none" w:sz="0" w:space="0" w:color="auto"/>
        <w:right w:val="none" w:sz="0" w:space="0" w:color="auto"/>
      </w:divBdr>
      <w:divsChild>
        <w:div w:id="1423915198">
          <w:marLeft w:val="0"/>
          <w:marRight w:val="0"/>
          <w:marTop w:val="0"/>
          <w:marBottom w:val="0"/>
          <w:divBdr>
            <w:top w:val="none" w:sz="0" w:space="0" w:color="auto"/>
            <w:left w:val="none" w:sz="0" w:space="0" w:color="auto"/>
            <w:bottom w:val="none" w:sz="0" w:space="0" w:color="auto"/>
            <w:right w:val="none" w:sz="0" w:space="0" w:color="auto"/>
          </w:divBdr>
          <w:divsChild>
            <w:div w:id="1107236858">
              <w:marLeft w:val="0"/>
              <w:marRight w:val="0"/>
              <w:marTop w:val="0"/>
              <w:marBottom w:val="0"/>
              <w:divBdr>
                <w:top w:val="none" w:sz="0" w:space="0" w:color="auto"/>
                <w:left w:val="none" w:sz="0" w:space="0" w:color="auto"/>
                <w:bottom w:val="none" w:sz="0" w:space="0" w:color="auto"/>
                <w:right w:val="none" w:sz="0" w:space="0" w:color="auto"/>
              </w:divBdr>
              <w:divsChild>
                <w:div w:id="692846854">
                  <w:marLeft w:val="0"/>
                  <w:marRight w:val="0"/>
                  <w:marTop w:val="0"/>
                  <w:marBottom w:val="0"/>
                  <w:divBdr>
                    <w:top w:val="none" w:sz="0" w:space="0" w:color="auto"/>
                    <w:left w:val="none" w:sz="0" w:space="0" w:color="auto"/>
                    <w:bottom w:val="none" w:sz="0" w:space="0" w:color="auto"/>
                    <w:right w:val="none" w:sz="0" w:space="0" w:color="auto"/>
                  </w:divBdr>
                  <w:divsChild>
                    <w:div w:id="1358852452">
                      <w:marLeft w:val="0"/>
                      <w:marRight w:val="0"/>
                      <w:marTop w:val="0"/>
                      <w:marBottom w:val="0"/>
                      <w:divBdr>
                        <w:top w:val="none" w:sz="0" w:space="0" w:color="auto"/>
                        <w:left w:val="none" w:sz="0" w:space="0" w:color="auto"/>
                        <w:bottom w:val="none" w:sz="0" w:space="0" w:color="auto"/>
                        <w:right w:val="none" w:sz="0" w:space="0" w:color="auto"/>
                      </w:divBdr>
                      <w:divsChild>
                        <w:div w:id="2098400502">
                          <w:marLeft w:val="0"/>
                          <w:marRight w:val="0"/>
                          <w:marTop w:val="0"/>
                          <w:marBottom w:val="0"/>
                          <w:divBdr>
                            <w:top w:val="none" w:sz="0" w:space="0" w:color="auto"/>
                            <w:left w:val="none" w:sz="0" w:space="0" w:color="auto"/>
                            <w:bottom w:val="none" w:sz="0" w:space="0" w:color="auto"/>
                            <w:right w:val="none" w:sz="0" w:space="0" w:color="auto"/>
                          </w:divBdr>
                          <w:divsChild>
                            <w:div w:id="808010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eader" Target="header5.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eader" Target="header4.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3.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ECHR_Theme_Judgments_Decisions_Reports">
  <a:themeElements>
    <a:clrScheme name="ECHR_grey">
      <a:dk1>
        <a:sysClr val="windowText" lastClr="000000"/>
      </a:dk1>
      <a:lt1>
        <a:srgbClr val="0072BC"/>
      </a:lt1>
      <a:dk2>
        <a:srgbClr val="C6C6C6"/>
      </a:dk2>
      <a:lt2>
        <a:srgbClr val="F8F8F8"/>
      </a:lt2>
      <a:accent1>
        <a:srgbClr val="0072BC"/>
      </a:accent1>
      <a:accent2>
        <a:srgbClr val="C00000"/>
      </a:accent2>
      <a:accent3>
        <a:srgbClr val="5F5F5F"/>
      </a:accent3>
      <a:accent4>
        <a:srgbClr val="969696"/>
      </a:accent4>
      <a:accent5>
        <a:srgbClr val="5F5F5F"/>
      </a:accent5>
      <a:accent6>
        <a:srgbClr val="4D4D4D"/>
      </a:accent6>
      <a:hlink>
        <a:srgbClr val="0072BC"/>
      </a:hlink>
      <a:folHlink>
        <a:srgbClr val="7030A0"/>
      </a:folHlink>
    </a:clrScheme>
    <a:fontScheme name="ECHR_Judgments_Reports_Decisions">
      <a:majorFont>
        <a:latin typeface="Times New Roman"/>
        <a:ea typeface=""/>
        <a:cs typeface=""/>
      </a:majorFont>
      <a:minorFont>
        <a:latin typeface="Times New Roman"/>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shade val="50000"/>
                <a:satMod val="155000"/>
              </a:schemeClr>
            </a:gs>
            <a:gs pos="35000">
              <a:schemeClr val="phClr">
                <a:shade val="75000"/>
                <a:satMod val="155000"/>
              </a:schemeClr>
            </a:gs>
            <a:gs pos="100000">
              <a:schemeClr val="phClr">
                <a:tint val="80000"/>
                <a:satMod val="255000"/>
              </a:schemeClr>
            </a:gs>
          </a:gsLst>
          <a:lin ang="16200000" scaled="0"/>
        </a:gradFill>
        <a:gradFill rotWithShape="1">
          <a:gsLst>
            <a:gs pos="0">
              <a:schemeClr val="phClr">
                <a:tint val="80000"/>
                <a:satMod val="300000"/>
              </a:schemeClr>
            </a:gs>
            <a:gs pos="100000">
              <a:schemeClr val="phClr">
                <a:shade val="30000"/>
                <a:satMod val="200000"/>
              </a:schemeClr>
            </a:gs>
          </a:gsLst>
          <a:path path="circle">
            <a:fillToRect l="100000" t="100000" r="100000" b="10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558EB02BDB9E204AB350EDD385B68E10" ma:contentTypeVersion="0" ma:contentTypeDescription="Create a new document." ma:contentTypeScope="" ma:versionID="4c0f801ee557d5c8fba2c83aceb7a3a2">
  <xsd:schema xmlns:xsd="http://www.w3.org/2001/XMLSchema" xmlns:xs="http://www.w3.org/2001/XMLSchema" xmlns:p="http://schemas.microsoft.com/office/2006/metadata/properties" targetNamespace="http://schemas.microsoft.com/office/2006/metadata/properties" ma:root="true" ma:fieldsID="66a9e0779a85d62bb2248c31b91edb77">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504D0D5-4298-4A24-ABEB-BCDD435E3400}">
  <ds:schemaRefs>
    <ds:schemaRef ds:uri="http://schemas.microsoft.com/sharepoint/v3/contenttype/forms"/>
  </ds:schemaRefs>
</ds:datastoreItem>
</file>

<file path=customXml/itemProps2.xml><?xml version="1.0" encoding="utf-8"?>
<ds:datastoreItem xmlns:ds="http://schemas.openxmlformats.org/officeDocument/2006/customXml" ds:itemID="{27DF4DE4-7691-4A0A-BF5E-F903ED6D0E02}">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5A454749-C3EC-4908-97D3-9A896E7391B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25487392-F132-4746-8074-6A840A45174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24</Pages>
  <Words>9284</Words>
  <Characters>52920</Characters>
  <Application>Microsoft Office Word</Application>
  <DocSecurity>0</DocSecurity>
  <Lines>441</Lines>
  <Paragraphs>124</Paragraphs>
  <ScaleCrop>false</ScaleCrop>
  <HeadingPairs>
    <vt:vector size="4" baseType="variant">
      <vt:variant>
        <vt:lpstr>Naslov</vt:lpstr>
      </vt:variant>
      <vt:variant>
        <vt:i4>1</vt:i4>
      </vt:variant>
      <vt:variant>
        <vt:lpstr>Title</vt:lpstr>
      </vt:variant>
      <vt:variant>
        <vt:i4>1</vt:i4>
      </vt:variant>
    </vt:vector>
  </HeadingPairs>
  <TitlesOfParts>
    <vt:vector size="2" baseType="lpstr">
      <vt:lpstr>ECHR</vt:lpstr>
      <vt:lpstr>ECHR</vt:lpstr>
    </vt:vector>
  </TitlesOfParts>
  <LinksUpToDate>false</LinksUpToDate>
  <CharactersWithSpaces>62080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ECHR</dc:title>
  <dc:subject>DJ</dc:subject>
  <dc:creator/>
  <cp:lastModifiedBy/>
  <cp:revision>1</cp:revision>
  <dcterms:created xsi:type="dcterms:W3CDTF">2016-11-21T10:45:00Z</dcterms:created>
  <dcterms:modified xsi:type="dcterms:W3CDTF">2016-11-21T10:45:00Z</dcterms:modified>
  <cp:category>ECHR Template</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0x010100558EB02BDB9E204AB350EDD385B68E10</vt:lpwstr>
  </property>
</Properties>
</file>