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F26FE" w14:textId="77777777" w:rsidR="00115035" w:rsidRPr="008664C4" w:rsidRDefault="00474DCC" w:rsidP="008664C4">
      <w:pPr>
        <w:jc w:val="center"/>
      </w:pPr>
    </w:p>
    <w:p w14:paraId="4B478E74" w14:textId="77777777" w:rsidR="00E93FC7" w:rsidRPr="008664C4" w:rsidRDefault="00474DCC" w:rsidP="008664C4">
      <w:pPr>
        <w:jc w:val="center"/>
        <w:rPr>
          <w:sz w:val="4"/>
          <w:szCs w:val="4"/>
        </w:rPr>
      </w:pPr>
    </w:p>
    <w:p w14:paraId="1330D59E" w14:textId="77777777" w:rsidR="00E93FC7" w:rsidRPr="00342ECF" w:rsidRDefault="00671CB5" w:rsidP="008664C4">
      <w:pPr>
        <w:pStyle w:val="DecHTitle"/>
        <w:rPr>
          <w:lang w:val="it-IT"/>
        </w:rPr>
      </w:pPr>
      <w:r>
        <w:rPr>
          <w:lang w:val="sl"/>
        </w:rPr>
        <w:t>DRUGI ODDELEK</w:t>
      </w:r>
    </w:p>
    <w:p w14:paraId="537FC58B" w14:textId="77777777" w:rsidR="00E93FC7" w:rsidRPr="00342ECF" w:rsidRDefault="006267D3" w:rsidP="008664C4">
      <w:pPr>
        <w:pStyle w:val="DecHTitle"/>
        <w:rPr>
          <w:lang w:val="it-IT"/>
        </w:rPr>
      </w:pPr>
      <w:r>
        <w:rPr>
          <w:lang w:val="sl"/>
        </w:rPr>
        <w:t>SKLEP</w:t>
      </w:r>
    </w:p>
    <w:p w14:paraId="67CA59B5" w14:textId="77777777" w:rsidR="00EE3667" w:rsidRPr="00342ECF" w:rsidRDefault="00671CB5" w:rsidP="008664C4">
      <w:pPr>
        <w:pStyle w:val="DecHCase"/>
        <w:rPr>
          <w:i/>
          <w:lang w:val="it-IT"/>
        </w:rPr>
      </w:pPr>
      <w:r>
        <w:rPr>
          <w:lang w:val="sl"/>
        </w:rPr>
        <w:t>(Pritožbi št. 51282/18 in 51515/18</w:t>
      </w:r>
      <w:r>
        <w:rPr>
          <w:lang w:val="sl"/>
        </w:rPr>
        <w:br/>
        <w:t>Branka BIJELIČ proti Sloveniji</w:t>
      </w:r>
      <w:r>
        <w:rPr>
          <w:lang w:val="sl"/>
        </w:rPr>
        <w:br/>
        <w:t xml:space="preserve">in </w:t>
      </w:r>
      <w:proofErr w:type="spellStart"/>
      <w:r>
        <w:rPr>
          <w:lang w:val="sl"/>
        </w:rPr>
        <w:t>Anto</w:t>
      </w:r>
      <w:proofErr w:type="spellEnd"/>
      <w:r>
        <w:rPr>
          <w:lang w:val="sl"/>
        </w:rPr>
        <w:t xml:space="preserve"> BIJELIČ proti Sloveniji</w:t>
      </w:r>
    </w:p>
    <w:p w14:paraId="58E06A64" w14:textId="77777777" w:rsidR="00E93FC7" w:rsidRPr="00342ECF" w:rsidRDefault="00474DCC" w:rsidP="008664C4">
      <w:pPr>
        <w:rPr>
          <w:sz w:val="2"/>
          <w:szCs w:val="2"/>
          <w:lang w:val="it-IT"/>
        </w:rPr>
      </w:pPr>
    </w:p>
    <w:p w14:paraId="345E5EE9" w14:textId="77777777" w:rsidR="00671CB5" w:rsidRPr="00342ECF" w:rsidRDefault="00671CB5" w:rsidP="008664C4">
      <w:pPr>
        <w:pStyle w:val="JuPara"/>
        <w:rPr>
          <w:lang w:val="it-IT"/>
        </w:rPr>
      </w:pPr>
      <w:r>
        <w:rPr>
          <w:lang w:val="sl"/>
        </w:rPr>
        <w:t>Evropsko sodišče za človekove pravice (drugi oddelek) je 16. februarja 2021 kot senat v sestavi:</w:t>
      </w:r>
    </w:p>
    <w:p w14:paraId="236BEFA8" w14:textId="77777777" w:rsidR="00671CB5" w:rsidRPr="00342ECF" w:rsidRDefault="0070666B" w:rsidP="008664C4">
      <w:pPr>
        <w:pStyle w:val="JuJudges"/>
        <w:rPr>
          <w:lang w:val="sl"/>
        </w:rPr>
      </w:pPr>
      <w:r>
        <w:rPr>
          <w:lang w:val="sl"/>
        </w:rPr>
        <w:tab/>
        <w:t xml:space="preserve">Aleš </w:t>
      </w:r>
      <w:proofErr w:type="spellStart"/>
      <w:r>
        <w:rPr>
          <w:lang w:val="sl"/>
        </w:rPr>
        <w:t>Pejchal</w:t>
      </w:r>
      <w:proofErr w:type="spellEnd"/>
      <w:r>
        <w:rPr>
          <w:lang w:val="sl"/>
        </w:rPr>
        <w:t>,</w:t>
      </w:r>
      <w:r>
        <w:rPr>
          <w:i/>
          <w:iCs/>
          <w:lang w:val="sl"/>
        </w:rPr>
        <w:t xml:space="preserve"> predsednik,</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r>
      <w:proofErr w:type="spellStart"/>
      <w:r>
        <w:rPr>
          <w:lang w:val="sl"/>
        </w:rPr>
        <w:t>Carlo</w:t>
      </w:r>
      <w:proofErr w:type="spellEnd"/>
      <w:r>
        <w:rPr>
          <w:lang w:val="sl"/>
        </w:rPr>
        <w:t xml:space="preserve"> </w:t>
      </w:r>
      <w:proofErr w:type="spellStart"/>
      <w:r>
        <w:rPr>
          <w:lang w:val="sl"/>
        </w:rPr>
        <w:t>Ranzoni</w:t>
      </w:r>
      <w:proofErr w:type="spellEnd"/>
      <w:r>
        <w:rPr>
          <w:lang w:val="sl"/>
        </w:rPr>
        <w:t xml:space="preserve">, </w:t>
      </w:r>
      <w:r>
        <w:rPr>
          <w:i/>
          <w:iCs/>
          <w:lang w:val="sl"/>
        </w:rPr>
        <w:t>sodniki,</w:t>
      </w:r>
      <w:r>
        <w:rPr>
          <w:lang w:val="sl"/>
        </w:rPr>
        <w:br/>
        <w:t xml:space="preserve">in Hasan </w:t>
      </w:r>
      <w:proofErr w:type="spellStart"/>
      <w:r>
        <w:rPr>
          <w:lang w:val="sl"/>
        </w:rPr>
        <w:t>Bakırcı</w:t>
      </w:r>
      <w:proofErr w:type="spellEnd"/>
      <w:r>
        <w:rPr>
          <w:lang w:val="sl"/>
        </w:rPr>
        <w:t xml:space="preserve">, </w:t>
      </w:r>
      <w:r>
        <w:rPr>
          <w:i/>
          <w:iCs/>
          <w:lang w:val="sl"/>
        </w:rPr>
        <w:t>namestnik sodnega tajnika oddelka,</w:t>
      </w:r>
    </w:p>
    <w:p w14:paraId="7ED5BFCB" w14:textId="77777777" w:rsidR="00671CB5" w:rsidRPr="00342ECF" w:rsidRDefault="00671CB5" w:rsidP="008664C4">
      <w:pPr>
        <w:pStyle w:val="JuPara"/>
        <w:rPr>
          <w:lang w:val="sl"/>
        </w:rPr>
      </w:pPr>
      <w:r>
        <w:rPr>
          <w:lang w:val="sl"/>
        </w:rPr>
        <w:t>Ob upoštevanju navedenih pritožb, vloženih 26. oktobra 2018,</w:t>
      </w:r>
    </w:p>
    <w:p w14:paraId="692BBEB0" w14:textId="77777777" w:rsidR="00671CB5" w:rsidRPr="00342ECF" w:rsidRDefault="00671CB5" w:rsidP="008664C4">
      <w:pPr>
        <w:pStyle w:val="JuPara"/>
        <w:rPr>
          <w:lang w:val="sl"/>
        </w:rPr>
      </w:pPr>
      <w:r>
        <w:rPr>
          <w:lang w:val="sl"/>
        </w:rPr>
        <w:t>ob upoštevanju stališč, ki jih je predložila tožena vlada, in stališč, ki sta jih v odgovoru predložila pritožnika,</w:t>
      </w:r>
    </w:p>
    <w:p w14:paraId="4E3F4E2A" w14:textId="77777777" w:rsidR="00671CB5" w:rsidRPr="008664C4" w:rsidRDefault="00671CB5" w:rsidP="008664C4">
      <w:pPr>
        <w:pStyle w:val="JuPara"/>
      </w:pPr>
      <w:r>
        <w:rPr>
          <w:lang w:val="sl"/>
        </w:rPr>
        <w:t>po razpravi sklenilo:</w:t>
      </w:r>
    </w:p>
    <w:p w14:paraId="6DA66E22" w14:textId="77777777" w:rsidR="00671CB5" w:rsidRPr="008664C4" w:rsidRDefault="00671CB5" w:rsidP="008664C4">
      <w:pPr>
        <w:pStyle w:val="JuHHead"/>
      </w:pPr>
      <w:r>
        <w:rPr>
          <w:bCs w:val="0"/>
          <w:lang w:val="sl"/>
        </w:rPr>
        <w:t>DEJSTVA</w:t>
      </w:r>
    </w:p>
    <w:p w14:paraId="24DBF621"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xml:space="preserve">.  Pritožnica v prvi zadevi Branka </w:t>
      </w:r>
      <w:proofErr w:type="spellStart"/>
      <w:r>
        <w:rPr>
          <w:lang w:val="sl"/>
        </w:rPr>
        <w:t>Bijelič</w:t>
      </w:r>
      <w:proofErr w:type="spellEnd"/>
      <w:r>
        <w:rPr>
          <w:lang w:val="sl"/>
        </w:rPr>
        <w:t xml:space="preserve"> je bila rojena leta 1958. Pritožnik v drugi zadevi </w:t>
      </w:r>
      <w:proofErr w:type="spellStart"/>
      <w:r>
        <w:rPr>
          <w:lang w:val="sl"/>
        </w:rPr>
        <w:t>Anto</w:t>
      </w:r>
      <w:proofErr w:type="spellEnd"/>
      <w:r>
        <w:rPr>
          <w:lang w:val="sl"/>
        </w:rPr>
        <w:t xml:space="preserve"> </w:t>
      </w:r>
      <w:proofErr w:type="spellStart"/>
      <w:r>
        <w:rPr>
          <w:lang w:val="sl"/>
        </w:rPr>
        <w:t>Bijelič</w:t>
      </w:r>
      <w:proofErr w:type="spellEnd"/>
      <w:r>
        <w:rPr>
          <w:lang w:val="sl"/>
        </w:rPr>
        <w:t xml:space="preserve"> je bil rojen leta 1950. Oba pritožnika sta slovenska državljana, ki živita v Logatcu. Pred Sodiščem ju je zastopal D. Sluga, odvetnik iz Ljubljane.</w:t>
      </w:r>
    </w:p>
    <w:p w14:paraId="257E197F"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Slovensko vlado (v nadaljnjem besedilu: vlada) je zastopala A. Vran, državna odvetnica.</w:t>
      </w:r>
    </w:p>
    <w:p w14:paraId="71A4D7E1" w14:textId="77777777" w:rsidR="00671CB5" w:rsidRPr="008664C4" w:rsidRDefault="00671CB5" w:rsidP="008664C4">
      <w:pPr>
        <w:pStyle w:val="JuHA"/>
      </w:pPr>
      <w:r>
        <w:rPr>
          <w:lang w:val="sl"/>
        </w:rPr>
        <w:t>Okoliščine zadeve</w:t>
      </w:r>
    </w:p>
    <w:p w14:paraId="5BFABC29" w14:textId="77777777" w:rsidR="00671CB5" w:rsidRPr="008664C4" w:rsidRDefault="00671CB5" w:rsidP="008664C4">
      <w:pPr>
        <w:pStyle w:val="JuPara"/>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V nadaljevanju so povzeta dejstva v zadevi, kot so jih predložile stranke.</w:t>
      </w:r>
    </w:p>
    <w:p w14:paraId="3D11609D"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Sin pritožnikov, X, je 16. aprila 2004 umrl zaradi malignega melanoma.</w:t>
      </w:r>
    </w:p>
    <w:p w14:paraId="5EB43A34" w14:textId="77777777" w:rsidR="00671CB5" w:rsidRPr="008664C4" w:rsidRDefault="00671CB5" w:rsidP="008664C4">
      <w:pPr>
        <w:pStyle w:val="JuH1"/>
      </w:pPr>
      <w:r>
        <w:rPr>
          <w:bCs w:val="0"/>
          <w:lang w:val="sl"/>
        </w:rPr>
        <w:lastRenderedPageBreak/>
        <w:t>Postopek pred Okrožnim sodiščem v Ljubljani</w:t>
      </w:r>
    </w:p>
    <w:p w14:paraId="4329CE8F" w14:textId="5267BDB2"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xml:space="preserve">.  Pritožnika sta 16. aprila 2007 na Okrožno sodišče v Ljubljani vložila odškodninski zahtevek zoper Zdravstveni </w:t>
      </w:r>
      <w:r w:rsidR="00DD486D">
        <w:rPr>
          <w:lang w:val="sl"/>
        </w:rPr>
        <w:t>dom</w:t>
      </w:r>
      <w:r>
        <w:rPr>
          <w:lang w:val="sl"/>
        </w:rPr>
        <w:t xml:space="preserve"> L. Trdila sta, da je bil</w:t>
      </w:r>
      <w:r w:rsidR="00DD486D">
        <w:rPr>
          <w:lang w:val="sl"/>
        </w:rPr>
        <w:t>a</w:t>
      </w:r>
      <w:r>
        <w:rPr>
          <w:lang w:val="sl"/>
        </w:rPr>
        <w:t xml:space="preserve"> dr. D., uslužben</w:t>
      </w:r>
      <w:r w:rsidR="00DD486D">
        <w:rPr>
          <w:lang w:val="sl"/>
        </w:rPr>
        <w:t>ka zdravstvenega doma</w:t>
      </w:r>
      <w:r>
        <w:rPr>
          <w:lang w:val="sl"/>
        </w:rPr>
        <w:t>, ki je pregledal</w:t>
      </w:r>
      <w:r w:rsidR="00DD486D">
        <w:rPr>
          <w:lang w:val="sl"/>
        </w:rPr>
        <w:t>a</w:t>
      </w:r>
      <w:r>
        <w:rPr>
          <w:lang w:val="sl"/>
        </w:rPr>
        <w:t xml:space="preserve"> njunega sina, malomarn</w:t>
      </w:r>
      <w:r w:rsidR="00DD486D">
        <w:rPr>
          <w:lang w:val="sl"/>
        </w:rPr>
        <w:t>a</w:t>
      </w:r>
      <w:r>
        <w:rPr>
          <w:lang w:val="sl"/>
        </w:rPr>
        <w:t xml:space="preserve"> (zaradi odlašanja zdravljenja njunega sina). Zahtevala sta odškodnino v višini 20.000 EUR (EUR) za nepremoženjsko škodo, ki je nastala zaradi njegove smrti.</w:t>
      </w:r>
    </w:p>
    <w:p w14:paraId="35E60C7B" w14:textId="2084CD3D"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xml:space="preserve">.  23. novembra 2010 je sodišče imenovalo institucijo z vlogo sodnega izvedenca. 12. maja 2011 je strokovna institucija sodišču predložila izvedensko mnenje. Iz mnenja izhaja, da je bil obisk sina </w:t>
      </w:r>
      <w:r w:rsidR="00DD486D">
        <w:rPr>
          <w:lang w:val="sl"/>
        </w:rPr>
        <w:t xml:space="preserve">pritožnikov </w:t>
      </w:r>
      <w:r>
        <w:rPr>
          <w:lang w:val="sl"/>
        </w:rPr>
        <w:t>pri dermatologu določen za 5. junij 2002 in da je temu sledil nujen zdravniški postopek. Izvedenci so menili, da je melanom po vsej verjetnosti metastaziral pred 19. aprilom 2002. Po njihovem mnenju bi bile možnosti X veliko večje, če bi bil melanom odstranjen pred aprilom 2002, medtem ko njegova odstranitev v obdobju med 20. aprilom 2002 in 5. junijem 2002 po vsej verjetnosti ne bi spremenila poteka bolezni.</w:t>
      </w:r>
    </w:p>
    <w:p w14:paraId="55799DEE" w14:textId="307E0500" w:rsidR="00671CB5" w:rsidRPr="00DD486D"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w:t>
      </w:r>
      <w:bookmarkStart w:id="0" w:name="_Hlk63257371"/>
      <w:r>
        <w:rPr>
          <w:lang w:val="sl"/>
        </w:rPr>
        <w:t>3. oktobra 2013 je sodišče opravilo obravnavo, na kateri je zaslišalo strokovnega izvedenca. Istega dne je zavrnilo tožbo pritožnikov. Ugotovilo je kot potrjeno, da je X 19. aprila 2002 sumljivo kožno znamenje pokazal dr. D., ki ga je napotil</w:t>
      </w:r>
      <w:r w:rsidR="003B3CEE">
        <w:rPr>
          <w:lang w:val="sl"/>
        </w:rPr>
        <w:t>a</w:t>
      </w:r>
      <w:r>
        <w:rPr>
          <w:lang w:val="sl"/>
        </w:rPr>
        <w:t xml:space="preserve"> k dermatologu po "</w:t>
      </w:r>
      <w:r w:rsidR="003B3CEE">
        <w:rPr>
          <w:lang w:val="sl"/>
        </w:rPr>
        <w:t>rednem</w:t>
      </w:r>
      <w:r>
        <w:rPr>
          <w:lang w:val="sl"/>
        </w:rPr>
        <w:t>" postopku (ne da bi na napotnico napisal</w:t>
      </w:r>
      <w:r w:rsidR="003B3CEE">
        <w:rPr>
          <w:lang w:val="sl"/>
        </w:rPr>
        <w:t>a</w:t>
      </w:r>
      <w:r>
        <w:rPr>
          <w:lang w:val="sl"/>
        </w:rPr>
        <w:t xml:space="preserve"> "nujno"). Po napotnici dr. D. je X dobil termin pri dermatologu za dan 5. junija 2002, ko ga je dr. K. pregledal. Istega dne je X bil napoten na nujno odstranitev sumljivega znamenja. </w:t>
      </w:r>
      <w:r w:rsidRPr="0019026F">
        <w:rPr>
          <w:lang w:val="sl"/>
        </w:rPr>
        <w:t>Nadalje je presodilo, da je zelo verjetno, da je melanom takrat že metastaziral in da ob predpostavki, da so bili znaki malignega melanoma očitni v času pregleda pri dr. D., zdravni</w:t>
      </w:r>
      <w:r w:rsidR="00DD486D" w:rsidRPr="0019026F">
        <w:rPr>
          <w:lang w:val="sl"/>
        </w:rPr>
        <w:t>ca</w:t>
      </w:r>
      <w:r w:rsidRPr="0019026F">
        <w:rPr>
          <w:lang w:val="sl"/>
        </w:rPr>
        <w:t xml:space="preserve"> ni ravnal</w:t>
      </w:r>
      <w:r w:rsidR="00DD486D" w:rsidRPr="0019026F">
        <w:rPr>
          <w:lang w:val="sl"/>
        </w:rPr>
        <w:t>a</w:t>
      </w:r>
      <w:r w:rsidRPr="0019026F">
        <w:rPr>
          <w:lang w:val="sl"/>
        </w:rPr>
        <w:t xml:space="preserve"> malomarno, ker X ni napotil</w:t>
      </w:r>
      <w:r w:rsidR="003B3CEE" w:rsidRPr="0019026F">
        <w:rPr>
          <w:lang w:val="sl"/>
        </w:rPr>
        <w:t>a</w:t>
      </w:r>
      <w:r w:rsidRPr="0019026F">
        <w:rPr>
          <w:lang w:val="sl"/>
        </w:rPr>
        <w:t xml:space="preserve"> na nujne (takojšnje) preiskave.</w:t>
      </w:r>
      <w:r>
        <w:rPr>
          <w:lang w:val="sl"/>
        </w:rPr>
        <w:t xml:space="preserve"> Nazadnje je sodišče, ob sklicevanju na izvedensko mnenje, presodilo, da je bila </w:t>
      </w:r>
      <w:r w:rsidR="00DD486D">
        <w:rPr>
          <w:lang w:val="sl"/>
        </w:rPr>
        <w:t xml:space="preserve">v vsakem primeru </w:t>
      </w:r>
      <w:r>
        <w:rPr>
          <w:lang w:val="sl"/>
        </w:rPr>
        <w:t>vsakršna vzročna zveza prekinjena, ker odstranitev znamenja 19. aprila 2002 (namesto 5. junija 2002) ne bi bistveno spremenila poteka bolezni oz. X-ove možnosti za preživetje.</w:t>
      </w:r>
      <w:bookmarkEnd w:id="0"/>
    </w:p>
    <w:p w14:paraId="35AC85BC" w14:textId="77777777" w:rsidR="00671CB5" w:rsidRPr="008664C4" w:rsidRDefault="00671CB5" w:rsidP="008664C4">
      <w:pPr>
        <w:pStyle w:val="JuH1"/>
      </w:pPr>
      <w:r>
        <w:rPr>
          <w:bCs w:val="0"/>
          <w:lang w:val="sl"/>
        </w:rPr>
        <w:t>Pritožbeni postopek</w:t>
      </w:r>
    </w:p>
    <w:p w14:paraId="369341B5"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5. decembra 2013 sta se pritožnika pritožila.</w:t>
      </w:r>
    </w:p>
    <w:bookmarkStart w:id="1" w:name="highercourtjudgment"/>
    <w:p w14:paraId="4A4C9060" w14:textId="173599AA"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bookmarkEnd w:id="1"/>
      <w:r>
        <w:rPr>
          <w:lang w:val="sl"/>
        </w:rPr>
        <w:t>.  Višje sodišče v Ljubljani je 17. septembra 2014 razveljavilo sodbo, ugodilo zahtevku pritožnikov glede utemeljenosti (</w:t>
      </w:r>
      <w:r>
        <w:rPr>
          <w:i/>
          <w:iCs/>
          <w:lang w:val="sl"/>
        </w:rPr>
        <w:t>vmesna sodba</w:t>
      </w:r>
      <w:r>
        <w:rPr>
          <w:lang w:val="sl"/>
        </w:rPr>
        <w:t>) in zadevo vrnilo sodišču prve stopnje, da določi znesek odškodnine. Ugotovilo je, da napotnica, ki jo je dr. D. izdal</w:t>
      </w:r>
      <w:r w:rsidR="00DD486D">
        <w:rPr>
          <w:lang w:val="sl"/>
        </w:rPr>
        <w:t>a</w:t>
      </w:r>
      <w:r>
        <w:rPr>
          <w:lang w:val="sl"/>
        </w:rPr>
        <w:t xml:space="preserve"> v primeru X, ni bila pripravljena v skladu z medicinsko doktrino in prakso. Poleg tega dr. D., ker ni obvestil</w:t>
      </w:r>
      <w:r w:rsidR="00DD486D">
        <w:rPr>
          <w:lang w:val="sl"/>
        </w:rPr>
        <w:t>a</w:t>
      </w:r>
      <w:r>
        <w:rPr>
          <w:lang w:val="sl"/>
        </w:rPr>
        <w:t xml:space="preserve"> X o domnevni diagnozi in s tem povezanih tveganjih, </w:t>
      </w:r>
      <w:r w:rsidRPr="00651129">
        <w:rPr>
          <w:lang w:val="sl"/>
        </w:rPr>
        <w:t>ni zahteval</w:t>
      </w:r>
      <w:r w:rsidR="00663128" w:rsidRPr="00651129">
        <w:rPr>
          <w:lang w:val="sl"/>
        </w:rPr>
        <w:t>a</w:t>
      </w:r>
      <w:r w:rsidRPr="00651129">
        <w:rPr>
          <w:lang w:val="sl"/>
        </w:rPr>
        <w:t xml:space="preserve"> njegove</w:t>
      </w:r>
      <w:r w:rsidR="00651129" w:rsidRPr="00651129">
        <w:rPr>
          <w:lang w:val="sl"/>
        </w:rPr>
        <w:t>ga soglasja</w:t>
      </w:r>
      <w:r w:rsidRPr="00651129">
        <w:rPr>
          <w:lang w:val="sl"/>
        </w:rPr>
        <w:t>.</w:t>
      </w:r>
      <w:r>
        <w:rPr>
          <w:lang w:val="sl"/>
        </w:rPr>
        <w:t xml:space="preserve"> Glede na to je sodišče menilo, da je dr. D. storil</w:t>
      </w:r>
      <w:r w:rsidR="00DD486D">
        <w:rPr>
          <w:lang w:val="sl"/>
        </w:rPr>
        <w:t>a</w:t>
      </w:r>
      <w:r>
        <w:rPr>
          <w:lang w:val="sl"/>
        </w:rPr>
        <w:t xml:space="preserve"> zdravniško napako. Kar zadeva vprašanje vzročne zveze, je sodišče podrobneje razložilo pomen hitrega zdravniškega odziva v primerih bolnikov z odkritim malignim melanomom. Presodilo je, da sta </w:t>
      </w:r>
      <w:r w:rsidRPr="00545AC4">
        <w:rPr>
          <w:lang w:val="sl"/>
        </w:rPr>
        <w:t xml:space="preserve">pritožnika </w:t>
      </w:r>
      <w:r w:rsidR="00C00184" w:rsidRPr="00545AC4">
        <w:rPr>
          <w:lang w:val="sl"/>
        </w:rPr>
        <w:t>dokazala</w:t>
      </w:r>
      <w:r w:rsidRPr="00545AC4">
        <w:rPr>
          <w:lang w:val="sl"/>
        </w:rPr>
        <w:t>,</w:t>
      </w:r>
      <w:r>
        <w:rPr>
          <w:lang w:val="sl"/>
        </w:rPr>
        <w:t xml:space="preserve"> da bi bile možnosti X </w:t>
      </w:r>
      <w:r>
        <w:rPr>
          <w:lang w:val="sl"/>
        </w:rPr>
        <w:lastRenderedPageBreak/>
        <w:t>za preživetje večje, če bi ga dr. D. pod nujno napotil</w:t>
      </w:r>
      <w:r w:rsidR="00C00184">
        <w:rPr>
          <w:lang w:val="sl"/>
        </w:rPr>
        <w:t>a</w:t>
      </w:r>
      <w:r>
        <w:rPr>
          <w:lang w:val="sl"/>
        </w:rPr>
        <w:t xml:space="preserve"> na nadaljnje preiskave. Dokazno breme (v tem primeru dokazovanje, da bi X umrl, tudi če bi bila napotnica izdana v skladu z ustreznimi pravili) je s tem prešlo na toženo stranko, ki pa tega ni dokazala z zahtevano stopnjo prepričljivosti.</w:t>
      </w:r>
    </w:p>
    <w:bookmarkStart w:id="2" w:name="appealonpointsoflaw"/>
    <w:p w14:paraId="764B819F"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bookmarkEnd w:id="2"/>
      <w:r>
        <w:rPr>
          <w:lang w:val="sl"/>
        </w:rPr>
        <w:t>.  Tožena stranka je 24. marca 2015 vložila revizijo zoper sodbo Višjega sodišča. 18. maja 2015 sta pritožnika predložila odgovor.</w:t>
      </w:r>
    </w:p>
    <w:bookmarkStart w:id="3" w:name="SupremeCourt"/>
    <w:p w14:paraId="49B8AD4B" w14:textId="297BD27E"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bookmarkEnd w:id="3"/>
      <w:r>
        <w:rPr>
          <w:lang w:val="sl"/>
        </w:rPr>
        <w:t>.  Vrhovno sodišče je 3. decembra 2015 ugodilo reviziji, razveljavilo izpodbijano sodbo in potrdilo sodbo prvostopenjskega sodišča ter ugotovilo, da je Višje sodišče napačno uporabilo pravila glede dokaznega bremena v povezavi z vprašanjem vzročne zveze kot elementa</w:t>
      </w:r>
      <w:r w:rsidR="00545AC4">
        <w:rPr>
          <w:lang w:val="sl"/>
        </w:rPr>
        <w:t xml:space="preserve"> </w:t>
      </w:r>
      <w:r w:rsidR="00663128" w:rsidRPr="00545AC4">
        <w:rPr>
          <w:lang w:val="sl"/>
        </w:rPr>
        <w:t>odškodninske odgovornosti</w:t>
      </w:r>
      <w:r>
        <w:rPr>
          <w:lang w:val="sl"/>
        </w:rPr>
        <w:t>. Ponovilo je, da je bilo vprašanje, ali bi lahko zdravni</w:t>
      </w:r>
      <w:r w:rsidR="00C00184">
        <w:rPr>
          <w:lang w:val="sl"/>
        </w:rPr>
        <w:t>ca</w:t>
      </w:r>
      <w:r>
        <w:rPr>
          <w:lang w:val="sl"/>
        </w:rPr>
        <w:t xml:space="preserve"> preprečil</w:t>
      </w:r>
      <w:r w:rsidR="00C00184">
        <w:rPr>
          <w:lang w:val="sl"/>
        </w:rPr>
        <w:t>a</w:t>
      </w:r>
      <w:r>
        <w:rPr>
          <w:lang w:val="sl"/>
        </w:rPr>
        <w:t xml:space="preserve"> naravno smrt bolnika, za sodišče in stranke zelo zapleteno, ker se je nanašalo na hipotetično situacijo. To je upravičilo uporabo drugačnega dokaznega standarda, ki tožniku ni nalagal nemogočega bremena. Zato je tožniku, pritožnikoma, zadostovalo, da sta trdila in dokazovala, da bi dejanje, ki ga je zdravni</w:t>
      </w:r>
      <w:r w:rsidR="00663128">
        <w:rPr>
          <w:lang w:val="sl"/>
        </w:rPr>
        <w:t>ca</w:t>
      </w:r>
      <w:r>
        <w:rPr>
          <w:lang w:val="sl"/>
        </w:rPr>
        <w:t xml:space="preserve"> opustil</w:t>
      </w:r>
      <w:r w:rsidR="00663128">
        <w:rPr>
          <w:lang w:val="sl"/>
        </w:rPr>
        <w:t>a</w:t>
      </w:r>
      <w:r>
        <w:rPr>
          <w:lang w:val="sl"/>
        </w:rPr>
        <w:t>, lahko v nezanemarljivi meri prispevalo k preprečitvi X-ove smrti. Verjetnost, da bi to dejanje lahko preprečilo smrt, je bilo strokovno medicinsko vprašanje. Na podlagi dejstev, ki so jih ugotovila nižja sodišča, v skladu s katerimi je (i) melanom po vsej verjetnosti usodno metastaziral, preden ga je dr. D. videl</w:t>
      </w:r>
      <w:r w:rsidR="00C00184">
        <w:rPr>
          <w:lang w:val="sl"/>
        </w:rPr>
        <w:t>a</w:t>
      </w:r>
      <w:r>
        <w:rPr>
          <w:lang w:val="sl"/>
        </w:rPr>
        <w:t xml:space="preserve"> 19. aprila 2002, (ii) so možnosti preživetja v tem primeru bile ocenjene na 5% in (iii) odstranitev tako agresivnega tumorja v tistem trenutku ne bi bistveno spremenila poteka bolezni in stopnje uspešnosti zdravljenja, je Vrhovno sodišče zaključilo, da smrti sina pritožnikov dejansko ne bi bilo mogoče preprečiti, tudi če bi dr. D. ravnal</w:t>
      </w:r>
      <w:r w:rsidR="00C00184">
        <w:rPr>
          <w:lang w:val="sl"/>
        </w:rPr>
        <w:t>a</w:t>
      </w:r>
      <w:r>
        <w:rPr>
          <w:lang w:val="sl"/>
        </w:rPr>
        <w:t xml:space="preserve"> drugače, in da zdravni</w:t>
      </w:r>
      <w:r w:rsidR="00C00184">
        <w:rPr>
          <w:lang w:val="sl"/>
        </w:rPr>
        <w:t>čine</w:t>
      </w:r>
      <w:r>
        <w:rPr>
          <w:lang w:val="sl"/>
        </w:rPr>
        <w:t xml:space="preserve"> opustitve zato ni mogoče šteti za pravno relevanten vzrok smrti X.</w:t>
      </w:r>
    </w:p>
    <w:bookmarkStart w:id="4" w:name="constitutionalcomplaint"/>
    <w:p w14:paraId="4CDCEBE4"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bookmarkEnd w:id="4"/>
      <w:r>
        <w:rPr>
          <w:lang w:val="sl"/>
        </w:rPr>
        <w:t>.  7. marca 2016 sta pritožnika vložila ustavno pritožbo zoper sodbo Vrhovnega sodišča.</w:t>
      </w:r>
    </w:p>
    <w:bookmarkStart w:id="5" w:name="ConstitutionalCourt"/>
    <w:p w14:paraId="525254E8"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bookmarkEnd w:id="5"/>
      <w:r>
        <w:rPr>
          <w:lang w:val="sl"/>
        </w:rPr>
        <w:t>.  Ustavno sodišče je 4. junija 2018 zavrnilo sprejetje ustavne pritožbe, ki sta jo v obravnavo vložila pritožnika.</w:t>
      </w:r>
    </w:p>
    <w:p w14:paraId="3B902245" w14:textId="77777777" w:rsidR="00671CB5" w:rsidRPr="008664C4" w:rsidRDefault="00671CB5" w:rsidP="008664C4">
      <w:pPr>
        <w:pStyle w:val="JuHA"/>
      </w:pPr>
      <w:r>
        <w:rPr>
          <w:lang w:val="sl"/>
        </w:rPr>
        <w:t>Upoštevani domača zakonodaja in praksa</w:t>
      </w:r>
    </w:p>
    <w:bookmarkStart w:id="6" w:name="civilliability"/>
    <w:p w14:paraId="237F90AD" w14:textId="34B6B920"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bookmarkEnd w:id="6"/>
      <w:r>
        <w:rPr>
          <w:lang w:val="sl"/>
        </w:rPr>
        <w:t xml:space="preserve">.  V skladu z določbami Obligacijskega zakonika (Uradni list št. 97/07 z ustreznimi spremembami) so zdravstvene ustanove in njihovi zaposleni odgovorni za premoženjsko in nepremoženjsko škodo, ki je posledica bolnikove smrti zaradi medicinske napake. Delodajalec lahko nosi civilno odgovornost za svoja dejanja ali opustitve ali posredno odgovornost za škodo, ki jo povzročijo zaposleni, pod pogojem, da je smrt ali poškodba posledica nespoštovanja ustreznih standardov oskrbe s strani delavca. Zaposleni so neposredno odgovorni za smrt ali poškodbo po civilni zakonodaji le, če je povzročena namerno. Vendar ima delodajalec pravico vložiti </w:t>
      </w:r>
      <w:r w:rsidR="00545AC4">
        <w:rPr>
          <w:lang w:val="sl"/>
        </w:rPr>
        <w:t xml:space="preserve">zoper zaposlenega </w:t>
      </w:r>
      <w:r w:rsidRPr="00545AC4">
        <w:rPr>
          <w:lang w:val="sl"/>
        </w:rPr>
        <w:t xml:space="preserve">zahtevek za </w:t>
      </w:r>
      <w:r w:rsidR="00545AC4" w:rsidRPr="00545AC4">
        <w:rPr>
          <w:lang w:val="sl"/>
        </w:rPr>
        <w:t>povračilo škode</w:t>
      </w:r>
      <w:r>
        <w:rPr>
          <w:lang w:val="sl"/>
        </w:rPr>
        <w:t xml:space="preserve">, če je smrt ali poškodba bila </w:t>
      </w:r>
      <w:r>
        <w:rPr>
          <w:lang w:val="sl"/>
        </w:rPr>
        <w:lastRenderedPageBreak/>
        <w:t xml:space="preserve">povzročena zaradi hude malomarnosti slednjega (glej </w:t>
      </w:r>
      <w:r>
        <w:rPr>
          <w:i/>
          <w:iCs/>
          <w:lang w:val="sl"/>
        </w:rPr>
        <w:t>Šilih proti Sloveniji</w:t>
      </w:r>
      <w:r>
        <w:rPr>
          <w:lang w:val="sl"/>
        </w:rPr>
        <w:t xml:space="preserve"> [VS, št. 71463/01, 95. odstavek, 9. april 2009).</w:t>
      </w:r>
    </w:p>
    <w:bookmarkStart w:id="7" w:name="Act2006"/>
    <w:p w14:paraId="6FDE0DFE"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bookmarkEnd w:id="7"/>
      <w:r>
        <w:rPr>
          <w:lang w:val="sl"/>
        </w:rPr>
        <w:t xml:space="preserve">.  Zakon o varstvu pravice do sojenja brez nepotrebnega odlašanja (Uradni list, št. 49/06 – "zakon iz leta 2006") je začel veljati 1. januarja 2007. Zakon predvideva dve pravni sredstvi za pospešitev obravnavanih zadev – nadzorstveno pritožbo in rokovni predlog – ter, končno, zahtevo za pravično zadoščenje za škodo, prestano zaradi nepotrebnega odlašanja. Za podrobno predstavitev zakona iz leta 2006 glej </w:t>
      </w:r>
      <w:r>
        <w:rPr>
          <w:i/>
          <w:iCs/>
          <w:lang w:val="sl"/>
        </w:rPr>
        <w:t>Žunič proti Sloveniji</w:t>
      </w:r>
      <w:r>
        <w:rPr>
          <w:lang w:val="sl"/>
        </w:rPr>
        <w:t xml:space="preserve"> (</w:t>
      </w:r>
      <w:proofErr w:type="spellStart"/>
      <w:r>
        <w:rPr>
          <w:lang w:val="sl"/>
        </w:rPr>
        <w:t>odl</w:t>
      </w:r>
      <w:proofErr w:type="spellEnd"/>
      <w:r>
        <w:rPr>
          <w:lang w:val="sl"/>
        </w:rPr>
        <w:t>.), št. 24342/04, 17.–26. odstavek, 18. oktober 2007.</w:t>
      </w:r>
    </w:p>
    <w:bookmarkStart w:id="8" w:name="caselaw"/>
    <w:p w14:paraId="34CBBE9D" w14:textId="77777777" w:rsidR="00671CB5" w:rsidRPr="008664C4" w:rsidRDefault="00671CB5" w:rsidP="008664C4">
      <w:pPr>
        <w:pStyle w:val="JuPara"/>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8"/>
      <w:r>
        <w:rPr>
          <w:lang w:val="sl"/>
        </w:rPr>
        <w:t>.  </w:t>
      </w:r>
      <w:r w:rsidRPr="00F7328F">
        <w:rPr>
          <w:lang w:val="sl"/>
        </w:rPr>
        <w:t>Vrhovno sodišče je 20. novembra 2008 potrdilo sodbo, s katero je ugodilo tožbi tožnika, za katerega je bilo ugotovljeno, da je z zadostno mero verjetnosti dokazal, da je zapozneli odziv zaposlenih v bolnišnici v primeru zdravniške malomarnosti v pravno pomembnem obsegu povečal možnosti za nastanek škode</w:t>
      </w:r>
      <w:r>
        <w:rPr>
          <w:lang w:val="sl"/>
        </w:rPr>
        <w:t xml:space="preserve"> (št. II </w:t>
      </w:r>
      <w:proofErr w:type="spellStart"/>
      <w:r>
        <w:rPr>
          <w:lang w:val="sl"/>
        </w:rPr>
        <w:t>Ips</w:t>
      </w:r>
      <w:proofErr w:type="spellEnd"/>
      <w:r>
        <w:rPr>
          <w:lang w:val="sl"/>
        </w:rPr>
        <w:t xml:space="preserve"> 671/2008). Vrhovno sodišče je poudarilo, da je bil dokazni standard nižji, kadar je specifičnost ali narava upoštevnega dejstva bila takšna, da bi bilo to z gotovostjo nemogoče dokazati. Dokazni standard, ki ga je Vrhovno sodišče uporabilo v praksi v tej vrsti zadeve, je izkazoval zadostno verjetnost. Višje sodišče v Ljubljani je 12. julija 2017, ob sklicevanju na sodno prakso Vrhovnega sodišča ponovno poudarilo, da se je </w:t>
      </w:r>
      <w:bookmarkStart w:id="9" w:name="_Hlk68102950"/>
      <w:r>
        <w:rPr>
          <w:lang w:val="sl"/>
        </w:rPr>
        <w:t xml:space="preserve">v primerih zdravniške malomarnosti, ki se nanašajo na hipotetične situacije, štelo, da je tožnik zadostil dokaznemu bremenu, če je dokazal, da je dejanje, ki ga je zdravnik opustil, bilo takšno, da bi preprečilo nastanek škode v znatni (nezanemarljivi) meri </w:t>
      </w:r>
      <w:bookmarkEnd w:id="9"/>
      <w:r>
        <w:rPr>
          <w:lang w:val="sl"/>
        </w:rPr>
        <w:t xml:space="preserve">(št. II </w:t>
      </w:r>
      <w:proofErr w:type="spellStart"/>
      <w:r>
        <w:rPr>
          <w:lang w:val="sl"/>
        </w:rPr>
        <w:t>Cp</w:t>
      </w:r>
      <w:proofErr w:type="spellEnd"/>
      <w:r>
        <w:rPr>
          <w:lang w:val="sl"/>
        </w:rPr>
        <w:t xml:space="preserve"> 658/2017).</w:t>
      </w:r>
    </w:p>
    <w:p w14:paraId="075C51E6" w14:textId="77777777" w:rsidR="00671CB5" w:rsidRPr="008664C4" w:rsidRDefault="00671CB5" w:rsidP="008664C4">
      <w:pPr>
        <w:pStyle w:val="JuHHead"/>
      </w:pPr>
      <w:r>
        <w:rPr>
          <w:bCs w:val="0"/>
          <w:lang w:val="sl"/>
        </w:rPr>
        <w:t>PRITOŽBI</w:t>
      </w:r>
    </w:p>
    <w:p w14:paraId="7BBE9541" w14:textId="77777777" w:rsidR="00671CB5" w:rsidRPr="008664C4" w:rsidRDefault="00671CB5" w:rsidP="008664C4">
      <w:pPr>
        <w:pStyle w:val="JuPara"/>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Pritožnika sta se pritožila v skladu z 2. členom in prvim odstavkom 6. člena Konvencije, da stališče Vrhovnega sodišča o odsotnosti vzročne zveze med zdravnikovo napako in smrtjo njunega sina ter s tem povezanim standardom in dokaznim bremenom, ki je bilo naloženo pritožnikoma, ni v zadostni meri upoštevalo pravice njunega sina do življenja.</w:t>
      </w:r>
    </w:p>
    <w:p w14:paraId="5970E15D"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r>
        <w:rPr>
          <w:lang w:val="sl"/>
        </w:rPr>
        <w:t>.  Poleg tega sta se pritožila, da je dolžina civilnega postopka kršila prvi odstavek 6. člena Konvencije.</w:t>
      </w:r>
    </w:p>
    <w:p w14:paraId="5A828546" w14:textId="77777777" w:rsidR="00671CB5" w:rsidRPr="008664C4" w:rsidRDefault="00671CB5" w:rsidP="008664C4">
      <w:pPr>
        <w:pStyle w:val="JuHHead"/>
      </w:pPr>
      <w:r>
        <w:rPr>
          <w:bCs w:val="0"/>
          <w:lang w:val="sl"/>
        </w:rPr>
        <w:t>PRAVO</w:t>
      </w:r>
    </w:p>
    <w:p w14:paraId="5C3FBC20" w14:textId="77777777" w:rsidR="00671CB5" w:rsidRPr="008664C4" w:rsidRDefault="00671CB5" w:rsidP="008664C4">
      <w:pPr>
        <w:pStyle w:val="JuHA"/>
      </w:pPr>
      <w:r>
        <w:rPr>
          <w:lang w:val="sl"/>
        </w:rPr>
        <w:t>Združitev pritožb</w:t>
      </w:r>
    </w:p>
    <w:p w14:paraId="1420EE78"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Glede na podobno vsebino pritožb se Sodišču zdi primerno, da ju preuči skupaj v eni sodbi.</w:t>
      </w:r>
    </w:p>
    <w:p w14:paraId="4E693913" w14:textId="77777777" w:rsidR="00671CB5" w:rsidRPr="00342ECF" w:rsidRDefault="00671CB5" w:rsidP="008664C4">
      <w:pPr>
        <w:pStyle w:val="JuHA"/>
        <w:rPr>
          <w:lang w:val="it-IT"/>
        </w:rPr>
      </w:pPr>
      <w:r>
        <w:rPr>
          <w:lang w:val="sl"/>
        </w:rPr>
        <w:lastRenderedPageBreak/>
        <w:t>Pritožbi na podlagi 2. člena in prvega odstavka 6. člena Konvencije v zvezi z odločitvijo Vrhovnega sodišča</w:t>
      </w:r>
    </w:p>
    <w:p w14:paraId="35BF72AF"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xml:space="preserve">.  Pritožnika sta se pritožila v skladu z 2. členom in prvim odstavkom 6. člena Konvencije, da je stališče Vrhovnega sodišča glede odsotnosti vzročne zveze med smrtjo njunega sina in zdravnikovo malomarnostjo kršilo pravico njunega sina do življenja. Sodišče </w:t>
      </w:r>
      <w:r w:rsidRPr="003B5C06">
        <w:rPr>
          <w:lang w:val="sl"/>
        </w:rPr>
        <w:t xml:space="preserve">kot glavni </w:t>
      </w:r>
      <w:proofErr w:type="spellStart"/>
      <w:r w:rsidRPr="003B5C06">
        <w:rPr>
          <w:lang w:val="sl"/>
        </w:rPr>
        <w:t>opredeljevalec</w:t>
      </w:r>
      <w:proofErr w:type="spellEnd"/>
      <w:r w:rsidRPr="003B5C06">
        <w:rPr>
          <w:lang w:val="sl"/>
        </w:rPr>
        <w:t xml:space="preserve"> dejstev,</w:t>
      </w:r>
      <w:r>
        <w:rPr>
          <w:lang w:val="sl"/>
        </w:rPr>
        <w:t xml:space="preserve"> ki jih je v pravu treba opredeliti v vsaki obravnavani zadevi (glej </w:t>
      </w:r>
      <w:proofErr w:type="spellStart"/>
      <w:r>
        <w:rPr>
          <w:i/>
          <w:iCs/>
          <w:lang w:val="sl"/>
        </w:rPr>
        <w:t>Radomilja</w:t>
      </w:r>
      <w:proofErr w:type="spellEnd"/>
      <w:r>
        <w:rPr>
          <w:i/>
          <w:iCs/>
          <w:lang w:val="sl"/>
        </w:rPr>
        <w:t xml:space="preserve"> in drugi proti Hrvaški</w:t>
      </w:r>
      <w:r>
        <w:rPr>
          <w:lang w:val="sl"/>
        </w:rPr>
        <w:t xml:space="preserve"> [VS], št. 37685/10 in 22768/12, 114. odstavek, ESČP 2018), bo preučilo te očitke samo z vidika 2. člena Konvencije (glej </w:t>
      </w:r>
      <w:proofErr w:type="spellStart"/>
      <w:r>
        <w:rPr>
          <w:i/>
          <w:iCs/>
          <w:lang w:val="sl"/>
        </w:rPr>
        <w:t>Altuğ</w:t>
      </w:r>
      <w:proofErr w:type="spellEnd"/>
      <w:r>
        <w:rPr>
          <w:i/>
          <w:iCs/>
          <w:lang w:val="sl"/>
        </w:rPr>
        <w:t> in drugi proti Turčiji</w:t>
      </w:r>
      <w:r>
        <w:rPr>
          <w:lang w:val="sl"/>
        </w:rPr>
        <w:t>, št. 32086/07, 47. odstavek, 30. junij 2015). Ta določba se v ustreznem delu glasi:</w:t>
      </w:r>
    </w:p>
    <w:p w14:paraId="0C9F62D1" w14:textId="77777777" w:rsidR="00671CB5" w:rsidRPr="00342ECF" w:rsidRDefault="00671CB5" w:rsidP="008664C4">
      <w:pPr>
        <w:pStyle w:val="JuHArticle"/>
        <w:rPr>
          <w:lang w:val="sl"/>
        </w:rPr>
      </w:pPr>
      <w:r>
        <w:rPr>
          <w:bCs/>
          <w:lang w:val="sl"/>
        </w:rPr>
        <w:t>2. člen</w:t>
      </w:r>
    </w:p>
    <w:p w14:paraId="599EAB17" w14:textId="77777777" w:rsidR="00671CB5" w:rsidRPr="00342ECF" w:rsidRDefault="00671CB5" w:rsidP="008664C4">
      <w:pPr>
        <w:pStyle w:val="JuQuot"/>
        <w:rPr>
          <w:lang w:val="it-IT"/>
        </w:rPr>
      </w:pPr>
      <w:r>
        <w:rPr>
          <w:lang w:val="sl"/>
        </w:rPr>
        <w:t>"1.  Pravica vsakogar do življenja je zavarovana z zakonom. Nikomur ne sme biti življenje odvzeto, ..."</w:t>
      </w:r>
    </w:p>
    <w:p w14:paraId="37166FEA" w14:textId="77777777" w:rsidR="00671CB5" w:rsidRPr="008664C4" w:rsidRDefault="00671CB5" w:rsidP="008664C4">
      <w:pPr>
        <w:pStyle w:val="JuH1"/>
      </w:pPr>
      <w:r>
        <w:rPr>
          <w:bCs w:val="0"/>
          <w:lang w:val="sl"/>
        </w:rPr>
        <w:t>Navedbe strank</w:t>
      </w:r>
    </w:p>
    <w:p w14:paraId="72D046B0" w14:textId="77777777" w:rsidR="00671CB5" w:rsidRPr="008664C4" w:rsidRDefault="00671CB5" w:rsidP="008664C4">
      <w:pPr>
        <w:pStyle w:val="JuHa0"/>
      </w:pPr>
      <w:r>
        <w:rPr>
          <w:lang w:val="sl"/>
        </w:rPr>
        <w:t>Pritožnika</w:t>
      </w:r>
    </w:p>
    <w:bookmarkStart w:id="10" w:name="APParticle2"/>
    <w:p w14:paraId="3B34B03E" w14:textId="581508D4"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bookmarkEnd w:id="10"/>
      <w:r>
        <w:rPr>
          <w:lang w:val="sl"/>
        </w:rPr>
        <w:t xml:space="preserve">.  Pritožnika sta trdila, da je bilo stališče Vrhovnega sodišča glede odsotnosti vzročne zveze (ki temelji na predpostavki, da je bilo zdravljenje brez pomena, ko je bila možnost preživetja bolnika statistično nepomembna) škodljivo za </w:t>
      </w:r>
      <w:r w:rsidRPr="003B5C06">
        <w:rPr>
          <w:lang w:val="sl"/>
        </w:rPr>
        <w:t xml:space="preserve">splošno </w:t>
      </w:r>
      <w:r w:rsidR="003B5C06">
        <w:rPr>
          <w:lang w:val="sl"/>
        </w:rPr>
        <w:t>varnost</w:t>
      </w:r>
      <w:r>
        <w:rPr>
          <w:lang w:val="sl"/>
        </w:rPr>
        <w:t xml:space="preserve">. Po njunem mnenju je razlaga, da zdravstvene ustanove </w:t>
      </w:r>
      <w:r w:rsidR="00663128" w:rsidRPr="003B5C06">
        <w:rPr>
          <w:lang w:val="sl"/>
        </w:rPr>
        <w:t xml:space="preserve">v primeru, ko je </w:t>
      </w:r>
      <w:r w:rsidR="0019026F" w:rsidRPr="003B5C06">
        <w:rPr>
          <w:lang w:val="sl"/>
        </w:rPr>
        <w:t xml:space="preserve">možnost </w:t>
      </w:r>
      <w:r w:rsidR="00663128" w:rsidRPr="003B5C06">
        <w:rPr>
          <w:lang w:val="sl"/>
        </w:rPr>
        <w:t>preživetja nizka</w:t>
      </w:r>
      <w:r w:rsidR="00663128">
        <w:rPr>
          <w:lang w:val="sl"/>
        </w:rPr>
        <w:t>,</w:t>
      </w:r>
      <w:r>
        <w:rPr>
          <w:lang w:val="sl"/>
        </w:rPr>
        <w:t xml:space="preserve"> niso bile obvezane k enakim prizadevanjem za okrevanje ali celo preživetje bolnika, kršila 2. člen konvencije. Pritožnika, ki sta podprla zaključke Višjega sodišča (glej 9. </w:t>
      </w:r>
      <w:r>
        <w:rPr>
          <w:lang w:val="sl"/>
        </w:rPr>
        <w:fldChar w:fldCharType="begin"/>
      </w:r>
      <w:r>
        <w:rPr>
          <w:lang w:val="sl"/>
        </w:rPr>
        <w:instrText xml:space="preserve"> REF highercourtjudgment \h </w:instrText>
      </w:r>
      <w:r>
        <w:rPr>
          <w:lang w:val="sl"/>
        </w:rPr>
      </w:r>
      <w:r>
        <w:rPr>
          <w:lang w:val="sl"/>
        </w:rPr>
        <w:fldChar w:fldCharType="separate"/>
      </w:r>
      <w:r>
        <w:rPr>
          <w:noProof/>
          <w:lang w:val="sl"/>
        </w:rPr>
        <w:t>odstavek</w:t>
      </w:r>
      <w:r>
        <w:rPr>
          <w:lang w:val="sl"/>
        </w:rPr>
        <w:fldChar w:fldCharType="end"/>
      </w:r>
      <w:r>
        <w:rPr>
          <w:lang w:val="sl"/>
        </w:rPr>
        <w:t xml:space="preserve"> zgoraj), sta trdila, da bi moralo biti dokazno breme, </w:t>
      </w:r>
      <w:r w:rsidR="00C154B3" w:rsidRPr="003B5C06">
        <w:rPr>
          <w:lang w:val="sl"/>
        </w:rPr>
        <w:t xml:space="preserve">ko sta </w:t>
      </w:r>
      <w:r w:rsidRPr="003B5C06">
        <w:rPr>
          <w:lang w:val="sl"/>
        </w:rPr>
        <w:t xml:space="preserve"> dokazala</w:t>
      </w:r>
      <w:r>
        <w:rPr>
          <w:lang w:val="sl"/>
        </w:rPr>
        <w:t xml:space="preserve"> možnost preživetja svojega sina, preiti na zdravstveno ustanovo, ki </w:t>
      </w:r>
      <w:r w:rsidR="00C154B3" w:rsidRPr="003B5C06">
        <w:rPr>
          <w:lang w:val="sl"/>
        </w:rPr>
        <w:t>pa</w:t>
      </w:r>
      <w:r w:rsidR="00C154B3">
        <w:rPr>
          <w:lang w:val="sl"/>
        </w:rPr>
        <w:t xml:space="preserve"> </w:t>
      </w:r>
      <w:r w:rsidR="003B5C06">
        <w:rPr>
          <w:lang w:val="sl"/>
        </w:rPr>
        <w:t xml:space="preserve">svojemu dokaznemu bremenu </w:t>
      </w:r>
      <w:r>
        <w:rPr>
          <w:lang w:val="sl"/>
        </w:rPr>
        <w:t>ni zadostila (da dokaže, da bi X umrl, tudi če bi zdravnik ravnal v skladu s pravili).</w:t>
      </w:r>
    </w:p>
    <w:p w14:paraId="6F5A2059" w14:textId="77777777" w:rsidR="00671CB5" w:rsidRPr="008664C4" w:rsidRDefault="00671CB5" w:rsidP="008664C4">
      <w:pPr>
        <w:pStyle w:val="JuHa0"/>
      </w:pPr>
      <w:r>
        <w:rPr>
          <w:lang w:val="sl"/>
        </w:rPr>
        <w:t>Vlada</w:t>
      </w:r>
    </w:p>
    <w:bookmarkStart w:id="11" w:name="GOVarticle2caselaw"/>
    <w:p w14:paraId="6F97F0C3" w14:textId="1192172B" w:rsidR="00671CB5" w:rsidRPr="00C154B3"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bookmarkEnd w:id="11"/>
      <w:r>
        <w:rPr>
          <w:lang w:val="sl"/>
        </w:rPr>
        <w:t xml:space="preserve">.  Vlada je trdila, da Obligacijski zakonik zagotavlja učinkovito sodno varstvo pravice do življenja, kar potrjujejo številne sodne odločbe, v katerih so slovenska sodišča ugotovila odgovornost zdravnikov in/ali zdravstvenih ustanov in, kadar je bila takšna odgovornost ugotovljena, </w:t>
      </w:r>
      <w:r w:rsidR="00C154B3">
        <w:rPr>
          <w:lang w:val="sl"/>
        </w:rPr>
        <w:t xml:space="preserve">so </w:t>
      </w:r>
      <w:r>
        <w:rPr>
          <w:lang w:val="sl"/>
        </w:rPr>
        <w:t>dodelila tudi odškodnino.</w:t>
      </w:r>
    </w:p>
    <w:bookmarkStart w:id="12" w:name="GOVArticle2SCview"/>
    <w:p w14:paraId="32FC618D" w14:textId="6DDC801C"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bookmarkEnd w:id="12"/>
      <w:r>
        <w:rPr>
          <w:lang w:val="sl"/>
        </w:rPr>
        <w:t xml:space="preserve">.  Kar zadeva stališče Vrhovnega sodišča, je vlada ponovno poudarila, da je oškodovanec, da bi uspel z odškodninskim zahtevkom, </w:t>
      </w:r>
      <w:r w:rsidRPr="00186AE0">
        <w:rPr>
          <w:lang w:val="sl"/>
        </w:rPr>
        <w:t>moral zahtevati</w:t>
      </w:r>
      <w:r>
        <w:rPr>
          <w:lang w:val="sl"/>
        </w:rPr>
        <w:t xml:space="preserve"> in dokazati obstoj vseh elementov </w:t>
      </w:r>
      <w:r w:rsidR="00C154B3" w:rsidRPr="00186AE0">
        <w:rPr>
          <w:lang w:val="sl"/>
        </w:rPr>
        <w:t>odškodninske odgovornosti</w:t>
      </w:r>
      <w:r>
        <w:rPr>
          <w:lang w:val="sl"/>
        </w:rPr>
        <w:t xml:space="preserve">. Dokazno breme v zvezi s temi elementi, vključno z vzročno zvezo, je bilo na tožniku. </w:t>
      </w:r>
      <w:bookmarkStart w:id="13" w:name="_Hlk68101906"/>
      <w:r>
        <w:rPr>
          <w:lang w:val="sl"/>
        </w:rPr>
        <w:t xml:space="preserve">V skladu s sodno prakso je bilo tožnikovemu dokaznemu bremenu zadoščeno, če je trdil in dokazal, da je bilo dejanje, ki ga je zdravnik zaradi </w:t>
      </w:r>
      <w:r>
        <w:rPr>
          <w:lang w:val="sl"/>
        </w:rPr>
        <w:lastRenderedPageBreak/>
        <w:t xml:space="preserve">kršitve obveznosti dolžne skrbnosti opustil, samo po sebi takšno, da je preprečevalo nastanek škode v znatni (nezanemarljivi) meri (glej 16. </w:t>
      </w:r>
      <w:r>
        <w:rPr>
          <w:lang w:val="sl"/>
        </w:rPr>
        <w:fldChar w:fldCharType="begin"/>
      </w:r>
      <w:r>
        <w:rPr>
          <w:lang w:val="sl"/>
        </w:rPr>
        <w:instrText xml:space="preserve"> REF caselaw \h </w:instrText>
      </w:r>
      <w:r>
        <w:rPr>
          <w:lang w:val="sl"/>
        </w:rPr>
      </w:r>
      <w:r>
        <w:rPr>
          <w:lang w:val="sl"/>
        </w:rPr>
        <w:fldChar w:fldCharType="separate"/>
      </w:r>
      <w:r>
        <w:rPr>
          <w:noProof/>
          <w:lang w:val="sl"/>
        </w:rPr>
        <w:t>odstavek</w:t>
      </w:r>
      <w:r>
        <w:rPr>
          <w:lang w:val="sl"/>
        </w:rPr>
        <w:fldChar w:fldCharType="end"/>
      </w:r>
      <w:r>
        <w:rPr>
          <w:lang w:val="sl"/>
        </w:rPr>
        <w:t xml:space="preserve"> zgoraj). </w:t>
      </w:r>
      <w:bookmarkEnd w:id="13"/>
      <w:r>
        <w:rPr>
          <w:lang w:val="sl"/>
        </w:rPr>
        <w:t xml:space="preserve">Verjetnost, </w:t>
      </w:r>
      <w:r w:rsidR="00C154B3">
        <w:rPr>
          <w:lang w:val="sl"/>
        </w:rPr>
        <w:t>ali</w:t>
      </w:r>
      <w:r>
        <w:rPr>
          <w:lang w:val="sl"/>
        </w:rPr>
        <w:t xml:space="preserve"> bi dolžna skrbnost zdravnika preprečila škodo, je </w:t>
      </w:r>
      <w:r w:rsidR="00C154B3">
        <w:rPr>
          <w:lang w:val="sl"/>
        </w:rPr>
        <w:t>bilo zdravniško</w:t>
      </w:r>
      <w:r>
        <w:rPr>
          <w:lang w:val="sl"/>
        </w:rPr>
        <w:t xml:space="preserve"> vprašanje, ki so ga domača sodišča </w:t>
      </w:r>
      <w:r w:rsidR="00C154B3" w:rsidRPr="00186AE0">
        <w:rPr>
          <w:lang w:val="sl"/>
        </w:rPr>
        <w:t>ugotovila</w:t>
      </w:r>
      <w:r>
        <w:rPr>
          <w:lang w:val="sl"/>
        </w:rPr>
        <w:t xml:space="preserve"> s pomočjo izvedenca medicinske stroke, ki je potrdil, da četudi bi zdravni</w:t>
      </w:r>
      <w:r w:rsidR="00C154B3">
        <w:rPr>
          <w:lang w:val="sl"/>
        </w:rPr>
        <w:t>ca</w:t>
      </w:r>
      <w:r>
        <w:rPr>
          <w:lang w:val="sl"/>
        </w:rPr>
        <w:t xml:space="preserve"> ravnal</w:t>
      </w:r>
      <w:r w:rsidR="00C154B3">
        <w:rPr>
          <w:lang w:val="sl"/>
        </w:rPr>
        <w:t>a</w:t>
      </w:r>
      <w:r>
        <w:rPr>
          <w:lang w:val="sl"/>
        </w:rPr>
        <w:t xml:space="preserve"> drugače, X-ove smrti v resnici ne bi bilo mogoče preprečiti. Iz tega razloga ne bi bilo upravičeno ugotoviti zdravni</w:t>
      </w:r>
      <w:r w:rsidR="00C154B3">
        <w:rPr>
          <w:lang w:val="sl"/>
        </w:rPr>
        <w:t>čine</w:t>
      </w:r>
      <w:r>
        <w:rPr>
          <w:lang w:val="sl"/>
        </w:rPr>
        <w:t xml:space="preserve"> opustitve dolžnega ukrepanja kot pravno pomembnega vzroka smrti (poleg jasnega naravnega vzroka).</w:t>
      </w:r>
    </w:p>
    <w:p w14:paraId="173729AE" w14:textId="77777777" w:rsidR="00671CB5" w:rsidRPr="008664C4" w:rsidRDefault="00671CB5" w:rsidP="008664C4">
      <w:pPr>
        <w:pStyle w:val="JuH1"/>
      </w:pPr>
      <w:r>
        <w:rPr>
          <w:bCs w:val="0"/>
          <w:lang w:val="sl"/>
        </w:rPr>
        <w:t>Presoja sodišča</w:t>
      </w:r>
    </w:p>
    <w:p w14:paraId="3A46A851" w14:textId="77777777" w:rsidR="00671CB5" w:rsidRPr="008664C4" w:rsidRDefault="00671CB5" w:rsidP="008664C4">
      <w:pPr>
        <w:pStyle w:val="JuHa0"/>
      </w:pPr>
      <w:r>
        <w:rPr>
          <w:lang w:val="sl"/>
        </w:rPr>
        <w:t>Ustrezna načela</w:t>
      </w:r>
    </w:p>
    <w:p w14:paraId="43B3F66E" w14:textId="5C1E5982"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r>
        <w:rPr>
          <w:lang w:val="sl"/>
        </w:rPr>
        <w:t>.  Sodišče je že večkrat razsodilo, da imajo države pogodbenice po 2. členu konvencije pozitivno obveznost, da vzpostavijo učinkovit neodvisen pravni sistem</w:t>
      </w:r>
      <w:r w:rsidR="00C154B3">
        <w:rPr>
          <w:lang w:val="sl"/>
        </w:rPr>
        <w:t>,</w:t>
      </w:r>
      <w:r w:rsidR="00211498">
        <w:rPr>
          <w:lang w:val="sl"/>
        </w:rPr>
        <w:t xml:space="preserve"> v katerem</w:t>
      </w:r>
      <w:r>
        <w:rPr>
          <w:lang w:val="sl"/>
        </w:rPr>
        <w:t xml:space="preserve"> se lahko ugotovi vzrok smrti bolnikov v zdravstveni </w:t>
      </w:r>
      <w:r w:rsidR="00211498">
        <w:rPr>
          <w:lang w:val="sl"/>
        </w:rPr>
        <w:t xml:space="preserve">oskrbi ter tudi ugotovi, kdo so </w:t>
      </w:r>
      <w:r>
        <w:rPr>
          <w:lang w:val="sl"/>
        </w:rPr>
        <w:t xml:space="preserve">odgovorne osebe (glej </w:t>
      </w:r>
      <w:proofErr w:type="spellStart"/>
      <w:r>
        <w:rPr>
          <w:i/>
          <w:iCs/>
          <w:lang w:val="sl"/>
        </w:rPr>
        <w:t>Powell</w:t>
      </w:r>
      <w:proofErr w:type="spellEnd"/>
      <w:r>
        <w:rPr>
          <w:i/>
          <w:iCs/>
          <w:lang w:val="sl"/>
        </w:rPr>
        <w:t xml:space="preserve"> proti Združenemu kraljestvu</w:t>
      </w:r>
      <w:r>
        <w:rPr>
          <w:lang w:val="sl"/>
        </w:rPr>
        <w:t xml:space="preserve"> (</w:t>
      </w:r>
      <w:proofErr w:type="spellStart"/>
      <w:r>
        <w:rPr>
          <w:lang w:val="sl"/>
        </w:rPr>
        <w:t>odl</w:t>
      </w:r>
      <w:proofErr w:type="spellEnd"/>
      <w:r>
        <w:rPr>
          <w:lang w:val="sl"/>
        </w:rPr>
        <w:t xml:space="preserve">.), št. 45305/99, ESČP 2000-V in </w:t>
      </w:r>
      <w:proofErr w:type="spellStart"/>
      <w:r>
        <w:rPr>
          <w:i/>
          <w:iCs/>
          <w:lang w:val="sl"/>
        </w:rPr>
        <w:t>Calvelli</w:t>
      </w:r>
      <w:proofErr w:type="spellEnd"/>
      <w:r>
        <w:rPr>
          <w:i/>
          <w:iCs/>
          <w:lang w:val="sl"/>
        </w:rPr>
        <w:t xml:space="preserve"> in </w:t>
      </w:r>
      <w:proofErr w:type="spellStart"/>
      <w:r>
        <w:rPr>
          <w:i/>
          <w:iCs/>
          <w:lang w:val="sl"/>
        </w:rPr>
        <w:t>Ciglio</w:t>
      </w:r>
      <w:proofErr w:type="spellEnd"/>
      <w:r>
        <w:rPr>
          <w:i/>
          <w:iCs/>
          <w:lang w:val="sl"/>
        </w:rPr>
        <w:t xml:space="preserve"> proti Italiji</w:t>
      </w:r>
      <w:r>
        <w:rPr>
          <w:lang w:val="sl"/>
        </w:rPr>
        <w:t xml:space="preserve"> [VS], št. 32967/96, 49. odstavek, ESČP 2002-I ). Na posebnem področju zdravniške malomarnosti je ta obveznost izpolnjena, če pravni sistem žrtvam nudi pravno sredstvo na civilnih sodiščih, bodisi samostojno ali v povezavi s pravnim sredstvom na kazenskih sodiščih, ki omogoča določitev kakršne koli odgovornosti vpletenih zdravnikov in ustrezne načine civilne poprave krivic</w:t>
      </w:r>
      <w:r w:rsidR="00186AE0">
        <w:rPr>
          <w:lang w:val="sl"/>
        </w:rPr>
        <w:t xml:space="preserve"> kot</w:t>
      </w:r>
      <w:r>
        <w:rPr>
          <w:lang w:val="sl"/>
        </w:rPr>
        <w:t xml:space="preserve"> </w:t>
      </w:r>
      <w:r w:rsidRPr="00186AE0">
        <w:rPr>
          <w:lang w:val="sl"/>
        </w:rPr>
        <w:t>na primer</w:t>
      </w:r>
      <w:r w:rsidR="00F51574" w:rsidRPr="00186AE0">
        <w:rPr>
          <w:lang w:val="sl"/>
        </w:rPr>
        <w:t xml:space="preserve"> </w:t>
      </w:r>
      <w:r w:rsidR="00186AE0">
        <w:rPr>
          <w:lang w:val="sl"/>
        </w:rPr>
        <w:t xml:space="preserve">pridobitev </w:t>
      </w:r>
      <w:r w:rsidR="00F51574" w:rsidRPr="00186AE0">
        <w:rPr>
          <w:lang w:val="sl"/>
        </w:rPr>
        <w:t>odškodnin</w:t>
      </w:r>
      <w:r w:rsidR="00186AE0">
        <w:rPr>
          <w:lang w:val="sl"/>
        </w:rPr>
        <w:t>e</w:t>
      </w:r>
      <w:r w:rsidRPr="00211498">
        <w:rPr>
          <w:lang w:val="sl"/>
        </w:rPr>
        <w:t xml:space="preserve"> </w:t>
      </w:r>
      <w:r>
        <w:rPr>
          <w:lang w:val="sl"/>
        </w:rPr>
        <w:t xml:space="preserve">(glej </w:t>
      </w:r>
      <w:proofErr w:type="spellStart"/>
      <w:r>
        <w:rPr>
          <w:i/>
          <w:iCs/>
          <w:lang w:val="sl"/>
        </w:rPr>
        <w:t>Calvelli</w:t>
      </w:r>
      <w:proofErr w:type="spellEnd"/>
      <w:r>
        <w:rPr>
          <w:i/>
          <w:iCs/>
          <w:lang w:val="sl"/>
        </w:rPr>
        <w:t xml:space="preserve"> in </w:t>
      </w:r>
      <w:proofErr w:type="spellStart"/>
      <w:r>
        <w:rPr>
          <w:i/>
          <w:iCs/>
          <w:lang w:val="sl"/>
        </w:rPr>
        <w:t>Ciglio</w:t>
      </w:r>
      <w:proofErr w:type="spellEnd"/>
      <w:r>
        <w:rPr>
          <w:lang w:val="sl"/>
        </w:rPr>
        <w:t xml:space="preserve">, navedena zgoraj, 51. odstavek, in </w:t>
      </w:r>
      <w:proofErr w:type="spellStart"/>
      <w:r>
        <w:rPr>
          <w:i/>
          <w:iCs/>
          <w:lang w:val="sl"/>
        </w:rPr>
        <w:t>Colak</w:t>
      </w:r>
      <w:proofErr w:type="spellEnd"/>
      <w:r>
        <w:rPr>
          <w:i/>
          <w:iCs/>
          <w:lang w:val="sl"/>
        </w:rPr>
        <w:t xml:space="preserve"> in </w:t>
      </w:r>
      <w:proofErr w:type="spellStart"/>
      <w:r>
        <w:rPr>
          <w:i/>
          <w:iCs/>
          <w:lang w:val="sl"/>
        </w:rPr>
        <w:t>Tsakiridis</w:t>
      </w:r>
      <w:proofErr w:type="spellEnd"/>
      <w:r>
        <w:rPr>
          <w:i/>
          <w:iCs/>
          <w:lang w:val="sl"/>
        </w:rPr>
        <w:t xml:space="preserve"> proti Nemčiji</w:t>
      </w:r>
      <w:r>
        <w:rPr>
          <w:lang w:val="sl"/>
        </w:rPr>
        <w:t>, št. 77144/01 in 35493/05, 30. odstavek, 5. marec 2009).</w:t>
      </w:r>
    </w:p>
    <w:p w14:paraId="6A01ACFB" w14:textId="15119171"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xml:space="preserve">.  Sodišče tudi poudarja, da ta postopkovna obveznost ni obveznost, </w:t>
      </w:r>
      <w:r w:rsidR="00C154B3">
        <w:rPr>
          <w:lang w:val="sl"/>
        </w:rPr>
        <w:t>rezultata</w:t>
      </w:r>
      <w:r>
        <w:rPr>
          <w:lang w:val="sl"/>
        </w:rPr>
        <w:t>, temveč sredstv</w:t>
      </w:r>
      <w:r w:rsidR="00C154B3">
        <w:rPr>
          <w:lang w:val="sl"/>
        </w:rPr>
        <w:t>a</w:t>
      </w:r>
      <w:r>
        <w:rPr>
          <w:lang w:val="sl"/>
        </w:rPr>
        <w:t xml:space="preserve"> (glej </w:t>
      </w:r>
      <w:proofErr w:type="spellStart"/>
      <w:r>
        <w:rPr>
          <w:i/>
          <w:iCs/>
          <w:lang w:val="sl"/>
        </w:rPr>
        <w:t>Lopes</w:t>
      </w:r>
      <w:proofErr w:type="spellEnd"/>
      <w:r>
        <w:rPr>
          <w:i/>
          <w:iCs/>
          <w:lang w:val="sl"/>
        </w:rPr>
        <w:t xml:space="preserve"> de </w:t>
      </w:r>
      <w:proofErr w:type="spellStart"/>
      <w:r>
        <w:rPr>
          <w:i/>
          <w:iCs/>
          <w:lang w:val="sl"/>
        </w:rPr>
        <w:t>Sousa</w:t>
      </w:r>
      <w:proofErr w:type="spellEnd"/>
      <w:r>
        <w:rPr>
          <w:i/>
          <w:iCs/>
          <w:lang w:val="sl"/>
        </w:rPr>
        <w:t xml:space="preserve"> </w:t>
      </w:r>
      <w:proofErr w:type="spellStart"/>
      <w:r>
        <w:rPr>
          <w:i/>
          <w:iCs/>
          <w:lang w:val="sl"/>
        </w:rPr>
        <w:t>Fernandes</w:t>
      </w:r>
      <w:proofErr w:type="spellEnd"/>
      <w:r>
        <w:rPr>
          <w:i/>
          <w:iCs/>
          <w:lang w:val="sl"/>
        </w:rPr>
        <w:t xml:space="preserve"> proti Portugalski</w:t>
      </w:r>
      <w:r>
        <w:rPr>
          <w:lang w:val="sl"/>
        </w:rPr>
        <w:t xml:space="preserve"> [VS], št. 56080/13, 221. odstavek, 19. december 2017). Tako zgolj dejstvo, da so se postopki v zvezi z zdravniško malomarnostjo za zadevno osebo končali neugodno, samo po sebi še ne pomeni, da je tožena država kršila svoje pozitivne obveznosti iz 2. člena Konvencije (glej </w:t>
      </w:r>
      <w:r>
        <w:rPr>
          <w:i/>
          <w:iCs/>
          <w:lang w:val="sl"/>
        </w:rPr>
        <w:t>Besen proti Turčiji</w:t>
      </w:r>
      <w:r>
        <w:rPr>
          <w:lang w:val="sl"/>
        </w:rPr>
        <w:t xml:space="preserve"> (</w:t>
      </w:r>
      <w:proofErr w:type="spellStart"/>
      <w:r>
        <w:rPr>
          <w:lang w:val="sl"/>
        </w:rPr>
        <w:t>odl</w:t>
      </w:r>
      <w:proofErr w:type="spellEnd"/>
      <w:r>
        <w:rPr>
          <w:lang w:val="sl"/>
        </w:rPr>
        <w:t xml:space="preserve">.), Št. 48915/09, 38. odstavek </w:t>
      </w:r>
      <w:r>
        <w:rPr>
          <w:i/>
          <w:iCs/>
          <w:lang w:val="sl"/>
        </w:rPr>
        <w:t>in fine</w:t>
      </w:r>
      <w:r>
        <w:rPr>
          <w:lang w:val="sl"/>
        </w:rPr>
        <w:t xml:space="preserve">, 19. junij 2012, in </w:t>
      </w:r>
      <w:r>
        <w:rPr>
          <w:i/>
          <w:iCs/>
          <w:lang w:val="sl"/>
        </w:rPr>
        <w:t>E.M. in drugi proti Romuniji</w:t>
      </w:r>
      <w:r>
        <w:rPr>
          <w:lang w:val="sl"/>
        </w:rPr>
        <w:t xml:space="preserve"> (</w:t>
      </w:r>
      <w:proofErr w:type="spellStart"/>
      <w:r>
        <w:rPr>
          <w:lang w:val="sl"/>
        </w:rPr>
        <w:t>odl</w:t>
      </w:r>
      <w:proofErr w:type="spellEnd"/>
      <w:r>
        <w:rPr>
          <w:lang w:val="sl"/>
        </w:rPr>
        <w:t>.), št. 20192/07, 50. odstavek, 3. junij 2014).</w:t>
      </w:r>
    </w:p>
    <w:p w14:paraId="5D55FCE9" w14:textId="77777777" w:rsidR="00671CB5" w:rsidRPr="00342ECF" w:rsidRDefault="00671CB5" w:rsidP="008664C4">
      <w:pPr>
        <w:pStyle w:val="JuHa0"/>
        <w:rPr>
          <w:lang w:val="sl"/>
        </w:rPr>
      </w:pPr>
      <w:r>
        <w:rPr>
          <w:lang w:val="sl"/>
        </w:rPr>
        <w:t>Uporaba omenjenih načel v tej zadevi</w:t>
      </w:r>
    </w:p>
    <w:p w14:paraId="46D46DC8"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r>
        <w:rPr>
          <w:lang w:val="sl"/>
        </w:rPr>
        <w:t xml:space="preserve">.  V obravnavani zadevi pritožnika nista trdila, da sam domači okvir ni bil ustrezen za zagotovitev ustrezne ravni oskrbe. Pritožnika sta se pritožila, da civilna sodišča niso razložila in uporabila določb notranjega prava, ki se nanašajo na njune odškodninske zahtevke v duhu konvencije. V teh okoliščinah Sodišče meni, da je primerno obravnavati postopkovni vidik pritožbe pritožnikov, in sicer vprašanje, ali so bile pravice njihovega sina po 2. členu konvencije zadosti spoštovane v okviru civilnega postopka, v </w:t>
      </w:r>
      <w:r>
        <w:rPr>
          <w:lang w:val="sl"/>
        </w:rPr>
        <w:lastRenderedPageBreak/>
        <w:t>katerem sta zahtevala odškodnino zaradi domnevne zdravniške malomarnosti dr. D.</w:t>
      </w:r>
    </w:p>
    <w:p w14:paraId="5E846427" w14:textId="2B8C5723"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xml:space="preserve">.  Sodišče na začetku ugotavlja, da je v Sloveniji, tako kot v mnogih drugih državah pogodbenicah (glej, na primer zadevo </w:t>
      </w:r>
      <w:proofErr w:type="spellStart"/>
      <w:r>
        <w:rPr>
          <w:i/>
          <w:iCs/>
          <w:lang w:val="sl"/>
        </w:rPr>
        <w:t>Powell</w:t>
      </w:r>
      <w:proofErr w:type="spellEnd"/>
      <w:r>
        <w:rPr>
          <w:lang w:val="sl"/>
        </w:rPr>
        <w:t xml:space="preserve">, navedena zgoraj; </w:t>
      </w:r>
      <w:proofErr w:type="spellStart"/>
      <w:r>
        <w:rPr>
          <w:i/>
          <w:iCs/>
          <w:lang w:val="sl"/>
        </w:rPr>
        <w:t>Iversen</w:t>
      </w:r>
      <w:proofErr w:type="spellEnd"/>
      <w:r>
        <w:rPr>
          <w:i/>
          <w:iCs/>
          <w:lang w:val="sl"/>
        </w:rPr>
        <w:t xml:space="preserve"> proti Danski</w:t>
      </w:r>
      <w:r>
        <w:rPr>
          <w:lang w:val="sl"/>
        </w:rPr>
        <w:t xml:space="preserve">, št. 5989/03, 54. odstavek, 28. september 2006; </w:t>
      </w:r>
      <w:proofErr w:type="spellStart"/>
      <w:r>
        <w:rPr>
          <w:i/>
          <w:iCs/>
          <w:lang w:val="sl"/>
        </w:rPr>
        <w:t>Colak</w:t>
      </w:r>
      <w:proofErr w:type="spellEnd"/>
      <w:r>
        <w:rPr>
          <w:i/>
          <w:iCs/>
          <w:lang w:val="sl"/>
        </w:rPr>
        <w:t xml:space="preserve"> in </w:t>
      </w:r>
      <w:proofErr w:type="spellStart"/>
      <w:r>
        <w:rPr>
          <w:i/>
          <w:iCs/>
          <w:lang w:val="sl"/>
        </w:rPr>
        <w:t>Tsakiridis</w:t>
      </w:r>
      <w:proofErr w:type="spellEnd"/>
      <w:r>
        <w:rPr>
          <w:lang w:val="sl"/>
        </w:rPr>
        <w:t xml:space="preserve">, navedena zgoraj, 19.-20. odstavek; in </w:t>
      </w:r>
      <w:proofErr w:type="spellStart"/>
      <w:r>
        <w:rPr>
          <w:i/>
          <w:iCs/>
          <w:lang w:val="sl"/>
        </w:rPr>
        <w:t>Vasileva</w:t>
      </w:r>
      <w:proofErr w:type="spellEnd"/>
      <w:r>
        <w:rPr>
          <w:i/>
          <w:iCs/>
          <w:lang w:val="sl"/>
        </w:rPr>
        <w:t xml:space="preserve"> proti Bolgariji</w:t>
      </w:r>
      <w:r>
        <w:rPr>
          <w:lang w:val="sl"/>
        </w:rPr>
        <w:t xml:space="preserve">, št. 23796/10, 70. odstavek, 17. marec 2016), odškodnino za medicinsko napako mogoče zahtevati po odškodninskem ali pogodbenem pravu (glej 14. </w:t>
      </w:r>
      <w:r>
        <w:rPr>
          <w:lang w:val="sl"/>
        </w:rPr>
        <w:fldChar w:fldCharType="begin"/>
      </w:r>
      <w:r>
        <w:rPr>
          <w:lang w:val="sl"/>
        </w:rPr>
        <w:instrText xml:space="preserve"> REF civilliability \h </w:instrText>
      </w:r>
      <w:r>
        <w:rPr>
          <w:lang w:val="sl"/>
        </w:rPr>
      </w:r>
      <w:r>
        <w:rPr>
          <w:lang w:val="sl"/>
        </w:rPr>
        <w:fldChar w:fldCharType="separate"/>
      </w:r>
      <w:r>
        <w:rPr>
          <w:noProof/>
          <w:lang w:val="sl"/>
        </w:rPr>
        <w:t>odstavek</w:t>
      </w:r>
      <w:r>
        <w:rPr>
          <w:lang w:val="sl"/>
        </w:rPr>
        <w:fldChar w:fldCharType="end"/>
      </w:r>
      <w:r>
        <w:rPr>
          <w:lang w:val="sl"/>
        </w:rPr>
        <w:t xml:space="preserve"> zgoraj). Ni mogoče trditi, da je odškodnina za zdravniško napako v Sloveniji z odškodninskim zahtevkom možnost, ki obstaja le v teoriji. Čeprav je po mnenju pritožnikov težko </w:t>
      </w:r>
      <w:r w:rsidR="0019026F" w:rsidRPr="00FD6E7A">
        <w:rPr>
          <w:lang w:val="sl"/>
        </w:rPr>
        <w:t>najti</w:t>
      </w:r>
      <w:r>
        <w:rPr>
          <w:lang w:val="sl"/>
        </w:rPr>
        <w:t xml:space="preserve"> primer medicinske napake, Sodišče ugotavlja, da je bilo o njej razsojeno in da je bila v nekaterih primerih na domači ravni dodeljena odškodnina (glej 16. </w:t>
      </w:r>
      <w:r>
        <w:rPr>
          <w:lang w:val="sl"/>
        </w:rPr>
        <w:fldChar w:fldCharType="begin"/>
      </w:r>
      <w:r>
        <w:rPr>
          <w:lang w:val="sl"/>
        </w:rPr>
        <w:instrText xml:space="preserve"> REF caselaw \h </w:instrText>
      </w:r>
      <w:r>
        <w:rPr>
          <w:lang w:val="sl"/>
        </w:rPr>
      </w:r>
      <w:r>
        <w:rPr>
          <w:lang w:val="sl"/>
        </w:rPr>
        <w:fldChar w:fldCharType="separate"/>
      </w:r>
      <w:r>
        <w:rPr>
          <w:noProof/>
          <w:lang w:val="sl"/>
        </w:rPr>
        <w:t>odstavek</w:t>
      </w:r>
      <w:r>
        <w:rPr>
          <w:lang w:val="sl"/>
        </w:rPr>
        <w:fldChar w:fldCharType="end"/>
      </w:r>
      <w:r>
        <w:rPr>
          <w:lang w:val="sl"/>
        </w:rPr>
        <w:t xml:space="preserve"> zgoraj).</w:t>
      </w:r>
    </w:p>
    <w:p w14:paraId="1803057C" w14:textId="4A953F5D"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r>
        <w:rPr>
          <w:lang w:val="sl"/>
        </w:rPr>
        <w:t xml:space="preserve">.  Sodišče ugotavlja, da je Vrhovno sodišče ugodilo zavrnitvi zahtevka za odškodnino pritožnikov z obrazložitvijo, da ni bilo vzročne zveze med zdravnikovo opustitvijo in smrtjo sina pritožnikov (glej 11. </w:t>
      </w:r>
      <w:r>
        <w:rPr>
          <w:lang w:val="sl"/>
        </w:rPr>
        <w:fldChar w:fldCharType="begin"/>
      </w:r>
      <w:r>
        <w:rPr>
          <w:lang w:val="sl"/>
        </w:rPr>
        <w:instrText xml:space="preserve"> REF SupremeCourt \h </w:instrText>
      </w:r>
      <w:r>
        <w:rPr>
          <w:lang w:val="sl"/>
        </w:rPr>
      </w:r>
      <w:r>
        <w:rPr>
          <w:lang w:val="sl"/>
        </w:rPr>
        <w:fldChar w:fldCharType="separate"/>
      </w:r>
      <w:r>
        <w:rPr>
          <w:noProof/>
          <w:lang w:val="sl"/>
        </w:rPr>
        <w:t>odstavek</w:t>
      </w:r>
      <w:r>
        <w:rPr>
          <w:lang w:val="sl"/>
        </w:rPr>
        <w:fldChar w:fldCharType="end"/>
      </w:r>
      <w:r>
        <w:rPr>
          <w:lang w:val="sl"/>
        </w:rPr>
        <w:t xml:space="preserve"> zgoraj). Ob sklicevanju na izvedensko poročilo, ki so ga pripravili trije zdravniki, je zaključilo, da pritožnika nista zadostila zahtevanemu dokaznemu bremenu - da bi dokazala statistično nezanemarljivo verjetnost, da njun sin ne bi umrl, če bi ga zdravni</w:t>
      </w:r>
      <w:r w:rsidR="00FA3B2A">
        <w:rPr>
          <w:lang w:val="sl"/>
        </w:rPr>
        <w:t>ca</w:t>
      </w:r>
      <w:r>
        <w:rPr>
          <w:lang w:val="sl"/>
        </w:rPr>
        <w:t xml:space="preserve"> napotil</w:t>
      </w:r>
      <w:r w:rsidR="00FA3B2A">
        <w:rPr>
          <w:lang w:val="sl"/>
        </w:rPr>
        <w:t>a</w:t>
      </w:r>
      <w:r>
        <w:rPr>
          <w:lang w:val="sl"/>
        </w:rPr>
        <w:t xml:space="preserve"> na nujne preiskave in ga opozoril</w:t>
      </w:r>
      <w:r w:rsidR="00FA3B2A">
        <w:rPr>
          <w:lang w:val="sl"/>
        </w:rPr>
        <w:t>a,</w:t>
      </w:r>
      <w:r>
        <w:rPr>
          <w:lang w:val="sl"/>
        </w:rPr>
        <w:t xml:space="preserve"> da bi moral takoj obiskati specialista. Sklep vrhovnega sodišča o vzročni zvezi je bil v skladu z določbami notranjega prava in ustaljeno sodno prakso, po kateri je tožnik, ki je zahteval odškodnino zaradi zdravniške napake, nosil breme dokazovanja potrebne vzročne povezave med zdravniško malomarnostjo in škodo za zdravje</w:t>
      </w:r>
      <w:bookmarkStart w:id="14" w:name="_Hlk62485033"/>
      <w:r>
        <w:rPr>
          <w:lang w:val="sl"/>
        </w:rPr>
        <w:t xml:space="preserve">(glej 16. </w:t>
      </w:r>
      <w:r>
        <w:rPr>
          <w:lang w:val="sl"/>
        </w:rPr>
        <w:fldChar w:fldCharType="begin"/>
      </w:r>
      <w:r>
        <w:rPr>
          <w:lang w:val="sl"/>
        </w:rPr>
        <w:instrText xml:space="preserve"> REF caselaw \h </w:instrText>
      </w:r>
      <w:r>
        <w:rPr>
          <w:lang w:val="sl"/>
        </w:rPr>
      </w:r>
      <w:r>
        <w:rPr>
          <w:lang w:val="sl"/>
        </w:rPr>
        <w:fldChar w:fldCharType="separate"/>
      </w:r>
      <w:r>
        <w:rPr>
          <w:noProof/>
          <w:lang w:val="sl"/>
        </w:rPr>
        <w:t>odstavek</w:t>
      </w:r>
      <w:r>
        <w:rPr>
          <w:lang w:val="sl"/>
        </w:rPr>
        <w:fldChar w:fldCharType="end"/>
      </w:r>
      <w:r>
        <w:rPr>
          <w:lang w:val="sl"/>
        </w:rPr>
        <w:t xml:space="preserve"> zgoraj).</w:t>
      </w:r>
      <w:bookmarkEnd w:id="14"/>
    </w:p>
    <w:p w14:paraId="46F62D4E"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r>
        <w:rPr>
          <w:lang w:val="sl"/>
        </w:rPr>
        <w:t xml:space="preserve">.  Sodišče tudi ugotavlja, da je pomembno opozoriti, da je bila razlaga in uporaba notranjega prava Vrhovnega sodišča v zvezi z odškodninskimi zahtevki pritožnikov in zlasti z dokaznim bremenom drugačna, kot bi bila v "običajnem" odškodninskem primeru. Vrhovno sodišče je menilo, da je bila uporaba milejšega pravila o dokaznem bremenu v primerih zdravniške malomarnosti, ki vključujejo zdravnikove opustitve, kot je v primeru pritožnikov, upravičena zaradi težav, s katerimi sta se pritožnika soočala pri dokazovanju, da bi hipotetično drugačno ravnanje zdravnika lahko pripeljalo do drugačnega izida (glej 11. </w:t>
      </w:r>
      <w:r>
        <w:rPr>
          <w:lang w:val="sl"/>
        </w:rPr>
        <w:fldChar w:fldCharType="begin"/>
      </w:r>
      <w:r>
        <w:rPr>
          <w:lang w:val="sl"/>
        </w:rPr>
        <w:instrText xml:space="preserve"> REF SupremeCourt \h </w:instrText>
      </w:r>
      <w:r>
        <w:rPr>
          <w:lang w:val="sl"/>
        </w:rPr>
      </w:r>
      <w:r>
        <w:rPr>
          <w:lang w:val="sl"/>
        </w:rPr>
        <w:fldChar w:fldCharType="separate"/>
      </w:r>
      <w:r>
        <w:rPr>
          <w:noProof/>
          <w:lang w:val="sl"/>
        </w:rPr>
        <w:t>odstavek</w:t>
      </w:r>
      <w:r>
        <w:rPr>
          <w:lang w:val="sl"/>
        </w:rPr>
        <w:fldChar w:fldCharType="end"/>
      </w:r>
      <w:r>
        <w:rPr>
          <w:lang w:val="sl"/>
        </w:rPr>
        <w:t xml:space="preserve"> zgoraj; primerjaj </w:t>
      </w:r>
      <w:proofErr w:type="spellStart"/>
      <w:r>
        <w:rPr>
          <w:i/>
          <w:iCs/>
          <w:lang w:val="sl"/>
        </w:rPr>
        <w:t>Storck</w:t>
      </w:r>
      <w:proofErr w:type="spellEnd"/>
      <w:r>
        <w:rPr>
          <w:i/>
          <w:iCs/>
          <w:lang w:val="sl"/>
        </w:rPr>
        <w:t xml:space="preserve"> proti Nemčiji</w:t>
      </w:r>
      <w:r>
        <w:rPr>
          <w:lang w:val="sl"/>
        </w:rPr>
        <w:t>, št. 61603/00, 162. odstavek, EKČP 2005</w:t>
      </w:r>
      <w:r>
        <w:rPr>
          <w:lang w:val="sl"/>
        </w:rPr>
        <w:noBreakHyphen/>
        <w:t xml:space="preserve">V). </w:t>
      </w:r>
      <w:bookmarkStart w:id="15" w:name="_Hlk62485075"/>
      <w:r>
        <w:rPr>
          <w:lang w:val="sl"/>
        </w:rPr>
        <w:t xml:space="preserve">V zvezi s tem Sodišče ponovno poudarja, da glede na široko presojo držav pogodbenic pri izbiri načina organiziranja svojih pravosodnih sistemov in izpolnjevanju njihovih postopkovnih obveznosti v zvezi z domnevno zdravniško malomarnostjo ni podlage, na kateri bi lahko presodili, da konvencija zahteva poseben mehanizem, ki olajšuje vlaganje zahtevkov zaradi medicinskih napak ali preobrnitev dokaznega bremena v takih primerih, kot to predlagata pritožnika </w:t>
      </w:r>
      <w:bookmarkEnd w:id="15"/>
      <w:r>
        <w:rPr>
          <w:lang w:val="sl"/>
        </w:rPr>
        <w:t xml:space="preserve">(glej </w:t>
      </w:r>
      <w:r>
        <w:rPr>
          <w:i/>
          <w:iCs/>
          <w:lang w:val="sl"/>
        </w:rPr>
        <w:t>Jurica proti Hrvaški</w:t>
      </w:r>
      <w:r>
        <w:rPr>
          <w:lang w:val="sl"/>
        </w:rPr>
        <w:t xml:space="preserve">, št. 30376/13, 89. odstavek, 2. maj 2017, in zadevo </w:t>
      </w:r>
      <w:proofErr w:type="spellStart"/>
      <w:r>
        <w:rPr>
          <w:lang w:val="sl"/>
        </w:rPr>
        <w:t>V</w:t>
      </w:r>
      <w:r>
        <w:rPr>
          <w:i/>
          <w:iCs/>
          <w:lang w:val="sl"/>
        </w:rPr>
        <w:t>asileva</w:t>
      </w:r>
      <w:proofErr w:type="spellEnd"/>
      <w:r>
        <w:rPr>
          <w:lang w:val="sl"/>
        </w:rPr>
        <w:t>, navedena zgoraj, 70. odstavek).</w:t>
      </w:r>
    </w:p>
    <w:p w14:paraId="6D34D935" w14:textId="5F4F65DC" w:rsidR="00671CB5" w:rsidRPr="00342ECF" w:rsidRDefault="00671CB5" w:rsidP="008664C4">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xml:space="preserve">.  Glede na zgoraj navedeno Sodišče meni, da so domača sodišča, ki so argumente pritožnikov preučila v kontradiktornem postopku, v zadostni meri upoštevala pravico do življenja sina pritožnikov. V okoliščinah te zadeve se ne zdi v nasprotju z duhom 2. člena konvencije, da Vrhovno sodišče ni </w:t>
      </w:r>
      <w:r w:rsidR="00FD6E7A">
        <w:rPr>
          <w:lang w:val="sl"/>
        </w:rPr>
        <w:t>štelo</w:t>
      </w:r>
      <w:r>
        <w:rPr>
          <w:lang w:val="sl"/>
        </w:rPr>
        <w:t>, da obstaja vzročna zveza med zdravni</w:t>
      </w:r>
      <w:r w:rsidR="00FA3B2A">
        <w:rPr>
          <w:lang w:val="sl"/>
        </w:rPr>
        <w:t>čino</w:t>
      </w:r>
      <w:r>
        <w:rPr>
          <w:lang w:val="sl"/>
        </w:rPr>
        <w:t xml:space="preserve"> opustitvijo in X-</w:t>
      </w:r>
      <w:proofErr w:type="spellStart"/>
      <w:r w:rsidR="00FD6E7A">
        <w:rPr>
          <w:lang w:val="sl"/>
        </w:rPr>
        <w:t>o</w:t>
      </w:r>
      <w:r>
        <w:rPr>
          <w:lang w:val="sl"/>
        </w:rPr>
        <w:t>vo</w:t>
      </w:r>
      <w:proofErr w:type="spellEnd"/>
      <w:r>
        <w:rPr>
          <w:lang w:val="sl"/>
        </w:rPr>
        <w:t xml:space="preserve"> smrtjo, </w:t>
      </w:r>
      <w:r w:rsidRPr="00FD6E7A">
        <w:rPr>
          <w:lang w:val="sl"/>
        </w:rPr>
        <w:t xml:space="preserve">kar </w:t>
      </w:r>
      <w:r w:rsidR="00FD6E7A" w:rsidRPr="00FD6E7A">
        <w:rPr>
          <w:lang w:val="sl"/>
        </w:rPr>
        <w:t xml:space="preserve">bi </w:t>
      </w:r>
      <w:r w:rsidRPr="00FD6E7A">
        <w:rPr>
          <w:lang w:val="sl"/>
        </w:rPr>
        <w:t>dokaz</w:t>
      </w:r>
      <w:r w:rsidR="00FD6E7A" w:rsidRPr="00FD6E7A">
        <w:rPr>
          <w:lang w:val="sl"/>
        </w:rPr>
        <w:t>ovalo</w:t>
      </w:r>
      <w:r w:rsidRPr="00FD6E7A">
        <w:rPr>
          <w:lang w:val="sl"/>
        </w:rPr>
        <w:t xml:space="preserve"> odgovornost bolnišnice po civilnem pravu</w:t>
      </w:r>
      <w:r w:rsidR="00FA3B2A" w:rsidRPr="00FD6E7A">
        <w:rPr>
          <w:lang w:val="sl"/>
        </w:rPr>
        <w:t>.</w:t>
      </w:r>
      <w:r>
        <w:rPr>
          <w:lang w:val="sl"/>
        </w:rPr>
        <w:t xml:space="preserve">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i/>
          <w:iCs/>
          <w:lang w:val="sl"/>
        </w:rPr>
        <w:t xml:space="preserve">, </w:t>
      </w:r>
      <w:proofErr w:type="spellStart"/>
      <w:r>
        <w:rPr>
          <w:i/>
          <w:iCs/>
          <w:lang w:val="sl"/>
        </w:rPr>
        <w:t>Colak</w:t>
      </w:r>
      <w:proofErr w:type="spellEnd"/>
      <w:r>
        <w:rPr>
          <w:i/>
          <w:iCs/>
          <w:lang w:val="sl"/>
        </w:rPr>
        <w:t xml:space="preserve"> in </w:t>
      </w:r>
      <w:proofErr w:type="spellStart"/>
      <w:r>
        <w:rPr>
          <w:i/>
          <w:iCs/>
          <w:lang w:val="sl"/>
        </w:rPr>
        <w:t>Tsakiridis</w:t>
      </w:r>
      <w:proofErr w:type="spellEnd"/>
      <w:r>
        <w:rPr>
          <w:lang w:val="sl"/>
        </w:rPr>
        <w:t xml:space="preserve">, navedena zgoraj, 33.-34. odstavek). Iz navedenega sledi, da je ta del pritožbe v smislu tretjega odstavka 35. člena konvencije </w:t>
      </w:r>
      <w:bookmarkStart w:id="16" w:name="_Hlk68096987"/>
      <w:r>
        <w:rPr>
          <w:lang w:val="sl"/>
        </w:rPr>
        <w:t>očitno neutemeljen in ga je treba zavrniti v skladu s četrtim odstavkom 35. člena konvencije</w:t>
      </w:r>
      <w:bookmarkEnd w:id="16"/>
      <w:r>
        <w:rPr>
          <w:lang w:val="sl"/>
        </w:rPr>
        <w:t>.</w:t>
      </w:r>
    </w:p>
    <w:p w14:paraId="1F7DB839" w14:textId="77777777" w:rsidR="00671CB5" w:rsidRPr="00342ECF" w:rsidRDefault="00671CB5" w:rsidP="008664C4">
      <w:pPr>
        <w:pStyle w:val="JuHA"/>
        <w:rPr>
          <w:lang w:val="sl"/>
        </w:rPr>
      </w:pPr>
      <w:r>
        <w:rPr>
          <w:lang w:val="sl"/>
        </w:rPr>
        <w:t>Pritožba na podlagi prvega odstavka 6. člena konvencije glede trajanja postopka</w:t>
      </w:r>
    </w:p>
    <w:p w14:paraId="351120D3"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Pritožnika sta se pritožila, da trajanje postopka ni bilo združljivo z zahtevo po "razumnem roku" iz prvega odstavka 6. člena konvencije, ki se glasi:</w:t>
      </w:r>
    </w:p>
    <w:p w14:paraId="6D250861" w14:textId="77777777" w:rsidR="00671CB5" w:rsidRPr="00342ECF" w:rsidRDefault="00671CB5" w:rsidP="008664C4">
      <w:pPr>
        <w:pStyle w:val="JuQuot"/>
        <w:rPr>
          <w:lang w:val="sl"/>
        </w:rPr>
      </w:pPr>
      <w:r>
        <w:rPr>
          <w:lang w:val="sl"/>
        </w:rPr>
        <w:t>"Vsakdo ima pravico, da o njegovih civilnih pravicah in obveznostih ... v razumnem roku odloča ... sodišče..."</w:t>
      </w:r>
    </w:p>
    <w:p w14:paraId="40BF6740"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r>
        <w:rPr>
          <w:lang w:val="sl"/>
        </w:rPr>
        <w:t xml:space="preserve">.  Vlada je trdila, da pritožnika nista izčrpala notranjih pravnih sredstev. Zlasti nista izčrpala pravnih sredstev, ki jih je uvedel zakon iz 2006 (glej 15. </w:t>
      </w:r>
      <w:r>
        <w:rPr>
          <w:lang w:val="sl"/>
        </w:rPr>
        <w:fldChar w:fldCharType="begin"/>
      </w:r>
      <w:r>
        <w:rPr>
          <w:lang w:val="sl"/>
        </w:rPr>
        <w:instrText xml:space="preserve"> REF Act2006 \h </w:instrText>
      </w:r>
      <w:r>
        <w:rPr>
          <w:lang w:val="sl"/>
        </w:rPr>
      </w:r>
      <w:r>
        <w:rPr>
          <w:lang w:val="sl"/>
        </w:rPr>
        <w:fldChar w:fldCharType="separate"/>
      </w:r>
      <w:r>
        <w:rPr>
          <w:noProof/>
          <w:lang w:val="sl"/>
        </w:rPr>
        <w:t>odstavek</w:t>
      </w:r>
      <w:r>
        <w:rPr>
          <w:noProof/>
          <w:lang w:val="sl"/>
        </w:rPr>
        <w:fldChar w:fldCharType="end"/>
      </w:r>
      <w:r>
        <w:rPr>
          <w:noProof/>
          <w:lang w:val="sl"/>
        </w:rPr>
        <w:t xml:space="preserve"> zgoraj), za katerega je Sodišče menilo, da je učinkovit v smislu konvencije (glej </w:t>
      </w:r>
      <w:r>
        <w:rPr>
          <w:i/>
          <w:iCs/>
          <w:noProof/>
          <w:lang w:val="sl"/>
        </w:rPr>
        <w:t>Grzinčič proti Sloveniji</w:t>
      </w:r>
      <w:r>
        <w:rPr>
          <w:noProof/>
          <w:lang w:val="sl"/>
        </w:rPr>
        <w:t xml:space="preserve">, </w:t>
      </w:r>
      <w:bookmarkStart w:id="17" w:name="_Hlk68152020"/>
      <w:r>
        <w:rPr>
          <w:noProof/>
          <w:lang w:val="sl"/>
        </w:rPr>
        <w:t>št. 26867/02, 3. maj 2007</w:t>
      </w:r>
      <w:bookmarkEnd w:id="17"/>
      <w:r>
        <w:rPr>
          <w:noProof/>
          <w:lang w:val="sl"/>
        </w:rPr>
        <w:t>).</w:t>
      </w:r>
    </w:p>
    <w:p w14:paraId="09E8DF64"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r>
        <w:rPr>
          <w:lang w:val="sl"/>
        </w:rPr>
        <w:t>.  Pritožnika o tem očitku vlade nista izrazila mnenja.</w:t>
      </w:r>
    </w:p>
    <w:p w14:paraId="45CEAA56" w14:textId="77777777" w:rsidR="00671CB5" w:rsidRPr="00342ECF" w:rsidRDefault="00671CB5" w:rsidP="008664C4">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r>
        <w:rPr>
          <w:lang w:val="sl"/>
        </w:rPr>
        <w:t xml:space="preserve">.  Sodišče ponovno poudarja, da določba o izčrpanju </w:t>
      </w:r>
      <w:proofErr w:type="spellStart"/>
      <w:r>
        <w:rPr>
          <w:lang w:val="sl"/>
        </w:rPr>
        <w:t>notranjepravnih</w:t>
      </w:r>
      <w:proofErr w:type="spellEnd"/>
      <w:r>
        <w:rPr>
          <w:lang w:val="sl"/>
        </w:rPr>
        <w:t xml:space="preserve"> sredstev iz prvega odstavka 35. člena konvencije zahteva, da bi pritožbe, predvidene za naknadno vložitev v Strasbourgu, morale biti vložene pri ustreznem domačem organu, vsaj glede bistvenega ter v skladu s formalnimi zahtevami in časovnimi roki, ki jih določa notranja zakonodaja (glej </w:t>
      </w:r>
      <w:r>
        <w:rPr>
          <w:i/>
          <w:iCs/>
          <w:lang w:val="sl"/>
        </w:rPr>
        <w:t xml:space="preserve">Vučković in drugi proti Srbiji </w:t>
      </w:r>
      <w:r>
        <w:rPr>
          <w:lang w:val="sl"/>
        </w:rPr>
        <w:t>(predhodni ugovor) [VS], št. 17153/11 in 29 drugih, 72. odstavek, 25. marec 2014).</w:t>
      </w:r>
    </w:p>
    <w:p w14:paraId="24698920"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r>
        <w:rPr>
          <w:lang w:val="sl"/>
        </w:rPr>
        <w:t xml:space="preserve">.  Sodišče ugotavlja, da je že preučilo vsa pravna sredstva, ki jih predvideva zakon iz leta 2006 za namene izčrpanja </w:t>
      </w:r>
      <w:proofErr w:type="spellStart"/>
      <w:r>
        <w:rPr>
          <w:lang w:val="sl"/>
        </w:rPr>
        <w:t>notranjepravnih</w:t>
      </w:r>
      <w:proofErr w:type="spellEnd"/>
      <w:r>
        <w:rPr>
          <w:lang w:val="sl"/>
        </w:rPr>
        <w:t xml:space="preserve"> sredstev. Ugotovilo je, da so bila ta sredstva načeloma zmožna preprečiti nadaljevanje domnevne kršitve pravice do obravnave brez nepotrebnega odlašanja kot tudi zagotoviti primerno popravo vseh kršitev, do katerih je že prišlo </w:t>
      </w:r>
      <w:bookmarkStart w:id="18" w:name="_Hlk68151864"/>
      <w:r>
        <w:rPr>
          <w:lang w:val="sl"/>
        </w:rPr>
        <w:t xml:space="preserve">(glej </w:t>
      </w:r>
      <w:r>
        <w:rPr>
          <w:i/>
          <w:iCs/>
          <w:lang w:val="sl"/>
        </w:rPr>
        <w:t>Grzinčič proti Sloveniji</w:t>
      </w:r>
      <w:r>
        <w:rPr>
          <w:lang w:val="sl"/>
        </w:rPr>
        <w:t xml:space="preserve">, navedeno zgoraj, 98. odstavek, in </w:t>
      </w:r>
      <w:r>
        <w:rPr>
          <w:i/>
          <w:iCs/>
          <w:lang w:val="sl"/>
        </w:rPr>
        <w:t>Korenjak proti Sloveniji</w:t>
      </w:r>
      <w:r>
        <w:rPr>
          <w:lang w:val="sl"/>
        </w:rPr>
        <w:t>, (</w:t>
      </w:r>
      <w:proofErr w:type="spellStart"/>
      <w:r>
        <w:rPr>
          <w:lang w:val="sl"/>
        </w:rPr>
        <w:t>odl</w:t>
      </w:r>
      <w:proofErr w:type="spellEnd"/>
      <w:r>
        <w:rPr>
          <w:lang w:val="sl"/>
        </w:rPr>
        <w:t>.) št. 463/03, 62. odstavek, 15. maj 2007)</w:t>
      </w:r>
      <w:bookmarkEnd w:id="18"/>
      <w:r>
        <w:rPr>
          <w:lang w:val="sl"/>
        </w:rPr>
        <w:t>.</w:t>
      </w:r>
    </w:p>
    <w:p w14:paraId="7FBE48F8" w14:textId="77777777" w:rsidR="00671CB5" w:rsidRPr="00342ECF" w:rsidRDefault="00671CB5" w:rsidP="008664C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r>
        <w:rPr>
          <w:lang w:val="sl"/>
        </w:rPr>
        <w:t>.  </w:t>
      </w:r>
      <w:bookmarkStart w:id="19" w:name="_Hlk68099584"/>
      <w:r>
        <w:rPr>
          <w:lang w:val="sl"/>
        </w:rPr>
        <w:t>V tej zadevi pritožnika nista uporabila nobenega od zgoraj navedenih pravnih sredstev, ki so jima bila na voljo po zakonu iz leta 2006 od začetka civilnega postopka aprila 2007 (</w:t>
      </w:r>
      <w:bookmarkStart w:id="20" w:name="_Hlk68151768"/>
      <w:r>
        <w:rPr>
          <w:lang w:val="sl"/>
        </w:rPr>
        <w:t xml:space="preserve">primerjaj </w:t>
      </w:r>
      <w:r>
        <w:rPr>
          <w:i/>
          <w:iCs/>
          <w:lang w:val="sl"/>
        </w:rPr>
        <w:t>Šilih proti Sloveniji</w:t>
      </w:r>
      <w:r>
        <w:rPr>
          <w:lang w:val="sl"/>
        </w:rPr>
        <w:t xml:space="preserve"> [VS], št. 71463/01, 9. april 2009)</w:t>
      </w:r>
      <w:bookmarkEnd w:id="20"/>
      <w:r>
        <w:rPr>
          <w:lang w:val="sl"/>
        </w:rPr>
        <w:t xml:space="preserve">. </w:t>
      </w:r>
      <w:bookmarkStart w:id="21" w:name="_Hlk68151371"/>
      <w:r>
        <w:rPr>
          <w:lang w:val="sl"/>
        </w:rPr>
        <w:t xml:space="preserve">Pritožba zaradi dolžine postopka je zato nedopustna zaradi </w:t>
      </w:r>
      <w:proofErr w:type="spellStart"/>
      <w:r>
        <w:rPr>
          <w:lang w:val="sl"/>
        </w:rPr>
        <w:t>neizčrpanja</w:t>
      </w:r>
      <w:proofErr w:type="spellEnd"/>
      <w:r>
        <w:rPr>
          <w:lang w:val="sl"/>
        </w:rPr>
        <w:t xml:space="preserve"> domačih pravnih sredstev in jo je treba zavrniti v skladu s prvim in četrtim odstavkom 35. člena Konvencije.</w:t>
      </w:r>
      <w:bookmarkEnd w:id="19"/>
    </w:p>
    <w:bookmarkEnd w:id="21"/>
    <w:p w14:paraId="420242B6" w14:textId="77777777" w:rsidR="00671CB5" w:rsidRPr="00342ECF" w:rsidRDefault="00671CB5" w:rsidP="008664C4">
      <w:pPr>
        <w:pStyle w:val="JuParaLast"/>
        <w:rPr>
          <w:lang w:val="sl"/>
        </w:rPr>
      </w:pPr>
      <w:r>
        <w:rPr>
          <w:lang w:val="sl"/>
        </w:rPr>
        <w:lastRenderedPageBreak/>
        <w:t>Iz teh razlogov Sodišče soglasno</w:t>
      </w:r>
    </w:p>
    <w:p w14:paraId="6BC61A41" w14:textId="77777777" w:rsidR="00671CB5" w:rsidRPr="00342ECF" w:rsidRDefault="00671CB5" w:rsidP="008664C4">
      <w:pPr>
        <w:pStyle w:val="DecList"/>
        <w:rPr>
          <w:lang w:val="sl"/>
        </w:rPr>
      </w:pPr>
      <w:r>
        <w:rPr>
          <w:i/>
          <w:iCs/>
          <w:lang w:val="sl"/>
        </w:rPr>
        <w:t>odloči</w:t>
      </w:r>
      <w:r>
        <w:rPr>
          <w:lang w:val="sl"/>
        </w:rPr>
        <w:t>, da pritožbi združi;</w:t>
      </w:r>
    </w:p>
    <w:p w14:paraId="29EA1D29" w14:textId="77777777" w:rsidR="00671CB5" w:rsidRPr="00342ECF" w:rsidRDefault="00671CB5" w:rsidP="008664C4">
      <w:pPr>
        <w:pStyle w:val="DecList"/>
        <w:rPr>
          <w:lang w:val="it-IT"/>
        </w:rPr>
      </w:pPr>
      <w:r>
        <w:rPr>
          <w:lang w:val="sl"/>
        </w:rPr>
        <w:t xml:space="preserve">in ju </w:t>
      </w:r>
      <w:r>
        <w:rPr>
          <w:i/>
          <w:iCs/>
          <w:lang w:val="sl"/>
        </w:rPr>
        <w:t>razglasi za</w:t>
      </w:r>
      <w:r>
        <w:rPr>
          <w:lang w:val="sl"/>
        </w:rPr>
        <w:t xml:space="preserve"> nedopustni.</w:t>
      </w:r>
    </w:p>
    <w:p w14:paraId="156D76F4" w14:textId="77777777" w:rsidR="00BD1692" w:rsidRPr="00342ECF" w:rsidRDefault="006267D3" w:rsidP="008664C4">
      <w:pPr>
        <w:pStyle w:val="JuParaLast"/>
        <w:rPr>
          <w:sz w:val="14"/>
          <w:lang w:val="it-IT"/>
        </w:rPr>
      </w:pPr>
      <w:r>
        <w:rPr>
          <w:lang w:val="sl"/>
        </w:rPr>
        <w:t>Sestavljeno v angleškem jeziku in poslano 25. marca 2021.</w:t>
      </w:r>
    </w:p>
    <w:p w14:paraId="237925F1" w14:textId="77777777" w:rsidR="00671CB5" w:rsidRPr="00342ECF" w:rsidRDefault="00BD1692" w:rsidP="008664C4">
      <w:pPr>
        <w:pStyle w:val="JuSigned"/>
        <w:keepNext/>
        <w:keepLines/>
        <w:rPr>
          <w:color w:val="F8F8F8" w:themeColor="background2"/>
          <w:lang w:val="sl"/>
        </w:rPr>
      </w:pPr>
      <w:r>
        <w:rPr>
          <w:color w:val="F8F8F8" w:themeColor="background2"/>
          <w:lang w:val="sl"/>
        </w:rPr>
        <w:tab/>
        <w:t xml:space="preserve"> {digitalni podpis_p_2}</w:t>
      </w:r>
    </w:p>
    <w:p w14:paraId="79B143F9" w14:textId="77777777" w:rsidR="002B6368" w:rsidRPr="00342ECF" w:rsidRDefault="007907C0" w:rsidP="008664C4">
      <w:pPr>
        <w:pStyle w:val="JuSigned"/>
        <w:tabs>
          <w:tab w:val="clear" w:pos="851"/>
          <w:tab w:val="clear" w:pos="6407"/>
          <w:tab w:val="center" w:pos="1134"/>
          <w:tab w:val="center" w:pos="5812"/>
        </w:tabs>
        <w:rPr>
          <w:lang w:val="sl"/>
        </w:rPr>
      </w:pPr>
      <w:r>
        <w:rPr>
          <w:lang w:val="sl"/>
        </w:rPr>
        <w:tab/>
        <w:t xml:space="preserve">Hasan </w:t>
      </w:r>
      <w:proofErr w:type="spellStart"/>
      <w:r>
        <w:rPr>
          <w:lang w:val="sl"/>
        </w:rPr>
        <w:t>Bakırcı</w:t>
      </w:r>
      <w:proofErr w:type="spellEnd"/>
      <w:r>
        <w:rPr>
          <w:lang w:val="sl"/>
        </w:rPr>
        <w:tab/>
        <w:t xml:space="preserve">Aleš </w:t>
      </w:r>
      <w:proofErr w:type="spellStart"/>
      <w:r>
        <w:rPr>
          <w:lang w:val="sl"/>
        </w:rPr>
        <w:t>Pejchal</w:t>
      </w:r>
      <w:proofErr w:type="spellEnd"/>
      <w:r>
        <w:rPr>
          <w:lang w:val="sl"/>
        </w:rPr>
        <w:br/>
      </w:r>
      <w:r>
        <w:rPr>
          <w:lang w:val="sl"/>
        </w:rPr>
        <w:tab/>
        <w:t>namestnik sodnega tajnika</w:t>
      </w:r>
      <w:r>
        <w:rPr>
          <w:lang w:val="sl"/>
        </w:rPr>
        <w:tab/>
        <w:t>predsednik</w:t>
      </w:r>
    </w:p>
    <w:p w14:paraId="208994DB" w14:textId="77777777" w:rsidR="00206A52" w:rsidRPr="00342ECF" w:rsidRDefault="00474DCC" w:rsidP="008664C4">
      <w:pPr>
        <w:rPr>
          <w:lang w:val="sl"/>
        </w:rPr>
      </w:pPr>
    </w:p>
    <w:sectPr w:rsidR="00206A52" w:rsidRPr="00342ECF" w:rsidSect="0076040F">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2B077D" w14:textId="77777777" w:rsidR="0057510A" w:rsidRPr="00671CB5" w:rsidRDefault="0057510A">
      <w:r>
        <w:separator/>
      </w:r>
    </w:p>
  </w:endnote>
  <w:endnote w:type="continuationSeparator" w:id="0">
    <w:p w14:paraId="5F59DA32" w14:textId="77777777" w:rsidR="0057510A" w:rsidRPr="00671CB5" w:rsidRDefault="00575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0F1D65" w14:textId="77777777" w:rsidR="001818B5" w:rsidRPr="00671CB5" w:rsidRDefault="00671CB5"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232791">
      <w:rPr>
        <w:rStyle w:val="tevilkastrani"/>
        <w:noProof/>
        <w:lang w:val="sl"/>
      </w:rPr>
      <w:t>8</w:t>
    </w:r>
    <w:r>
      <w:rPr>
        <w:rStyle w:val="tevilkastrani"/>
        <w:lang w:val="s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2EEFCB" w14:textId="77777777" w:rsidR="001818B5" w:rsidRPr="00671CB5" w:rsidRDefault="00671CB5"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232791">
      <w:rPr>
        <w:rStyle w:val="tevilkastrani"/>
        <w:noProof/>
        <w:lang w:val="sl"/>
      </w:rPr>
      <w:t>9</w:t>
    </w:r>
    <w:r>
      <w:rPr>
        <w:rStyle w:val="tevilkastrani"/>
        <w:lang w:val="s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2FDE53" w14:textId="77777777" w:rsidR="00671CB5" w:rsidRPr="00150BFA" w:rsidRDefault="00671CB5" w:rsidP="0020718E">
    <w:pPr>
      <w:jc w:val="center"/>
    </w:pPr>
    <w:r>
      <w:rPr>
        <w:noProof/>
        <w:lang w:val="sl-SI" w:eastAsia="sl-SI"/>
      </w:rPr>
      <w:drawing>
        <wp:inline distT="0" distB="0" distL="0" distR="0" wp14:anchorId="70DF7B89" wp14:editId="48931794">
          <wp:extent cx="771525" cy="619125"/>
          <wp:effectExtent l="0" t="0" r="9525" b="9525"/>
          <wp:docPr id="27" name="Picture 27"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7470C9A0" w14:textId="77777777" w:rsidR="00F05C7B" w:rsidRPr="00671CB5" w:rsidRDefault="00474DCC"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8C0396" w14:textId="77777777" w:rsidR="0057510A" w:rsidRPr="00671CB5" w:rsidRDefault="0057510A">
      <w:r>
        <w:separator/>
      </w:r>
    </w:p>
  </w:footnote>
  <w:footnote w:type="continuationSeparator" w:id="0">
    <w:p w14:paraId="21F7CDD4" w14:textId="77777777" w:rsidR="0057510A" w:rsidRPr="00671CB5" w:rsidRDefault="005751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EFE2A7" w14:textId="77777777" w:rsidR="00F05C7B" w:rsidRPr="00906D19" w:rsidRDefault="00671CB5" w:rsidP="0076040F">
    <w:pPr>
      <w:pStyle w:val="JuHeader"/>
    </w:pPr>
    <w:r>
      <w:rPr>
        <w:lang w:val="sl"/>
      </w:rPr>
      <w:t>BIJELIČ proti SLOVENIJI, SKLEP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DD3DE1" w14:textId="77777777" w:rsidR="00F05C7B" w:rsidRPr="00906D19" w:rsidRDefault="00671CB5" w:rsidP="000D61E7">
    <w:pPr>
      <w:pStyle w:val="JuHeader"/>
    </w:pPr>
    <w:r>
      <w:rPr>
        <w:lang w:val="sl"/>
      </w:rPr>
      <w:t>BIJELIČ proti SLOVENIJI, SKLEP</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5B32B9" w14:textId="77777777" w:rsidR="00671CB5" w:rsidRPr="00A45145" w:rsidRDefault="00671CB5" w:rsidP="00A45145">
    <w:pPr>
      <w:jc w:val="center"/>
    </w:pPr>
    <w:r>
      <w:rPr>
        <w:noProof/>
        <w:lang w:val="sl-SI" w:eastAsia="sl-SI"/>
      </w:rPr>
      <w:drawing>
        <wp:inline distT="0" distB="0" distL="0" distR="0" wp14:anchorId="759FB37C" wp14:editId="0AB585ED">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4CB5B002" w14:textId="77777777" w:rsidR="00F05C7B" w:rsidRPr="00671CB5" w:rsidRDefault="00474DCC"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0"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5"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6"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9"/>
  </w:num>
  <w:num w:numId="2">
    <w:abstractNumId w:val="13"/>
  </w:num>
  <w:num w:numId="3">
    <w:abstractNumId w:val="11"/>
  </w:num>
  <w:num w:numId="4">
    <w:abstractNumId w:val="10"/>
  </w:num>
  <w:num w:numId="5">
    <w:abstractNumId w:val="14"/>
  </w:num>
  <w:num w:numId="6">
    <w:abstractNumId w:val="12"/>
  </w:num>
  <w:num w:numId="7">
    <w:abstractNumId w:val="15"/>
  </w:num>
  <w:num w:numId="8">
    <w:abstractNumId w:val="16"/>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hdrShapeDefaults>
    <o:shapedefaults v:ext="edit" spidmax="1433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2"/>
    <w:docVar w:name="EMM" w:val="0"/>
    <w:docVar w:name="NBEMMDOC" w:val="0"/>
  </w:docVars>
  <w:rsids>
    <w:rsidRoot w:val="00671CB5"/>
    <w:rsid w:val="00030BA5"/>
    <w:rsid w:val="000628E2"/>
    <w:rsid w:val="00063B0F"/>
    <w:rsid w:val="00095FD8"/>
    <w:rsid w:val="000B1FA9"/>
    <w:rsid w:val="000D61E7"/>
    <w:rsid w:val="000E3A89"/>
    <w:rsid w:val="00110149"/>
    <w:rsid w:val="00132029"/>
    <w:rsid w:val="00186AE0"/>
    <w:rsid w:val="0019026F"/>
    <w:rsid w:val="001D1233"/>
    <w:rsid w:val="00211498"/>
    <w:rsid w:val="00223591"/>
    <w:rsid w:val="00232791"/>
    <w:rsid w:val="002A7443"/>
    <w:rsid w:val="0032004F"/>
    <w:rsid w:val="00342ECF"/>
    <w:rsid w:val="003B3CEE"/>
    <w:rsid w:val="003B50D7"/>
    <w:rsid w:val="003B5C06"/>
    <w:rsid w:val="003E3C60"/>
    <w:rsid w:val="00452087"/>
    <w:rsid w:val="00464268"/>
    <w:rsid w:val="00474DCC"/>
    <w:rsid w:val="004A4C71"/>
    <w:rsid w:val="004B4E73"/>
    <w:rsid w:val="00542C30"/>
    <w:rsid w:val="00545AC4"/>
    <w:rsid w:val="0057510A"/>
    <w:rsid w:val="005E56C2"/>
    <w:rsid w:val="005F11CB"/>
    <w:rsid w:val="006262FA"/>
    <w:rsid w:val="006267D3"/>
    <w:rsid w:val="006300E9"/>
    <w:rsid w:val="00651129"/>
    <w:rsid w:val="00653EF4"/>
    <w:rsid w:val="00656B81"/>
    <w:rsid w:val="00663128"/>
    <w:rsid w:val="00671CB5"/>
    <w:rsid w:val="006D4D63"/>
    <w:rsid w:val="006E123B"/>
    <w:rsid w:val="0070666B"/>
    <w:rsid w:val="00721167"/>
    <w:rsid w:val="007907C0"/>
    <w:rsid w:val="007B2364"/>
    <w:rsid w:val="007D2B34"/>
    <w:rsid w:val="00812D10"/>
    <w:rsid w:val="008664C4"/>
    <w:rsid w:val="00866873"/>
    <w:rsid w:val="008D10E4"/>
    <w:rsid w:val="008F0A92"/>
    <w:rsid w:val="008F7189"/>
    <w:rsid w:val="00906D19"/>
    <w:rsid w:val="00956B2A"/>
    <w:rsid w:val="0096293E"/>
    <w:rsid w:val="009656DE"/>
    <w:rsid w:val="009B050D"/>
    <w:rsid w:val="009B6F49"/>
    <w:rsid w:val="009C21E8"/>
    <w:rsid w:val="009D2DD9"/>
    <w:rsid w:val="009E01FB"/>
    <w:rsid w:val="009E2BC0"/>
    <w:rsid w:val="00AA5AEE"/>
    <w:rsid w:val="00AC58E5"/>
    <w:rsid w:val="00B140D3"/>
    <w:rsid w:val="00BD1692"/>
    <w:rsid w:val="00C00184"/>
    <w:rsid w:val="00C154B3"/>
    <w:rsid w:val="00C42C12"/>
    <w:rsid w:val="00C90005"/>
    <w:rsid w:val="00D415D6"/>
    <w:rsid w:val="00DB6354"/>
    <w:rsid w:val="00DD486D"/>
    <w:rsid w:val="00E5464B"/>
    <w:rsid w:val="00E94608"/>
    <w:rsid w:val="00EE38CA"/>
    <w:rsid w:val="00F24AB9"/>
    <w:rsid w:val="00F51574"/>
    <w:rsid w:val="00F7328F"/>
    <w:rsid w:val="00FA3B2A"/>
    <w:rsid w:val="00FD6E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shapelayout v:ext="edit">
      <o:idmap v:ext="edit" data="1"/>
    </o:shapelayout>
  </w:shapeDefaults>
  <w:decimalSymbol w:val=","/>
  <w:listSeparator w:val=";"/>
  <w14:docId w14:val="6488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70666B"/>
    <w:rPr>
      <w:sz w:val="24"/>
      <w:szCs w:val="24"/>
      <w:lang w:val="en-GB"/>
    </w:rPr>
  </w:style>
  <w:style w:type="paragraph" w:styleId="Naslov1">
    <w:name w:val="heading 1"/>
    <w:basedOn w:val="Navaden"/>
    <w:next w:val="Navaden"/>
    <w:link w:val="Naslov1Znak"/>
    <w:uiPriority w:val="98"/>
    <w:semiHidden/>
    <w:rsid w:val="0070666B"/>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70666B"/>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70666B"/>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70666B"/>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70666B"/>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70666B"/>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70666B"/>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70666B"/>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70666B"/>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1"/>
    <w:qFormat/>
    <w:rsid w:val="0070666B"/>
    <w:pPr>
      <w:tabs>
        <w:tab w:val="center" w:pos="851"/>
        <w:tab w:val="center" w:pos="6407"/>
      </w:tabs>
      <w:spacing w:before="720"/>
    </w:pPr>
  </w:style>
  <w:style w:type="paragraph" w:customStyle="1" w:styleId="JuPara">
    <w:name w:val="Ju_Para"/>
    <w:aliases w:val="_Para"/>
    <w:basedOn w:val="NormalJustified"/>
    <w:link w:val="JuParaChar"/>
    <w:uiPriority w:val="4"/>
    <w:qFormat/>
    <w:rsid w:val="0070666B"/>
    <w:pPr>
      <w:ind w:firstLine="284"/>
    </w:pPr>
  </w:style>
  <w:style w:type="character" w:styleId="tevilkastrani">
    <w:name w:val="page number"/>
    <w:uiPriority w:val="98"/>
    <w:semiHidden/>
    <w:rsid w:val="0070666B"/>
    <w:rPr>
      <w:sz w:val="18"/>
    </w:rPr>
  </w:style>
  <w:style w:type="character" w:styleId="Pripombasklic">
    <w:name w:val="annotation reference"/>
    <w:basedOn w:val="Privzetapisavaodstavka"/>
    <w:uiPriority w:val="98"/>
    <w:semiHidden/>
    <w:rsid w:val="0070666B"/>
    <w:rPr>
      <w:sz w:val="16"/>
      <w:szCs w:val="16"/>
    </w:rPr>
  </w:style>
  <w:style w:type="paragraph" w:styleId="Pripombabesedilo">
    <w:name w:val="annotation text"/>
    <w:basedOn w:val="Navaden"/>
    <w:link w:val="PripombabesediloZnak"/>
    <w:uiPriority w:val="98"/>
    <w:semiHidden/>
    <w:rsid w:val="0070666B"/>
    <w:rPr>
      <w:sz w:val="20"/>
      <w:szCs w:val="20"/>
    </w:rPr>
  </w:style>
  <w:style w:type="character" w:customStyle="1" w:styleId="PripombabesediloZnak">
    <w:name w:val="Pripomba – besedilo Znak"/>
    <w:basedOn w:val="Privzetapisavaodstavka"/>
    <w:link w:val="Pripombabesedilo"/>
    <w:uiPriority w:val="98"/>
    <w:semiHidden/>
    <w:rsid w:val="0070666B"/>
    <w:rPr>
      <w:sz w:val="20"/>
      <w:szCs w:val="20"/>
      <w:lang w:val="en-GB"/>
    </w:rPr>
  </w:style>
  <w:style w:type="paragraph" w:customStyle="1" w:styleId="DecHTitle">
    <w:name w:val="Dec_H_Title"/>
    <w:aliases w:val="_Title_1"/>
    <w:basedOn w:val="JuPara"/>
    <w:next w:val="JuPara"/>
    <w:uiPriority w:val="38"/>
    <w:qFormat/>
    <w:rsid w:val="0070666B"/>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8"/>
    <w:qFormat/>
    <w:rsid w:val="0070666B"/>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70666B"/>
    <w:pPr>
      <w:keepNext/>
      <w:keepLines/>
      <w:spacing w:before="1320" w:after="280"/>
      <w:contextualSpacing/>
      <w:jc w:val="center"/>
    </w:pPr>
    <w:rPr>
      <w:b/>
    </w:rPr>
  </w:style>
  <w:style w:type="paragraph" w:customStyle="1" w:styleId="JuHeader">
    <w:name w:val="Ju_Header"/>
    <w:aliases w:val="_Header"/>
    <w:basedOn w:val="Glava"/>
    <w:uiPriority w:val="29"/>
    <w:qFormat/>
    <w:rsid w:val="0070666B"/>
    <w:pPr>
      <w:tabs>
        <w:tab w:val="clear" w:pos="4536"/>
        <w:tab w:val="clear" w:pos="9072"/>
      </w:tabs>
      <w:jc w:val="center"/>
    </w:pPr>
    <w:rPr>
      <w:sz w:val="18"/>
    </w:rPr>
  </w:style>
  <w:style w:type="paragraph" w:styleId="Glava">
    <w:name w:val="header"/>
    <w:basedOn w:val="Navaden"/>
    <w:link w:val="GlavaZnak"/>
    <w:uiPriority w:val="98"/>
    <w:semiHidden/>
    <w:rsid w:val="0070666B"/>
    <w:pPr>
      <w:tabs>
        <w:tab w:val="center" w:pos="4536"/>
        <w:tab w:val="right" w:pos="9072"/>
      </w:tabs>
    </w:pPr>
  </w:style>
  <w:style w:type="character" w:customStyle="1" w:styleId="GlavaZnak">
    <w:name w:val="Glava Znak"/>
    <w:basedOn w:val="Privzetapisavaodstavka"/>
    <w:link w:val="Glava"/>
    <w:uiPriority w:val="98"/>
    <w:semiHidden/>
    <w:rsid w:val="0070666B"/>
    <w:rPr>
      <w:sz w:val="24"/>
      <w:szCs w:val="24"/>
      <w:lang w:val="en-GB"/>
    </w:rPr>
  </w:style>
  <w:style w:type="paragraph" w:styleId="Besedilooblaka">
    <w:name w:val="Balloon Text"/>
    <w:basedOn w:val="Navaden"/>
    <w:link w:val="BesedilooblakaZnak"/>
    <w:uiPriority w:val="98"/>
    <w:semiHidden/>
    <w:rsid w:val="0070666B"/>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70666B"/>
    <w:rPr>
      <w:rFonts w:ascii="Tahoma" w:hAnsi="Tahoma" w:cs="Tahoma"/>
      <w:sz w:val="16"/>
      <w:szCs w:val="16"/>
      <w:lang w:val="en-GB"/>
    </w:rPr>
  </w:style>
  <w:style w:type="paragraph" w:customStyle="1" w:styleId="DummyStyle">
    <w:name w:val="Dummy_Style"/>
    <w:aliases w:val="_Dummy"/>
    <w:basedOn w:val="Navaden"/>
    <w:semiHidden/>
    <w:qFormat/>
    <w:rsid w:val="0070666B"/>
    <w:rPr>
      <w:color w:val="00B050"/>
      <w:sz w:val="22"/>
    </w:rPr>
  </w:style>
  <w:style w:type="paragraph" w:customStyle="1" w:styleId="NormalJustified">
    <w:name w:val="Normal_Justified"/>
    <w:basedOn w:val="Navaden"/>
    <w:semiHidden/>
    <w:rsid w:val="0070666B"/>
    <w:pPr>
      <w:jc w:val="both"/>
    </w:pPr>
  </w:style>
  <w:style w:type="paragraph" w:customStyle="1" w:styleId="JuQuot">
    <w:name w:val="Ju_Quot"/>
    <w:aliases w:val="_Quote"/>
    <w:basedOn w:val="NormalJustified"/>
    <w:uiPriority w:val="20"/>
    <w:qFormat/>
    <w:rsid w:val="0070666B"/>
    <w:pPr>
      <w:spacing w:before="120" w:after="120"/>
      <w:ind w:left="425" w:firstLine="142"/>
    </w:pPr>
    <w:rPr>
      <w:sz w:val="20"/>
    </w:rPr>
  </w:style>
  <w:style w:type="paragraph" w:customStyle="1" w:styleId="ECHRCoverTitle4">
    <w:name w:val="ECHR_Cover_Title_4"/>
    <w:aliases w:val="_Title_4"/>
    <w:basedOn w:val="JuPara"/>
    <w:next w:val="JuPara"/>
    <w:uiPriority w:val="38"/>
    <w:qFormat/>
    <w:rsid w:val="0070666B"/>
    <w:pPr>
      <w:keepNext/>
      <w:keepLines/>
      <w:tabs>
        <w:tab w:val="right" w:pos="7938"/>
      </w:tabs>
      <w:ind w:firstLine="0"/>
      <w:jc w:val="center"/>
    </w:pPr>
    <w:rPr>
      <w:i/>
    </w:rPr>
  </w:style>
  <w:style w:type="table" w:customStyle="1" w:styleId="ECHRDNTable">
    <w:name w:val="ECHR_DN_Table"/>
    <w:basedOn w:val="Navadnatabela"/>
    <w:uiPriority w:val="99"/>
    <w:rsid w:val="0070666B"/>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70666B"/>
    <w:pPr>
      <w:numPr>
        <w:numId w:val="5"/>
      </w:numPr>
    </w:pPr>
  </w:style>
  <w:style w:type="numbering" w:customStyle="1" w:styleId="ECHRA1StyleList">
    <w:name w:val="ECHR_A1_Style_List"/>
    <w:basedOn w:val="Brezseznama"/>
    <w:uiPriority w:val="99"/>
    <w:rsid w:val="0070666B"/>
    <w:pPr>
      <w:numPr>
        <w:numId w:val="6"/>
      </w:numPr>
    </w:pPr>
  </w:style>
  <w:style w:type="paragraph" w:customStyle="1" w:styleId="JuHArticle">
    <w:name w:val="Ju_H_Article"/>
    <w:aliases w:val="_Title_Quote"/>
    <w:basedOn w:val="Navaden"/>
    <w:next w:val="JuQuot"/>
    <w:uiPriority w:val="19"/>
    <w:qFormat/>
    <w:rsid w:val="0070666B"/>
    <w:pPr>
      <w:keepNext/>
      <w:spacing w:before="100" w:beforeAutospacing="1" w:after="120"/>
      <w:contextualSpacing/>
      <w:jc w:val="center"/>
    </w:pPr>
    <w:rPr>
      <w:b/>
      <w:sz w:val="20"/>
    </w:rPr>
  </w:style>
  <w:style w:type="numbering" w:customStyle="1" w:styleId="ECHRA1StyleNumberedList">
    <w:name w:val="ECHR_A1_Style_Numbered_List"/>
    <w:basedOn w:val="Brezseznama"/>
    <w:rsid w:val="0070666B"/>
    <w:pPr>
      <w:numPr>
        <w:numId w:val="7"/>
      </w:numPr>
    </w:pPr>
  </w:style>
  <w:style w:type="table" w:customStyle="1" w:styleId="ECHRHeaderTable">
    <w:name w:val="ECHR_Header_Table"/>
    <w:basedOn w:val="Navadnatabela"/>
    <w:uiPriority w:val="99"/>
    <w:rsid w:val="0070666B"/>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slov1"/>
    <w:next w:val="JuPara"/>
    <w:uiPriority w:val="17"/>
    <w:qFormat/>
    <w:rsid w:val="0070666B"/>
    <w:pPr>
      <w:keepNext/>
      <w:keepLines/>
      <w:numPr>
        <w:numId w:val="1"/>
      </w:numPr>
      <w:spacing w:before="100" w:beforeAutospacing="1" w:after="240"/>
      <w:contextualSpacing w:val="0"/>
      <w:jc w:val="both"/>
    </w:pPr>
    <w:rPr>
      <w:b w:val="0"/>
      <w:caps/>
      <w:color w:val="auto"/>
    </w:rPr>
  </w:style>
  <w:style w:type="paragraph" w:customStyle="1" w:styleId="JuInitialled">
    <w:name w:val="Ju_Initialled"/>
    <w:aliases w:val="_Right"/>
    <w:basedOn w:val="Navaden"/>
    <w:uiPriority w:val="30"/>
    <w:qFormat/>
    <w:rsid w:val="0070666B"/>
    <w:pPr>
      <w:tabs>
        <w:tab w:val="center" w:pos="6407"/>
      </w:tabs>
      <w:spacing w:before="720"/>
      <w:jc w:val="right"/>
    </w:pPr>
  </w:style>
  <w:style w:type="table" w:customStyle="1" w:styleId="ECHRHeaderTableReduced">
    <w:name w:val="ECHR_Header_Table_Reduced"/>
    <w:basedOn w:val="Navadnatabela"/>
    <w:uiPriority w:val="99"/>
    <w:rsid w:val="0070666B"/>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aliases w:val="_Ju_Names"/>
    <w:uiPriority w:val="33"/>
    <w:qFormat/>
    <w:rsid w:val="0070666B"/>
    <w:rPr>
      <w:caps w:val="0"/>
      <w:smallCaps/>
    </w:rPr>
  </w:style>
  <w:style w:type="character" w:customStyle="1" w:styleId="JuITMark">
    <w:name w:val="Ju_ITMark"/>
    <w:aliases w:val="_ITMark"/>
    <w:basedOn w:val="Privzetapisavaodstavka"/>
    <w:uiPriority w:val="54"/>
    <w:qFormat/>
    <w:rsid w:val="0070666B"/>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70666B"/>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JuCourt">
    <w:name w:val="Ju_Court"/>
    <w:aliases w:val="_Court_Names"/>
    <w:basedOn w:val="Navaden"/>
    <w:next w:val="Navaden"/>
    <w:uiPriority w:val="32"/>
    <w:qFormat/>
    <w:rsid w:val="0070666B"/>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70666B"/>
    <w:pPr>
      <w:keepNext/>
      <w:keepLines/>
      <w:numPr>
        <w:ilvl w:val="1"/>
        <w:numId w:val="1"/>
      </w:numPr>
      <w:tabs>
        <w:tab w:val="left" w:pos="454"/>
        <w:tab w:val="left" w:pos="567"/>
        <w:tab w:val="left" w:pos="680"/>
      </w:tabs>
      <w:spacing w:before="100" w:beforeAutospacing="1" w:after="240"/>
      <w:jc w:val="both"/>
    </w:pPr>
    <w:rPr>
      <w:b w:val="0"/>
      <w:caps/>
      <w:color w:val="auto"/>
      <w:sz w:val="24"/>
    </w:rPr>
  </w:style>
  <w:style w:type="character" w:customStyle="1" w:styleId="Naslov1Znak">
    <w:name w:val="Naslov 1 Znak"/>
    <w:basedOn w:val="Privzetapisavaodstavka"/>
    <w:link w:val="Naslov1"/>
    <w:uiPriority w:val="98"/>
    <w:semiHidden/>
    <w:rsid w:val="0070666B"/>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slov3"/>
    <w:next w:val="JuPara"/>
    <w:uiPriority w:val="17"/>
    <w:qFormat/>
    <w:rsid w:val="0070666B"/>
    <w:pPr>
      <w:keepNext/>
      <w:keepLines/>
      <w:numPr>
        <w:ilvl w:val="2"/>
        <w:numId w:val="1"/>
      </w:numPr>
      <w:spacing w:before="100" w:beforeAutospacing="1" w:after="240" w:line="240" w:lineRule="auto"/>
      <w:jc w:val="both"/>
    </w:pPr>
    <w:rPr>
      <w:color w:val="auto"/>
      <w:sz w:val="24"/>
    </w:rPr>
  </w:style>
  <w:style w:type="character" w:customStyle="1" w:styleId="Naslov2Znak">
    <w:name w:val="Naslov 2 Znak"/>
    <w:basedOn w:val="Privzetapisavaodstavka"/>
    <w:link w:val="Naslov2"/>
    <w:uiPriority w:val="98"/>
    <w:semiHidden/>
    <w:rsid w:val="0070666B"/>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slov4"/>
    <w:next w:val="JuPara"/>
    <w:uiPriority w:val="17"/>
    <w:rsid w:val="0070666B"/>
    <w:pPr>
      <w:keepNext/>
      <w:keepLines/>
      <w:numPr>
        <w:ilvl w:val="3"/>
        <w:numId w:val="1"/>
      </w:numPr>
      <w:spacing w:before="100" w:beforeAutospacing="1" w:after="120"/>
      <w:jc w:val="both"/>
    </w:pPr>
    <w:rPr>
      <w:b w:val="0"/>
      <w:color w:val="auto"/>
      <w:sz w:val="24"/>
    </w:rPr>
  </w:style>
  <w:style w:type="character" w:customStyle="1" w:styleId="Naslov3Znak">
    <w:name w:val="Naslov 3 Znak"/>
    <w:basedOn w:val="Privzetapisavaodstavka"/>
    <w:link w:val="Naslov3"/>
    <w:uiPriority w:val="98"/>
    <w:semiHidden/>
    <w:rsid w:val="0070666B"/>
    <w:rPr>
      <w:rFonts w:asciiTheme="majorHAnsi" w:eastAsiaTheme="majorEastAsia" w:hAnsiTheme="majorHAnsi" w:cstheme="majorBidi"/>
      <w:b/>
      <w:bCs/>
      <w:color w:val="5F5F5F"/>
      <w:lang w:val="en-GB"/>
    </w:rPr>
  </w:style>
  <w:style w:type="paragraph" w:customStyle="1" w:styleId="JuHa0">
    <w:name w:val="Ju_H_a"/>
    <w:aliases w:val="_Head_5"/>
    <w:basedOn w:val="Naslov5"/>
    <w:next w:val="JuPara"/>
    <w:uiPriority w:val="17"/>
    <w:rsid w:val="0070666B"/>
    <w:pPr>
      <w:keepNext/>
      <w:keepLines/>
      <w:numPr>
        <w:ilvl w:val="4"/>
        <w:numId w:val="1"/>
      </w:numPr>
      <w:spacing w:before="100" w:beforeAutospacing="1" w:after="120"/>
      <w:jc w:val="both"/>
    </w:pPr>
    <w:rPr>
      <w:color w:val="auto"/>
      <w:sz w:val="20"/>
    </w:rPr>
  </w:style>
  <w:style w:type="character" w:customStyle="1" w:styleId="Naslov4Znak">
    <w:name w:val="Naslov 4 Znak"/>
    <w:basedOn w:val="Privzetapisavaodstavka"/>
    <w:link w:val="Naslov4"/>
    <w:uiPriority w:val="98"/>
    <w:semiHidden/>
    <w:rsid w:val="0070666B"/>
    <w:rPr>
      <w:rFonts w:asciiTheme="majorHAnsi" w:eastAsiaTheme="majorEastAsia" w:hAnsiTheme="majorHAnsi" w:cstheme="majorBidi"/>
      <w:b/>
      <w:bCs/>
      <w:i/>
      <w:iCs/>
      <w:color w:val="777777"/>
      <w:lang w:val="en-GB"/>
    </w:rPr>
  </w:style>
  <w:style w:type="paragraph" w:customStyle="1" w:styleId="JuHi">
    <w:name w:val="Ju_H_i"/>
    <w:aliases w:val="_Head_6"/>
    <w:basedOn w:val="Naslov6"/>
    <w:next w:val="JuPara"/>
    <w:uiPriority w:val="17"/>
    <w:rsid w:val="0070666B"/>
    <w:pPr>
      <w:keepNext/>
      <w:keepLines/>
      <w:numPr>
        <w:ilvl w:val="5"/>
        <w:numId w:val="1"/>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5Znak">
    <w:name w:val="Naslov 5 Znak"/>
    <w:basedOn w:val="Privzetapisavaodstavka"/>
    <w:link w:val="Naslov5"/>
    <w:uiPriority w:val="98"/>
    <w:semiHidden/>
    <w:rsid w:val="0070666B"/>
    <w:rPr>
      <w:rFonts w:asciiTheme="majorHAnsi" w:eastAsiaTheme="majorEastAsia" w:hAnsiTheme="majorHAnsi" w:cstheme="majorBidi"/>
      <w:b/>
      <w:bCs/>
      <w:color w:val="808080"/>
      <w:lang w:val="en-GB"/>
    </w:rPr>
  </w:style>
  <w:style w:type="paragraph" w:customStyle="1" w:styleId="JuHalpha">
    <w:name w:val="Ju_H_alpha"/>
    <w:aliases w:val="_Head_7"/>
    <w:basedOn w:val="Naslov7"/>
    <w:next w:val="JuPara"/>
    <w:uiPriority w:val="17"/>
    <w:rsid w:val="0070666B"/>
    <w:pPr>
      <w:keepNext/>
      <w:keepLines/>
      <w:numPr>
        <w:ilvl w:val="6"/>
        <w:numId w:val="1"/>
      </w:numPr>
      <w:tabs>
        <w:tab w:val="left" w:pos="1361"/>
      </w:tabs>
      <w:spacing w:before="100" w:beforeAutospacing="1" w:after="120"/>
      <w:jc w:val="both"/>
    </w:pPr>
    <w:rPr>
      <w:i w:val="0"/>
      <w:sz w:val="20"/>
    </w:rPr>
  </w:style>
  <w:style w:type="character" w:customStyle="1" w:styleId="Naslov6Znak">
    <w:name w:val="Naslov 6 Znak"/>
    <w:basedOn w:val="Privzetapisavaodstavka"/>
    <w:link w:val="Naslov6"/>
    <w:uiPriority w:val="98"/>
    <w:semiHidden/>
    <w:rsid w:val="0070666B"/>
    <w:rPr>
      <w:rFonts w:asciiTheme="majorHAnsi" w:eastAsiaTheme="majorEastAsia" w:hAnsiTheme="majorHAnsi" w:cstheme="majorBidi"/>
      <w:b/>
      <w:bCs/>
      <w:i/>
      <w:iCs/>
      <w:color w:val="7F7F7F" w:themeColor="text1" w:themeTint="80"/>
      <w:lang w:val="en-GB" w:bidi="en-US"/>
    </w:rPr>
  </w:style>
  <w:style w:type="paragraph" w:customStyle="1" w:styleId="JuH">
    <w:name w:val="Ju_H_–"/>
    <w:aliases w:val="_Head_8"/>
    <w:basedOn w:val="Naslov8"/>
    <w:next w:val="JuPara"/>
    <w:uiPriority w:val="17"/>
    <w:rsid w:val="0070666B"/>
    <w:pPr>
      <w:keepNext/>
      <w:keepLines/>
      <w:numPr>
        <w:ilvl w:val="7"/>
        <w:numId w:val="1"/>
      </w:numPr>
      <w:spacing w:before="100" w:beforeAutospacing="1" w:after="120"/>
      <w:jc w:val="both"/>
    </w:pPr>
    <w:rPr>
      <w:i/>
    </w:rPr>
  </w:style>
  <w:style w:type="character" w:customStyle="1" w:styleId="Naslov7Znak">
    <w:name w:val="Naslov 7 Znak"/>
    <w:basedOn w:val="Privzetapisavaodstavka"/>
    <w:link w:val="Naslov7"/>
    <w:uiPriority w:val="98"/>
    <w:semiHidden/>
    <w:rsid w:val="0070666B"/>
    <w:rPr>
      <w:rFonts w:asciiTheme="majorHAnsi" w:eastAsiaTheme="majorEastAsia" w:hAnsiTheme="majorHAnsi" w:cstheme="majorBidi"/>
      <w:i/>
      <w:iCs/>
      <w:lang w:val="en-GB" w:bidi="en-US"/>
    </w:rPr>
  </w:style>
  <w:style w:type="paragraph" w:customStyle="1" w:styleId="JuParaLast">
    <w:name w:val="Ju_Para_Last"/>
    <w:aliases w:val="_Para_Spaced"/>
    <w:basedOn w:val="NormalJustified"/>
    <w:uiPriority w:val="5"/>
    <w:qFormat/>
    <w:rsid w:val="0070666B"/>
    <w:pPr>
      <w:keepNext/>
      <w:keepLines/>
      <w:spacing w:before="240" w:after="240"/>
      <w:ind w:firstLine="284"/>
    </w:pPr>
  </w:style>
  <w:style w:type="table" w:customStyle="1" w:styleId="ECHRTableBoxHeader">
    <w:name w:val="ECHR_Table_Box_Header"/>
    <w:basedOn w:val="Navadnatabela"/>
    <w:rsid w:val="0070666B"/>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aliases w:val="_Judges"/>
    <w:basedOn w:val="Navaden"/>
    <w:uiPriority w:val="32"/>
    <w:qFormat/>
    <w:rsid w:val="0070666B"/>
    <w:pPr>
      <w:tabs>
        <w:tab w:val="left" w:pos="567"/>
        <w:tab w:val="left" w:pos="1134"/>
      </w:tabs>
    </w:pPr>
  </w:style>
  <w:style w:type="paragraph" w:customStyle="1" w:styleId="JuList">
    <w:name w:val="Ju_List"/>
    <w:aliases w:val="_List_1"/>
    <w:basedOn w:val="NormalJustified"/>
    <w:uiPriority w:val="23"/>
    <w:qFormat/>
    <w:rsid w:val="0070666B"/>
    <w:pPr>
      <w:numPr>
        <w:numId w:val="6"/>
      </w:numPr>
      <w:spacing w:before="280" w:after="60"/>
    </w:pPr>
  </w:style>
  <w:style w:type="paragraph" w:customStyle="1" w:styleId="JuLista">
    <w:name w:val="Ju_List_a"/>
    <w:aliases w:val="_List_2"/>
    <w:basedOn w:val="NormalJustified"/>
    <w:uiPriority w:val="23"/>
    <w:rsid w:val="0070666B"/>
    <w:pPr>
      <w:numPr>
        <w:ilvl w:val="1"/>
        <w:numId w:val="6"/>
      </w:numPr>
    </w:pPr>
  </w:style>
  <w:style w:type="paragraph" w:customStyle="1" w:styleId="JuListi">
    <w:name w:val="Ju_List_i"/>
    <w:aliases w:val="_List_3"/>
    <w:basedOn w:val="NormalJustified"/>
    <w:uiPriority w:val="23"/>
    <w:rsid w:val="0070666B"/>
    <w:pPr>
      <w:numPr>
        <w:ilvl w:val="2"/>
        <w:numId w:val="6"/>
      </w:numPr>
    </w:pPr>
  </w:style>
  <w:style w:type="table" w:customStyle="1" w:styleId="ECHRTableFax">
    <w:name w:val="ECHR_Table_Fax"/>
    <w:basedOn w:val="Navadnatabela"/>
    <w:uiPriority w:val="99"/>
    <w:rsid w:val="0070666B"/>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70666B"/>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70666B"/>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8"/>
    <w:semiHidden/>
    <w:rsid w:val="0070666B"/>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70666B"/>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8"/>
    <w:semiHidden/>
    <w:qFormat/>
    <w:rsid w:val="0070666B"/>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70666B"/>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8"/>
    <w:semiHidden/>
    <w:qFormat/>
    <w:rsid w:val="0070666B"/>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70666B"/>
    <w:rPr>
      <w:rFonts w:asciiTheme="majorHAnsi" w:eastAsiaTheme="majorEastAsia" w:hAnsiTheme="majorHAnsi" w:cstheme="majorBidi"/>
      <w:i/>
      <w:iCs/>
      <w:spacing w:val="13"/>
      <w:sz w:val="24"/>
      <w:szCs w:val="24"/>
      <w:lang w:val="en-GB" w:bidi="en-US"/>
    </w:rPr>
  </w:style>
  <w:style w:type="character" w:styleId="Krepko">
    <w:name w:val="Strong"/>
    <w:uiPriority w:val="98"/>
    <w:semiHidden/>
    <w:qFormat/>
    <w:rsid w:val="0070666B"/>
    <w:rPr>
      <w:b/>
      <w:bCs/>
    </w:rPr>
  </w:style>
  <w:style w:type="character" w:styleId="Poudarek">
    <w:name w:val="Emphasis"/>
    <w:uiPriority w:val="98"/>
    <w:semiHidden/>
    <w:qFormat/>
    <w:rsid w:val="0070666B"/>
    <w:rPr>
      <w:b/>
      <w:bCs/>
      <w:i/>
      <w:iCs/>
      <w:spacing w:val="10"/>
      <w:bdr w:val="none" w:sz="0" w:space="0" w:color="auto"/>
      <w:shd w:val="clear" w:color="auto" w:fill="auto"/>
    </w:rPr>
  </w:style>
  <w:style w:type="paragraph" w:styleId="Brezrazmikov">
    <w:name w:val="No Spacing"/>
    <w:basedOn w:val="Navaden"/>
    <w:link w:val="BrezrazmikovZnak"/>
    <w:uiPriority w:val="98"/>
    <w:semiHidden/>
    <w:qFormat/>
    <w:rsid w:val="0070666B"/>
  </w:style>
  <w:style w:type="character" w:customStyle="1" w:styleId="BrezrazmikovZnak">
    <w:name w:val="Brez razmikov Znak"/>
    <w:basedOn w:val="Privzetapisavaodstavka"/>
    <w:link w:val="Brezrazmikov"/>
    <w:uiPriority w:val="98"/>
    <w:semiHidden/>
    <w:rsid w:val="0070666B"/>
    <w:rPr>
      <w:sz w:val="24"/>
      <w:szCs w:val="24"/>
      <w:lang w:val="en-GB"/>
    </w:rPr>
  </w:style>
  <w:style w:type="paragraph" w:styleId="Odstavekseznama">
    <w:name w:val="List Paragraph"/>
    <w:basedOn w:val="Navaden"/>
    <w:uiPriority w:val="98"/>
    <w:semiHidden/>
    <w:qFormat/>
    <w:rsid w:val="0070666B"/>
    <w:pPr>
      <w:ind w:left="720"/>
      <w:contextualSpacing/>
    </w:pPr>
  </w:style>
  <w:style w:type="paragraph" w:styleId="Citat">
    <w:name w:val="Quote"/>
    <w:basedOn w:val="Navaden"/>
    <w:next w:val="Navaden"/>
    <w:link w:val="CitatZnak"/>
    <w:uiPriority w:val="98"/>
    <w:semiHidden/>
    <w:qFormat/>
    <w:rsid w:val="0070666B"/>
    <w:pPr>
      <w:spacing w:before="200"/>
      <w:ind w:left="360" w:right="360"/>
    </w:pPr>
    <w:rPr>
      <w:i/>
      <w:iCs/>
      <w:lang w:bidi="en-US"/>
    </w:rPr>
  </w:style>
  <w:style w:type="character" w:customStyle="1" w:styleId="CitatZnak">
    <w:name w:val="Citat Znak"/>
    <w:basedOn w:val="Privzetapisavaodstavka"/>
    <w:link w:val="Citat"/>
    <w:uiPriority w:val="98"/>
    <w:semiHidden/>
    <w:rsid w:val="0070666B"/>
    <w:rPr>
      <w:i/>
      <w:iCs/>
      <w:sz w:val="24"/>
      <w:szCs w:val="24"/>
      <w:lang w:val="en-GB" w:bidi="en-US"/>
    </w:rPr>
  </w:style>
  <w:style w:type="paragraph" w:styleId="Intenzivencitat">
    <w:name w:val="Intense Quote"/>
    <w:basedOn w:val="Navaden"/>
    <w:next w:val="Navaden"/>
    <w:link w:val="IntenzivencitatZnak"/>
    <w:uiPriority w:val="98"/>
    <w:semiHidden/>
    <w:qFormat/>
    <w:rsid w:val="0070666B"/>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70666B"/>
    <w:rPr>
      <w:b/>
      <w:bCs/>
      <w:i/>
      <w:iCs/>
      <w:sz w:val="24"/>
      <w:szCs w:val="24"/>
      <w:lang w:val="en-GB" w:bidi="en-US"/>
    </w:rPr>
  </w:style>
  <w:style w:type="character" w:styleId="Neenpoudarek">
    <w:name w:val="Subtle Emphasis"/>
    <w:uiPriority w:val="98"/>
    <w:semiHidden/>
    <w:qFormat/>
    <w:rsid w:val="0070666B"/>
    <w:rPr>
      <w:i/>
      <w:iCs/>
    </w:rPr>
  </w:style>
  <w:style w:type="character" w:styleId="Intenzivenpoudarek">
    <w:name w:val="Intense Emphasis"/>
    <w:uiPriority w:val="98"/>
    <w:semiHidden/>
    <w:qFormat/>
    <w:rsid w:val="0070666B"/>
    <w:rPr>
      <w:b/>
      <w:bCs/>
    </w:rPr>
  </w:style>
  <w:style w:type="character" w:styleId="Neensklic">
    <w:name w:val="Subtle Reference"/>
    <w:uiPriority w:val="98"/>
    <w:semiHidden/>
    <w:qFormat/>
    <w:rsid w:val="0070666B"/>
    <w:rPr>
      <w:smallCaps/>
    </w:rPr>
  </w:style>
  <w:style w:type="character" w:styleId="Intenzivensklic">
    <w:name w:val="Intense Reference"/>
    <w:uiPriority w:val="98"/>
    <w:semiHidden/>
    <w:qFormat/>
    <w:rsid w:val="0070666B"/>
    <w:rPr>
      <w:smallCaps/>
      <w:spacing w:val="5"/>
      <w:u w:val="single"/>
    </w:rPr>
  </w:style>
  <w:style w:type="character" w:styleId="Naslovknjige">
    <w:name w:val="Book Title"/>
    <w:uiPriority w:val="98"/>
    <w:semiHidden/>
    <w:qFormat/>
    <w:rsid w:val="0070666B"/>
    <w:rPr>
      <w:i/>
      <w:iCs/>
      <w:smallCaps/>
      <w:spacing w:val="5"/>
    </w:rPr>
  </w:style>
  <w:style w:type="paragraph" w:styleId="NaslovTOC">
    <w:name w:val="TOC Heading"/>
    <w:basedOn w:val="Navaden"/>
    <w:next w:val="Navaden"/>
    <w:uiPriority w:val="98"/>
    <w:semiHidden/>
    <w:qFormat/>
    <w:rsid w:val="0070666B"/>
    <w:pPr>
      <w:keepNext/>
      <w:keepLines/>
      <w:spacing w:before="240"/>
      <w:contextualSpacing/>
      <w:jc w:val="center"/>
    </w:pPr>
    <w:rPr>
      <w:rFonts w:asciiTheme="majorHAnsi" w:hAnsiTheme="majorHAnsi"/>
      <w:b/>
      <w:color w:val="474747" w:themeColor="accent3" w:themeShade="BF"/>
      <w:sz w:val="28"/>
    </w:rPr>
  </w:style>
  <w:style w:type="numbering" w:styleId="111111">
    <w:name w:val="Outline List 2"/>
    <w:basedOn w:val="Brezseznama"/>
    <w:uiPriority w:val="99"/>
    <w:semiHidden/>
    <w:unhideWhenUsed/>
    <w:rsid w:val="0070666B"/>
    <w:pPr>
      <w:numPr>
        <w:numId w:val="2"/>
      </w:numPr>
    </w:pPr>
  </w:style>
  <w:style w:type="numbering" w:styleId="1ai">
    <w:name w:val="Outline List 1"/>
    <w:basedOn w:val="Brezseznama"/>
    <w:uiPriority w:val="99"/>
    <w:semiHidden/>
    <w:unhideWhenUsed/>
    <w:rsid w:val="0070666B"/>
    <w:pPr>
      <w:numPr>
        <w:numId w:val="3"/>
      </w:numPr>
    </w:pPr>
  </w:style>
  <w:style w:type="numbering" w:styleId="lenOdsek">
    <w:name w:val="Outline List 3"/>
    <w:basedOn w:val="Brezseznama"/>
    <w:uiPriority w:val="99"/>
    <w:semiHidden/>
    <w:unhideWhenUsed/>
    <w:rsid w:val="0070666B"/>
    <w:pPr>
      <w:numPr>
        <w:numId w:val="4"/>
      </w:numPr>
    </w:pPr>
  </w:style>
  <w:style w:type="paragraph" w:styleId="Bibliografija">
    <w:name w:val="Bibliography"/>
    <w:basedOn w:val="Navaden"/>
    <w:next w:val="Navaden"/>
    <w:uiPriority w:val="98"/>
    <w:semiHidden/>
    <w:rsid w:val="0070666B"/>
  </w:style>
  <w:style w:type="paragraph" w:styleId="Blokbesedila">
    <w:name w:val="Block Text"/>
    <w:basedOn w:val="Navaden"/>
    <w:uiPriority w:val="98"/>
    <w:semiHidden/>
    <w:rsid w:val="0070666B"/>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8"/>
    <w:semiHidden/>
    <w:rsid w:val="0070666B"/>
    <w:pPr>
      <w:spacing w:after="120"/>
    </w:pPr>
  </w:style>
  <w:style w:type="character" w:customStyle="1" w:styleId="TelobesedilaZnak">
    <w:name w:val="Telo besedila Znak"/>
    <w:basedOn w:val="Privzetapisavaodstavka"/>
    <w:link w:val="Telobesedila"/>
    <w:uiPriority w:val="98"/>
    <w:semiHidden/>
    <w:rsid w:val="0070666B"/>
    <w:rPr>
      <w:sz w:val="24"/>
      <w:szCs w:val="24"/>
      <w:lang w:val="en-GB"/>
    </w:rPr>
  </w:style>
  <w:style w:type="paragraph" w:styleId="Telobesedila2">
    <w:name w:val="Body Text 2"/>
    <w:basedOn w:val="Navaden"/>
    <w:link w:val="Telobesedila2Znak"/>
    <w:uiPriority w:val="98"/>
    <w:semiHidden/>
    <w:rsid w:val="0070666B"/>
    <w:pPr>
      <w:spacing w:after="120" w:line="480" w:lineRule="auto"/>
    </w:pPr>
  </w:style>
  <w:style w:type="character" w:customStyle="1" w:styleId="Telobesedila2Znak">
    <w:name w:val="Telo besedila 2 Znak"/>
    <w:basedOn w:val="Privzetapisavaodstavka"/>
    <w:link w:val="Telobesedila2"/>
    <w:uiPriority w:val="98"/>
    <w:semiHidden/>
    <w:rsid w:val="0070666B"/>
    <w:rPr>
      <w:sz w:val="24"/>
      <w:szCs w:val="24"/>
      <w:lang w:val="en-GB"/>
    </w:rPr>
  </w:style>
  <w:style w:type="paragraph" w:styleId="Telobesedila3">
    <w:name w:val="Body Text 3"/>
    <w:basedOn w:val="Navaden"/>
    <w:link w:val="Telobesedila3Znak"/>
    <w:uiPriority w:val="98"/>
    <w:semiHidden/>
    <w:rsid w:val="0070666B"/>
    <w:pPr>
      <w:spacing w:after="120"/>
    </w:pPr>
    <w:rPr>
      <w:sz w:val="16"/>
      <w:szCs w:val="16"/>
    </w:rPr>
  </w:style>
  <w:style w:type="character" w:customStyle="1" w:styleId="Telobesedila3Znak">
    <w:name w:val="Telo besedila 3 Znak"/>
    <w:basedOn w:val="Privzetapisavaodstavka"/>
    <w:link w:val="Telobesedila3"/>
    <w:uiPriority w:val="98"/>
    <w:semiHidden/>
    <w:rsid w:val="0070666B"/>
    <w:rPr>
      <w:sz w:val="16"/>
      <w:szCs w:val="16"/>
      <w:lang w:val="en-GB"/>
    </w:rPr>
  </w:style>
  <w:style w:type="paragraph" w:styleId="Telobesedila-prvizamik">
    <w:name w:val="Body Text First Indent"/>
    <w:basedOn w:val="Telobesedila"/>
    <w:link w:val="Telobesedila-prvizamikZnak"/>
    <w:uiPriority w:val="98"/>
    <w:semiHidden/>
    <w:rsid w:val="0070666B"/>
    <w:pPr>
      <w:spacing w:after="0"/>
      <w:ind w:firstLine="360"/>
    </w:pPr>
  </w:style>
  <w:style w:type="character" w:customStyle="1" w:styleId="Telobesedila-prvizamikZnak">
    <w:name w:val="Telo besedila - prvi zamik Znak"/>
    <w:basedOn w:val="TelobesedilaZnak"/>
    <w:link w:val="Telobesedila-prvizamik"/>
    <w:uiPriority w:val="98"/>
    <w:semiHidden/>
    <w:rsid w:val="0070666B"/>
    <w:rPr>
      <w:sz w:val="24"/>
      <w:szCs w:val="24"/>
      <w:lang w:val="en-GB"/>
    </w:rPr>
  </w:style>
  <w:style w:type="paragraph" w:styleId="Telobesedila-zamik">
    <w:name w:val="Body Text Indent"/>
    <w:basedOn w:val="Navaden"/>
    <w:link w:val="Telobesedila-zamikZnak"/>
    <w:uiPriority w:val="98"/>
    <w:semiHidden/>
    <w:rsid w:val="0070666B"/>
    <w:pPr>
      <w:spacing w:after="120"/>
      <w:ind w:left="283"/>
    </w:pPr>
  </w:style>
  <w:style w:type="character" w:customStyle="1" w:styleId="Telobesedila-zamikZnak">
    <w:name w:val="Telo besedila - zamik Znak"/>
    <w:basedOn w:val="Privzetapisavaodstavka"/>
    <w:link w:val="Telobesedila-zamik"/>
    <w:uiPriority w:val="98"/>
    <w:semiHidden/>
    <w:rsid w:val="0070666B"/>
    <w:rPr>
      <w:sz w:val="24"/>
      <w:szCs w:val="24"/>
      <w:lang w:val="en-GB"/>
    </w:rPr>
  </w:style>
  <w:style w:type="paragraph" w:styleId="Telobesedila-prvizamik2">
    <w:name w:val="Body Text First Indent 2"/>
    <w:basedOn w:val="Telobesedila-zamik"/>
    <w:link w:val="Telobesedila-prvizamik2Znak"/>
    <w:uiPriority w:val="98"/>
    <w:semiHidden/>
    <w:rsid w:val="0070666B"/>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70666B"/>
    <w:rPr>
      <w:sz w:val="24"/>
      <w:szCs w:val="24"/>
      <w:lang w:val="en-GB"/>
    </w:rPr>
  </w:style>
  <w:style w:type="paragraph" w:styleId="Telobesedila-zamik2">
    <w:name w:val="Body Text Indent 2"/>
    <w:basedOn w:val="Navaden"/>
    <w:link w:val="Telobesedila-zamik2Znak"/>
    <w:uiPriority w:val="98"/>
    <w:semiHidden/>
    <w:rsid w:val="0070666B"/>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70666B"/>
    <w:rPr>
      <w:sz w:val="24"/>
      <w:szCs w:val="24"/>
      <w:lang w:val="en-GB"/>
    </w:rPr>
  </w:style>
  <w:style w:type="paragraph" w:styleId="Telobesedila-zamik3">
    <w:name w:val="Body Text Indent 3"/>
    <w:basedOn w:val="Navaden"/>
    <w:link w:val="Telobesedila-zamik3Znak"/>
    <w:uiPriority w:val="98"/>
    <w:semiHidden/>
    <w:rsid w:val="0070666B"/>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70666B"/>
    <w:rPr>
      <w:sz w:val="16"/>
      <w:szCs w:val="16"/>
      <w:lang w:val="en-GB"/>
    </w:rPr>
  </w:style>
  <w:style w:type="paragraph" w:styleId="Napis">
    <w:name w:val="caption"/>
    <w:basedOn w:val="Navaden"/>
    <w:next w:val="Navaden"/>
    <w:uiPriority w:val="98"/>
    <w:semiHidden/>
    <w:qFormat/>
    <w:rsid w:val="0070666B"/>
    <w:pPr>
      <w:spacing w:after="200"/>
    </w:pPr>
    <w:rPr>
      <w:b/>
      <w:bCs/>
      <w:color w:val="0072BC" w:themeColor="accent1"/>
      <w:sz w:val="18"/>
      <w:szCs w:val="18"/>
    </w:rPr>
  </w:style>
  <w:style w:type="paragraph" w:styleId="Zakljunipozdrav">
    <w:name w:val="Closing"/>
    <w:basedOn w:val="Navaden"/>
    <w:link w:val="ZakljunipozdravZnak"/>
    <w:uiPriority w:val="98"/>
    <w:semiHidden/>
    <w:rsid w:val="0070666B"/>
    <w:pPr>
      <w:ind w:left="4252"/>
    </w:pPr>
  </w:style>
  <w:style w:type="character" w:customStyle="1" w:styleId="ZakljunipozdravZnak">
    <w:name w:val="Zaključni pozdrav Znak"/>
    <w:basedOn w:val="Privzetapisavaodstavka"/>
    <w:link w:val="Zakljunipozdrav"/>
    <w:uiPriority w:val="98"/>
    <w:semiHidden/>
    <w:rsid w:val="0070666B"/>
    <w:rPr>
      <w:sz w:val="24"/>
      <w:szCs w:val="24"/>
      <w:lang w:val="en-GB"/>
    </w:rPr>
  </w:style>
  <w:style w:type="table" w:styleId="Barvnamrea">
    <w:name w:val="Colorful Grid"/>
    <w:basedOn w:val="Navadnatabela"/>
    <w:uiPriority w:val="73"/>
    <w:semiHidden/>
    <w:rsid w:val="0070666B"/>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70666B"/>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70666B"/>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70666B"/>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70666B"/>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70666B"/>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70666B"/>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70666B"/>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70666B"/>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70666B"/>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70666B"/>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70666B"/>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70666B"/>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70666B"/>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70666B"/>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70666B"/>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70666B"/>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70666B"/>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70666B"/>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70666B"/>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70666B"/>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8"/>
    <w:semiHidden/>
    <w:rsid w:val="0070666B"/>
    <w:rPr>
      <w:b/>
      <w:bCs/>
    </w:rPr>
  </w:style>
  <w:style w:type="character" w:customStyle="1" w:styleId="ZadevapripombeZnak">
    <w:name w:val="Zadeva pripombe Znak"/>
    <w:basedOn w:val="PripombabesediloZnak"/>
    <w:link w:val="Zadevapripombe"/>
    <w:uiPriority w:val="98"/>
    <w:semiHidden/>
    <w:rsid w:val="0070666B"/>
    <w:rPr>
      <w:b/>
      <w:bCs/>
      <w:sz w:val="20"/>
      <w:szCs w:val="20"/>
      <w:lang w:val="en-GB"/>
    </w:rPr>
  </w:style>
  <w:style w:type="table" w:styleId="Temenseznam">
    <w:name w:val="Dark List"/>
    <w:basedOn w:val="Navadnatabela"/>
    <w:uiPriority w:val="70"/>
    <w:semiHidden/>
    <w:rsid w:val="0070666B"/>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70666B"/>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70666B"/>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70666B"/>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70666B"/>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70666B"/>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70666B"/>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70666B"/>
  </w:style>
  <w:style w:type="character" w:customStyle="1" w:styleId="DatumZnak">
    <w:name w:val="Datum Znak"/>
    <w:basedOn w:val="Privzetapisavaodstavka"/>
    <w:link w:val="Datum"/>
    <w:uiPriority w:val="98"/>
    <w:semiHidden/>
    <w:rsid w:val="0070666B"/>
    <w:rPr>
      <w:sz w:val="24"/>
      <w:szCs w:val="24"/>
      <w:lang w:val="en-GB"/>
    </w:rPr>
  </w:style>
  <w:style w:type="paragraph" w:styleId="Zgradbadokumenta">
    <w:name w:val="Document Map"/>
    <w:basedOn w:val="Navaden"/>
    <w:link w:val="ZgradbadokumentaZnak"/>
    <w:uiPriority w:val="98"/>
    <w:semiHidden/>
    <w:rsid w:val="0070666B"/>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70666B"/>
    <w:rPr>
      <w:rFonts w:ascii="Tahoma" w:hAnsi="Tahoma" w:cs="Tahoma"/>
      <w:sz w:val="16"/>
      <w:szCs w:val="16"/>
      <w:lang w:val="en-GB"/>
    </w:rPr>
  </w:style>
  <w:style w:type="paragraph" w:styleId="E-potnipodpis">
    <w:name w:val="E-mail Signature"/>
    <w:basedOn w:val="Navaden"/>
    <w:link w:val="E-potnipodpisZnak"/>
    <w:uiPriority w:val="98"/>
    <w:semiHidden/>
    <w:rsid w:val="0070666B"/>
  </w:style>
  <w:style w:type="character" w:customStyle="1" w:styleId="E-potnipodpisZnak">
    <w:name w:val="E-poštni podpis Znak"/>
    <w:basedOn w:val="Privzetapisavaodstavka"/>
    <w:link w:val="E-potnipodpis"/>
    <w:uiPriority w:val="98"/>
    <w:semiHidden/>
    <w:rsid w:val="0070666B"/>
    <w:rPr>
      <w:sz w:val="24"/>
      <w:szCs w:val="24"/>
      <w:lang w:val="en-GB"/>
    </w:rPr>
  </w:style>
  <w:style w:type="character" w:styleId="Konnaopomba-sklic">
    <w:name w:val="endnote reference"/>
    <w:basedOn w:val="Privzetapisavaodstavka"/>
    <w:uiPriority w:val="98"/>
    <w:semiHidden/>
    <w:rsid w:val="0070666B"/>
    <w:rPr>
      <w:vertAlign w:val="superscript"/>
    </w:rPr>
  </w:style>
  <w:style w:type="paragraph" w:styleId="Konnaopomba-besedilo">
    <w:name w:val="endnote text"/>
    <w:basedOn w:val="Navaden"/>
    <w:link w:val="Konnaopomba-besediloZnak"/>
    <w:uiPriority w:val="98"/>
    <w:semiHidden/>
    <w:rsid w:val="0070666B"/>
    <w:rPr>
      <w:sz w:val="20"/>
      <w:szCs w:val="20"/>
    </w:rPr>
  </w:style>
  <w:style w:type="character" w:customStyle="1" w:styleId="Konnaopomba-besediloZnak">
    <w:name w:val="Končna opomba - besedilo Znak"/>
    <w:basedOn w:val="Privzetapisavaodstavka"/>
    <w:link w:val="Konnaopomba-besedilo"/>
    <w:uiPriority w:val="98"/>
    <w:semiHidden/>
    <w:rsid w:val="0070666B"/>
    <w:rPr>
      <w:sz w:val="20"/>
      <w:szCs w:val="20"/>
      <w:lang w:val="en-GB"/>
    </w:rPr>
  </w:style>
  <w:style w:type="paragraph" w:styleId="Naslovnaslovnika">
    <w:name w:val="envelope address"/>
    <w:basedOn w:val="Navaden"/>
    <w:uiPriority w:val="98"/>
    <w:semiHidden/>
    <w:rsid w:val="0070666B"/>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70666B"/>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70666B"/>
    <w:rPr>
      <w:color w:val="7030A0" w:themeColor="followedHyperlink"/>
      <w:u w:val="single"/>
    </w:rPr>
  </w:style>
  <w:style w:type="character" w:styleId="Sprotnaopomba-sklic">
    <w:name w:val="footnote reference"/>
    <w:basedOn w:val="Privzetapisavaodstavka"/>
    <w:uiPriority w:val="98"/>
    <w:semiHidden/>
    <w:rsid w:val="0070666B"/>
    <w:rPr>
      <w:vertAlign w:val="superscript"/>
    </w:rPr>
  </w:style>
  <w:style w:type="paragraph" w:styleId="Sprotnaopomba-besedilo">
    <w:name w:val="footnote text"/>
    <w:basedOn w:val="Navaden"/>
    <w:link w:val="Sprotnaopomba-besediloZnak"/>
    <w:uiPriority w:val="98"/>
    <w:semiHidden/>
    <w:rsid w:val="0070666B"/>
    <w:rPr>
      <w:sz w:val="20"/>
      <w:szCs w:val="20"/>
    </w:rPr>
  </w:style>
  <w:style w:type="character" w:customStyle="1" w:styleId="Sprotnaopomba-besediloZnak">
    <w:name w:val="Sprotna opomba - besedilo Znak"/>
    <w:basedOn w:val="Privzetapisavaodstavka"/>
    <w:link w:val="Sprotnaopomba-besedilo"/>
    <w:uiPriority w:val="98"/>
    <w:semiHidden/>
    <w:rsid w:val="0070666B"/>
    <w:rPr>
      <w:sz w:val="20"/>
      <w:szCs w:val="20"/>
      <w:lang w:val="en-GB"/>
    </w:rPr>
  </w:style>
  <w:style w:type="character" w:styleId="HTML-kratica">
    <w:name w:val="HTML Acronym"/>
    <w:basedOn w:val="Privzetapisavaodstavka"/>
    <w:uiPriority w:val="98"/>
    <w:semiHidden/>
    <w:rsid w:val="0070666B"/>
  </w:style>
  <w:style w:type="paragraph" w:styleId="HTMLnaslov">
    <w:name w:val="HTML Address"/>
    <w:basedOn w:val="Navaden"/>
    <w:link w:val="HTMLnaslovZnak"/>
    <w:uiPriority w:val="98"/>
    <w:semiHidden/>
    <w:rsid w:val="0070666B"/>
    <w:rPr>
      <w:i/>
      <w:iCs/>
    </w:rPr>
  </w:style>
  <w:style w:type="character" w:customStyle="1" w:styleId="HTMLnaslovZnak">
    <w:name w:val="HTML naslov Znak"/>
    <w:basedOn w:val="Privzetapisavaodstavka"/>
    <w:link w:val="HTMLnaslov"/>
    <w:uiPriority w:val="98"/>
    <w:semiHidden/>
    <w:rsid w:val="0070666B"/>
    <w:rPr>
      <w:i/>
      <w:iCs/>
      <w:sz w:val="24"/>
      <w:szCs w:val="24"/>
      <w:lang w:val="en-GB"/>
    </w:rPr>
  </w:style>
  <w:style w:type="character" w:styleId="HTML-citat">
    <w:name w:val="HTML Cite"/>
    <w:basedOn w:val="Privzetapisavaodstavka"/>
    <w:uiPriority w:val="98"/>
    <w:semiHidden/>
    <w:rsid w:val="0070666B"/>
    <w:rPr>
      <w:i/>
      <w:iCs/>
    </w:rPr>
  </w:style>
  <w:style w:type="character" w:styleId="KodaHTML">
    <w:name w:val="HTML Code"/>
    <w:basedOn w:val="Privzetapisavaodstavka"/>
    <w:uiPriority w:val="98"/>
    <w:semiHidden/>
    <w:rsid w:val="0070666B"/>
    <w:rPr>
      <w:rFonts w:ascii="Consolas" w:hAnsi="Consolas" w:cs="Consolas"/>
      <w:sz w:val="20"/>
      <w:szCs w:val="20"/>
    </w:rPr>
  </w:style>
  <w:style w:type="character" w:styleId="DefinicijaHTML">
    <w:name w:val="HTML Definition"/>
    <w:basedOn w:val="Privzetapisavaodstavka"/>
    <w:uiPriority w:val="98"/>
    <w:semiHidden/>
    <w:rsid w:val="0070666B"/>
    <w:rPr>
      <w:i/>
      <w:iCs/>
    </w:rPr>
  </w:style>
  <w:style w:type="character" w:styleId="HTML-tipkovnica">
    <w:name w:val="HTML Keyboard"/>
    <w:basedOn w:val="Privzetapisavaodstavka"/>
    <w:uiPriority w:val="98"/>
    <w:semiHidden/>
    <w:rsid w:val="0070666B"/>
    <w:rPr>
      <w:rFonts w:ascii="Consolas" w:hAnsi="Consolas" w:cs="Consolas"/>
      <w:sz w:val="20"/>
      <w:szCs w:val="20"/>
    </w:rPr>
  </w:style>
  <w:style w:type="paragraph" w:styleId="HTML-oblikovano">
    <w:name w:val="HTML Preformatted"/>
    <w:basedOn w:val="Navaden"/>
    <w:link w:val="HTML-oblikovanoZnak"/>
    <w:uiPriority w:val="98"/>
    <w:semiHidden/>
    <w:rsid w:val="0070666B"/>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70666B"/>
    <w:rPr>
      <w:rFonts w:ascii="Consolas" w:hAnsi="Consolas" w:cs="Consolas"/>
      <w:sz w:val="20"/>
      <w:szCs w:val="20"/>
      <w:lang w:val="en-GB"/>
    </w:rPr>
  </w:style>
  <w:style w:type="character" w:styleId="HTMLvzorec">
    <w:name w:val="HTML Sample"/>
    <w:basedOn w:val="Privzetapisavaodstavka"/>
    <w:uiPriority w:val="98"/>
    <w:semiHidden/>
    <w:rsid w:val="0070666B"/>
    <w:rPr>
      <w:rFonts w:ascii="Consolas" w:hAnsi="Consolas" w:cs="Consolas"/>
      <w:sz w:val="24"/>
      <w:szCs w:val="24"/>
    </w:rPr>
  </w:style>
  <w:style w:type="character" w:styleId="HTMLpisalnistroj">
    <w:name w:val="HTML Typewriter"/>
    <w:basedOn w:val="Privzetapisavaodstavka"/>
    <w:uiPriority w:val="98"/>
    <w:semiHidden/>
    <w:rsid w:val="0070666B"/>
    <w:rPr>
      <w:rFonts w:ascii="Consolas" w:hAnsi="Consolas" w:cs="Consolas"/>
      <w:sz w:val="20"/>
      <w:szCs w:val="20"/>
    </w:rPr>
  </w:style>
  <w:style w:type="character" w:styleId="HTMLspremenljivka">
    <w:name w:val="HTML Variable"/>
    <w:basedOn w:val="Privzetapisavaodstavka"/>
    <w:uiPriority w:val="98"/>
    <w:semiHidden/>
    <w:rsid w:val="0070666B"/>
    <w:rPr>
      <w:i/>
      <w:iCs/>
    </w:rPr>
  </w:style>
  <w:style w:type="character" w:styleId="Hiperpovezava">
    <w:name w:val="Hyperlink"/>
    <w:basedOn w:val="Privzetapisavaodstavka"/>
    <w:uiPriority w:val="98"/>
    <w:semiHidden/>
    <w:rsid w:val="0070666B"/>
    <w:rPr>
      <w:color w:val="0072BC" w:themeColor="hyperlink"/>
      <w:u w:val="single"/>
    </w:rPr>
  </w:style>
  <w:style w:type="paragraph" w:styleId="Stvarnokazalo1">
    <w:name w:val="index 1"/>
    <w:basedOn w:val="Navaden"/>
    <w:next w:val="Navaden"/>
    <w:autoRedefine/>
    <w:uiPriority w:val="98"/>
    <w:semiHidden/>
    <w:rsid w:val="0070666B"/>
    <w:pPr>
      <w:ind w:left="240" w:hanging="240"/>
    </w:pPr>
  </w:style>
  <w:style w:type="paragraph" w:styleId="Stvarnokazalo2">
    <w:name w:val="index 2"/>
    <w:basedOn w:val="Navaden"/>
    <w:next w:val="Navaden"/>
    <w:autoRedefine/>
    <w:uiPriority w:val="98"/>
    <w:semiHidden/>
    <w:rsid w:val="0070666B"/>
    <w:pPr>
      <w:ind w:left="480" w:hanging="240"/>
    </w:pPr>
  </w:style>
  <w:style w:type="paragraph" w:styleId="Stvarnokazalo3">
    <w:name w:val="index 3"/>
    <w:basedOn w:val="Navaden"/>
    <w:next w:val="Navaden"/>
    <w:autoRedefine/>
    <w:uiPriority w:val="98"/>
    <w:semiHidden/>
    <w:rsid w:val="0070666B"/>
    <w:pPr>
      <w:ind w:left="720" w:hanging="240"/>
    </w:pPr>
  </w:style>
  <w:style w:type="paragraph" w:styleId="Stvarnokazalo4">
    <w:name w:val="index 4"/>
    <w:basedOn w:val="Navaden"/>
    <w:next w:val="Navaden"/>
    <w:autoRedefine/>
    <w:uiPriority w:val="98"/>
    <w:semiHidden/>
    <w:rsid w:val="0070666B"/>
    <w:pPr>
      <w:ind w:left="960" w:hanging="240"/>
    </w:pPr>
  </w:style>
  <w:style w:type="paragraph" w:styleId="Stvarnokazalo5">
    <w:name w:val="index 5"/>
    <w:basedOn w:val="Navaden"/>
    <w:next w:val="Navaden"/>
    <w:autoRedefine/>
    <w:uiPriority w:val="98"/>
    <w:semiHidden/>
    <w:rsid w:val="0070666B"/>
    <w:pPr>
      <w:ind w:left="1200" w:hanging="240"/>
    </w:pPr>
  </w:style>
  <w:style w:type="paragraph" w:styleId="Stvarnokazalo6">
    <w:name w:val="index 6"/>
    <w:basedOn w:val="Navaden"/>
    <w:next w:val="Navaden"/>
    <w:autoRedefine/>
    <w:uiPriority w:val="98"/>
    <w:semiHidden/>
    <w:rsid w:val="0070666B"/>
    <w:pPr>
      <w:ind w:left="1440" w:hanging="240"/>
    </w:pPr>
  </w:style>
  <w:style w:type="paragraph" w:styleId="Stvarnokazalo7">
    <w:name w:val="index 7"/>
    <w:basedOn w:val="Navaden"/>
    <w:next w:val="Navaden"/>
    <w:autoRedefine/>
    <w:uiPriority w:val="98"/>
    <w:semiHidden/>
    <w:rsid w:val="0070666B"/>
    <w:pPr>
      <w:ind w:left="1680" w:hanging="240"/>
    </w:pPr>
  </w:style>
  <w:style w:type="paragraph" w:styleId="Stvarnokazalo8">
    <w:name w:val="index 8"/>
    <w:basedOn w:val="Navaden"/>
    <w:next w:val="Navaden"/>
    <w:autoRedefine/>
    <w:uiPriority w:val="98"/>
    <w:semiHidden/>
    <w:rsid w:val="0070666B"/>
    <w:pPr>
      <w:ind w:left="1920" w:hanging="240"/>
    </w:pPr>
  </w:style>
  <w:style w:type="paragraph" w:styleId="Stvarnokazalo9">
    <w:name w:val="index 9"/>
    <w:basedOn w:val="Navaden"/>
    <w:next w:val="Navaden"/>
    <w:autoRedefine/>
    <w:uiPriority w:val="98"/>
    <w:semiHidden/>
    <w:rsid w:val="0070666B"/>
    <w:pPr>
      <w:ind w:left="2160" w:hanging="240"/>
    </w:pPr>
  </w:style>
  <w:style w:type="paragraph" w:styleId="Stvarnokazalo-naslov">
    <w:name w:val="index heading"/>
    <w:basedOn w:val="Navaden"/>
    <w:next w:val="Stvarnokazalo1"/>
    <w:uiPriority w:val="98"/>
    <w:semiHidden/>
    <w:rsid w:val="0070666B"/>
    <w:rPr>
      <w:rFonts w:asciiTheme="majorHAnsi" w:eastAsiaTheme="majorEastAsia" w:hAnsiTheme="majorHAnsi" w:cstheme="majorBidi"/>
      <w:b/>
      <w:bCs/>
    </w:rPr>
  </w:style>
  <w:style w:type="table" w:styleId="Svetlamrea">
    <w:name w:val="Light Grid"/>
    <w:basedOn w:val="Navadnatabela"/>
    <w:uiPriority w:val="62"/>
    <w:semiHidden/>
    <w:rsid w:val="0070666B"/>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70666B"/>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70666B"/>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70666B"/>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70666B"/>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70666B"/>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70666B"/>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70666B"/>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70666B"/>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70666B"/>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70666B"/>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70666B"/>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70666B"/>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70666B"/>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70666B"/>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70666B"/>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70666B"/>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70666B"/>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70666B"/>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70666B"/>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70666B"/>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70666B"/>
  </w:style>
  <w:style w:type="paragraph" w:styleId="Seznam">
    <w:name w:val="List"/>
    <w:basedOn w:val="Navaden"/>
    <w:uiPriority w:val="98"/>
    <w:semiHidden/>
    <w:rsid w:val="0070666B"/>
    <w:pPr>
      <w:ind w:left="283" w:hanging="283"/>
      <w:contextualSpacing/>
    </w:pPr>
  </w:style>
  <w:style w:type="paragraph" w:styleId="Seznam2">
    <w:name w:val="List 2"/>
    <w:basedOn w:val="Navaden"/>
    <w:uiPriority w:val="98"/>
    <w:semiHidden/>
    <w:rsid w:val="0070666B"/>
    <w:pPr>
      <w:ind w:left="566" w:hanging="283"/>
      <w:contextualSpacing/>
    </w:pPr>
  </w:style>
  <w:style w:type="paragraph" w:styleId="Seznam3">
    <w:name w:val="List 3"/>
    <w:basedOn w:val="Navaden"/>
    <w:uiPriority w:val="98"/>
    <w:semiHidden/>
    <w:rsid w:val="0070666B"/>
    <w:pPr>
      <w:ind w:left="849" w:hanging="283"/>
      <w:contextualSpacing/>
    </w:pPr>
  </w:style>
  <w:style w:type="paragraph" w:styleId="Seznam4">
    <w:name w:val="List 4"/>
    <w:basedOn w:val="Navaden"/>
    <w:uiPriority w:val="98"/>
    <w:semiHidden/>
    <w:rsid w:val="0070666B"/>
    <w:pPr>
      <w:ind w:left="1132" w:hanging="283"/>
      <w:contextualSpacing/>
    </w:pPr>
  </w:style>
  <w:style w:type="paragraph" w:styleId="Seznam5">
    <w:name w:val="List 5"/>
    <w:basedOn w:val="Navaden"/>
    <w:uiPriority w:val="98"/>
    <w:semiHidden/>
    <w:rsid w:val="0070666B"/>
    <w:pPr>
      <w:ind w:left="1415" w:hanging="283"/>
      <w:contextualSpacing/>
    </w:pPr>
  </w:style>
  <w:style w:type="paragraph" w:styleId="Oznaenseznam">
    <w:name w:val="List Bullet"/>
    <w:basedOn w:val="Navaden"/>
    <w:uiPriority w:val="98"/>
    <w:semiHidden/>
    <w:rsid w:val="0070666B"/>
    <w:pPr>
      <w:numPr>
        <w:numId w:val="8"/>
      </w:numPr>
    </w:pPr>
  </w:style>
  <w:style w:type="paragraph" w:styleId="Oznaenseznam2">
    <w:name w:val="List Bullet 2"/>
    <w:basedOn w:val="Navaden"/>
    <w:uiPriority w:val="98"/>
    <w:semiHidden/>
    <w:rsid w:val="0070666B"/>
    <w:pPr>
      <w:numPr>
        <w:numId w:val="9"/>
      </w:numPr>
      <w:contextualSpacing/>
    </w:pPr>
  </w:style>
  <w:style w:type="paragraph" w:styleId="Oznaenseznam3">
    <w:name w:val="List Bullet 3"/>
    <w:basedOn w:val="Navaden"/>
    <w:uiPriority w:val="98"/>
    <w:semiHidden/>
    <w:rsid w:val="0070666B"/>
    <w:pPr>
      <w:numPr>
        <w:numId w:val="10"/>
      </w:numPr>
      <w:contextualSpacing/>
    </w:pPr>
  </w:style>
  <w:style w:type="paragraph" w:styleId="Oznaenseznam4">
    <w:name w:val="List Bullet 4"/>
    <w:basedOn w:val="Navaden"/>
    <w:uiPriority w:val="98"/>
    <w:semiHidden/>
    <w:rsid w:val="0070666B"/>
    <w:pPr>
      <w:numPr>
        <w:numId w:val="11"/>
      </w:numPr>
      <w:contextualSpacing/>
    </w:pPr>
  </w:style>
  <w:style w:type="paragraph" w:styleId="Oznaenseznam5">
    <w:name w:val="List Bullet 5"/>
    <w:basedOn w:val="Navaden"/>
    <w:uiPriority w:val="98"/>
    <w:semiHidden/>
    <w:rsid w:val="0070666B"/>
    <w:pPr>
      <w:numPr>
        <w:numId w:val="12"/>
      </w:numPr>
      <w:contextualSpacing/>
    </w:pPr>
  </w:style>
  <w:style w:type="paragraph" w:styleId="Seznam-nadaljevanje">
    <w:name w:val="List Continue"/>
    <w:basedOn w:val="Navaden"/>
    <w:uiPriority w:val="98"/>
    <w:semiHidden/>
    <w:rsid w:val="0070666B"/>
    <w:pPr>
      <w:spacing w:after="120"/>
      <w:ind w:left="283"/>
      <w:contextualSpacing/>
    </w:pPr>
  </w:style>
  <w:style w:type="paragraph" w:styleId="Seznam-nadaljevanje2">
    <w:name w:val="List Continue 2"/>
    <w:basedOn w:val="Navaden"/>
    <w:uiPriority w:val="98"/>
    <w:semiHidden/>
    <w:rsid w:val="0070666B"/>
    <w:pPr>
      <w:spacing w:after="120"/>
      <w:ind w:left="566"/>
      <w:contextualSpacing/>
    </w:pPr>
  </w:style>
  <w:style w:type="paragraph" w:styleId="Seznam-nadaljevanje3">
    <w:name w:val="List Continue 3"/>
    <w:basedOn w:val="Navaden"/>
    <w:uiPriority w:val="98"/>
    <w:semiHidden/>
    <w:rsid w:val="0070666B"/>
    <w:pPr>
      <w:spacing w:after="120"/>
      <w:ind w:left="849"/>
      <w:contextualSpacing/>
    </w:pPr>
  </w:style>
  <w:style w:type="paragraph" w:styleId="Seznam-nadaljevanje4">
    <w:name w:val="List Continue 4"/>
    <w:basedOn w:val="Navaden"/>
    <w:uiPriority w:val="98"/>
    <w:semiHidden/>
    <w:rsid w:val="0070666B"/>
    <w:pPr>
      <w:spacing w:after="120"/>
      <w:ind w:left="1132"/>
      <w:contextualSpacing/>
    </w:pPr>
  </w:style>
  <w:style w:type="paragraph" w:styleId="Seznam-nadaljevanje5">
    <w:name w:val="List Continue 5"/>
    <w:basedOn w:val="Navaden"/>
    <w:uiPriority w:val="98"/>
    <w:semiHidden/>
    <w:rsid w:val="0070666B"/>
    <w:pPr>
      <w:spacing w:after="120"/>
      <w:ind w:left="1415"/>
      <w:contextualSpacing/>
    </w:pPr>
  </w:style>
  <w:style w:type="paragraph" w:styleId="Otevilenseznam">
    <w:name w:val="List Number"/>
    <w:basedOn w:val="Navaden"/>
    <w:uiPriority w:val="98"/>
    <w:semiHidden/>
    <w:rsid w:val="0070666B"/>
    <w:pPr>
      <w:numPr>
        <w:numId w:val="13"/>
      </w:numPr>
      <w:contextualSpacing/>
    </w:pPr>
  </w:style>
  <w:style w:type="paragraph" w:styleId="Otevilenseznam2">
    <w:name w:val="List Number 2"/>
    <w:basedOn w:val="Navaden"/>
    <w:uiPriority w:val="98"/>
    <w:semiHidden/>
    <w:rsid w:val="0070666B"/>
    <w:pPr>
      <w:numPr>
        <w:numId w:val="14"/>
      </w:numPr>
      <w:contextualSpacing/>
    </w:pPr>
  </w:style>
  <w:style w:type="paragraph" w:styleId="Otevilenseznam3">
    <w:name w:val="List Number 3"/>
    <w:basedOn w:val="Navaden"/>
    <w:uiPriority w:val="98"/>
    <w:semiHidden/>
    <w:rsid w:val="0070666B"/>
    <w:pPr>
      <w:numPr>
        <w:numId w:val="15"/>
      </w:numPr>
      <w:contextualSpacing/>
    </w:pPr>
  </w:style>
  <w:style w:type="paragraph" w:styleId="Otevilenseznam4">
    <w:name w:val="List Number 4"/>
    <w:basedOn w:val="Navaden"/>
    <w:uiPriority w:val="98"/>
    <w:semiHidden/>
    <w:rsid w:val="0070666B"/>
    <w:pPr>
      <w:numPr>
        <w:numId w:val="16"/>
      </w:numPr>
      <w:contextualSpacing/>
    </w:pPr>
  </w:style>
  <w:style w:type="paragraph" w:styleId="Otevilenseznam5">
    <w:name w:val="List Number 5"/>
    <w:basedOn w:val="Navaden"/>
    <w:uiPriority w:val="98"/>
    <w:semiHidden/>
    <w:rsid w:val="0070666B"/>
    <w:pPr>
      <w:numPr>
        <w:numId w:val="17"/>
      </w:numPr>
      <w:contextualSpacing/>
    </w:pPr>
  </w:style>
  <w:style w:type="paragraph" w:styleId="Makrobesedilo">
    <w:name w:val="macro"/>
    <w:link w:val="MakrobesediloZnak"/>
    <w:uiPriority w:val="98"/>
    <w:semiHidden/>
    <w:rsid w:val="0070666B"/>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70666B"/>
    <w:rPr>
      <w:rFonts w:ascii="Consolas" w:eastAsiaTheme="minorEastAsia" w:hAnsi="Consolas" w:cs="Consolas"/>
      <w:sz w:val="20"/>
      <w:szCs w:val="20"/>
    </w:rPr>
  </w:style>
  <w:style w:type="table" w:styleId="Srednjamrea1">
    <w:name w:val="Medium Grid 1"/>
    <w:basedOn w:val="Navadnatabela"/>
    <w:uiPriority w:val="67"/>
    <w:semiHidden/>
    <w:rsid w:val="0070666B"/>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70666B"/>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70666B"/>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70666B"/>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70666B"/>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70666B"/>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70666B"/>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70666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70666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70666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70666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70666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70666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70666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70666B"/>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70666B"/>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70666B"/>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70666B"/>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70666B"/>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70666B"/>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70666B"/>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70666B"/>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70666B"/>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70666B"/>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70666B"/>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70666B"/>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70666B"/>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70666B"/>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70666B"/>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70666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70666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70666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70666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70666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70666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70666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70666B"/>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70666B"/>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70666B"/>
    <w:rPr>
      <w:rFonts w:ascii="Times New Roman" w:hAnsi="Times New Roman" w:cs="Times New Roman"/>
    </w:rPr>
  </w:style>
  <w:style w:type="paragraph" w:styleId="Navaden-zamik">
    <w:name w:val="Normal Indent"/>
    <w:basedOn w:val="Navaden"/>
    <w:uiPriority w:val="98"/>
    <w:semiHidden/>
    <w:rsid w:val="0070666B"/>
    <w:pPr>
      <w:ind w:left="720"/>
    </w:pPr>
  </w:style>
  <w:style w:type="table" w:customStyle="1" w:styleId="ECHRTableNoLines">
    <w:name w:val="ECHR_Table_No_Lines"/>
    <w:basedOn w:val="Navadnatabela"/>
    <w:uiPriority w:val="99"/>
    <w:rsid w:val="0070666B"/>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70666B"/>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8"/>
    <w:semiHidden/>
    <w:rsid w:val="0070666B"/>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70666B"/>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70666B"/>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70666B"/>
  </w:style>
  <w:style w:type="character" w:customStyle="1" w:styleId="UvodnipozdravZnak">
    <w:name w:val="Uvodni pozdrav Znak"/>
    <w:basedOn w:val="Privzetapisavaodstavka"/>
    <w:link w:val="Uvodnipozdrav"/>
    <w:uiPriority w:val="98"/>
    <w:semiHidden/>
    <w:rsid w:val="0070666B"/>
    <w:rPr>
      <w:sz w:val="24"/>
      <w:szCs w:val="24"/>
      <w:lang w:val="en-GB"/>
    </w:rPr>
  </w:style>
  <w:style w:type="paragraph" w:styleId="Podpis">
    <w:name w:val="Signature"/>
    <w:basedOn w:val="Navaden"/>
    <w:link w:val="PodpisZnak"/>
    <w:uiPriority w:val="98"/>
    <w:semiHidden/>
    <w:rsid w:val="0070666B"/>
    <w:pPr>
      <w:ind w:left="4252"/>
    </w:pPr>
  </w:style>
  <w:style w:type="character" w:customStyle="1" w:styleId="PodpisZnak">
    <w:name w:val="Podpis Znak"/>
    <w:basedOn w:val="Privzetapisavaodstavka"/>
    <w:link w:val="Podpis"/>
    <w:uiPriority w:val="98"/>
    <w:semiHidden/>
    <w:rsid w:val="0070666B"/>
    <w:rPr>
      <w:sz w:val="24"/>
      <w:szCs w:val="24"/>
      <w:lang w:val="en-GB"/>
    </w:rPr>
  </w:style>
  <w:style w:type="table" w:styleId="Tabela3-Duinki1">
    <w:name w:val="Table 3D effects 1"/>
    <w:basedOn w:val="Navadnatabela"/>
    <w:uiPriority w:val="99"/>
    <w:semiHidden/>
    <w:unhideWhenUsed/>
    <w:rsid w:val="0070666B"/>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70666B"/>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70666B"/>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70666B"/>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70666B"/>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70666B"/>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70666B"/>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70666B"/>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70666B"/>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70666B"/>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70666B"/>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70666B"/>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70666B"/>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70666B"/>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70666B"/>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70666B"/>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70666B"/>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70666B"/>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70666B"/>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70666B"/>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70666B"/>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70666B"/>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70666B"/>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70666B"/>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70666B"/>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70666B"/>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70666B"/>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70666B"/>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70666B"/>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70666B"/>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70666B"/>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70666B"/>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70666B"/>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70666B"/>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70666B"/>
    <w:pPr>
      <w:ind w:left="240" w:hanging="240"/>
    </w:pPr>
  </w:style>
  <w:style w:type="paragraph" w:styleId="Kazaloslik">
    <w:name w:val="table of figures"/>
    <w:basedOn w:val="Navaden"/>
    <w:next w:val="Navaden"/>
    <w:uiPriority w:val="98"/>
    <w:semiHidden/>
    <w:rsid w:val="0070666B"/>
  </w:style>
  <w:style w:type="table" w:styleId="Tabelaprofesionalna">
    <w:name w:val="Table Professional"/>
    <w:basedOn w:val="Navadnatabela"/>
    <w:uiPriority w:val="99"/>
    <w:semiHidden/>
    <w:unhideWhenUsed/>
    <w:rsid w:val="0070666B"/>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70666B"/>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70666B"/>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70666B"/>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70666B"/>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70666B"/>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70666B"/>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70666B"/>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70666B"/>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70666B"/>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8"/>
    <w:semiHidden/>
    <w:rsid w:val="0070666B"/>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Kazalovsebine1">
    <w:name w:val="toc 1"/>
    <w:basedOn w:val="Navaden"/>
    <w:next w:val="Navaden"/>
    <w:autoRedefine/>
    <w:uiPriority w:val="98"/>
    <w:semiHidden/>
    <w:rsid w:val="0070666B"/>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70666B"/>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70666B"/>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70666B"/>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70666B"/>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8"/>
    <w:semiHidden/>
    <w:rsid w:val="0070666B"/>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70666B"/>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70666B"/>
    <w:pPr>
      <w:spacing w:after="100"/>
      <w:ind w:left="1680"/>
    </w:pPr>
  </w:style>
  <w:style w:type="paragraph" w:styleId="Kazalovsebine9">
    <w:name w:val="toc 9"/>
    <w:basedOn w:val="Navaden"/>
    <w:next w:val="Navaden"/>
    <w:autoRedefine/>
    <w:uiPriority w:val="98"/>
    <w:semiHidden/>
    <w:rsid w:val="0070666B"/>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0D61E7"/>
    <w:rPr>
      <w:sz w:val="8"/>
    </w:rPr>
  </w:style>
  <w:style w:type="paragraph" w:styleId="Noga">
    <w:name w:val="footer"/>
    <w:basedOn w:val="Navaden"/>
    <w:link w:val="NogaZnak"/>
    <w:uiPriority w:val="98"/>
    <w:semiHidden/>
    <w:rsid w:val="0070666B"/>
    <w:pPr>
      <w:tabs>
        <w:tab w:val="center" w:pos="3686"/>
        <w:tab w:val="right" w:pos="7371"/>
      </w:tabs>
    </w:pPr>
  </w:style>
  <w:style w:type="character" w:customStyle="1" w:styleId="NogaZnak">
    <w:name w:val="Noga Znak"/>
    <w:basedOn w:val="Privzetapisavaodstavka"/>
    <w:link w:val="Noga"/>
    <w:uiPriority w:val="98"/>
    <w:semiHidden/>
    <w:rsid w:val="0070666B"/>
    <w:rPr>
      <w:sz w:val="24"/>
      <w:szCs w:val="24"/>
      <w:lang w:val="en-GB"/>
    </w:rPr>
  </w:style>
  <w:style w:type="paragraph" w:customStyle="1" w:styleId="ECHRFooterLine">
    <w:name w:val="ECHR_Footer_Line"/>
    <w:aliases w:val="_Footer_Line"/>
    <w:basedOn w:val="Navaden"/>
    <w:next w:val="Navaden"/>
    <w:uiPriority w:val="30"/>
    <w:semiHidden/>
    <w:rsid w:val="0070666B"/>
    <w:pPr>
      <w:pBdr>
        <w:top w:val="single" w:sz="6" w:space="1" w:color="5F5F5F"/>
      </w:pBdr>
      <w:tabs>
        <w:tab w:val="center" w:pos="3686"/>
        <w:tab w:val="right" w:pos="7371"/>
      </w:tabs>
      <w:ind w:left="-1474" w:right="-1474"/>
    </w:pPr>
    <w:rPr>
      <w:color w:val="5F5F5F"/>
    </w:rPr>
  </w:style>
  <w:style w:type="table" w:customStyle="1" w:styleId="ECHRListTable">
    <w:name w:val="ECHR_List_Table"/>
    <w:basedOn w:val="Navadnatabela"/>
    <w:uiPriority w:val="99"/>
    <w:rsid w:val="0070666B"/>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aliases w:val="_Case_Name"/>
    <w:basedOn w:val="Navaden"/>
    <w:next w:val="JuPara"/>
    <w:uiPriority w:val="32"/>
    <w:rsid w:val="0070666B"/>
    <w:pPr>
      <w:ind w:firstLine="284"/>
    </w:pPr>
    <w:rPr>
      <w:b/>
    </w:rPr>
  </w:style>
  <w:style w:type="paragraph" w:styleId="Opomba-naslov">
    <w:name w:val="Note Heading"/>
    <w:basedOn w:val="Navaden"/>
    <w:next w:val="Navaden"/>
    <w:link w:val="Opomba-naslovZnak"/>
    <w:uiPriority w:val="98"/>
    <w:semiHidden/>
    <w:rsid w:val="0070666B"/>
  </w:style>
  <w:style w:type="character" w:customStyle="1" w:styleId="Opomba-naslovZnak">
    <w:name w:val="Opomba - naslov Znak"/>
    <w:basedOn w:val="Privzetapisavaodstavka"/>
    <w:link w:val="Opomba-naslov"/>
    <w:uiPriority w:val="98"/>
    <w:semiHidden/>
    <w:rsid w:val="0070666B"/>
    <w:rPr>
      <w:sz w:val="24"/>
      <w:szCs w:val="24"/>
      <w:lang w:val="en-GB"/>
    </w:rPr>
  </w:style>
  <w:style w:type="paragraph" w:customStyle="1" w:styleId="ECHRHeaderLandscape">
    <w:name w:val="ECHR_Header_Landscape"/>
    <w:aliases w:val="_Header_Landscape"/>
    <w:basedOn w:val="JuHeader"/>
    <w:uiPriority w:val="29"/>
    <w:semiHidden/>
    <w:rsid w:val="0070666B"/>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70666B"/>
    <w:pPr>
      <w:numPr>
        <w:numId w:val="5"/>
      </w:numPr>
      <w:spacing w:before="60" w:after="60"/>
    </w:pPr>
  </w:style>
  <w:style w:type="paragraph" w:customStyle="1" w:styleId="ECHRBullet2">
    <w:name w:val="ECHR_Bullet_2"/>
    <w:aliases w:val="_Bul_2"/>
    <w:basedOn w:val="ECHRBullet1"/>
    <w:uiPriority w:val="23"/>
    <w:semiHidden/>
    <w:rsid w:val="0070666B"/>
    <w:pPr>
      <w:numPr>
        <w:ilvl w:val="1"/>
      </w:numPr>
    </w:pPr>
  </w:style>
  <w:style w:type="paragraph" w:customStyle="1" w:styleId="ECHRBullet3">
    <w:name w:val="ECHR_Bullet_3"/>
    <w:aliases w:val="_Bul_3"/>
    <w:basedOn w:val="ECHRBullet2"/>
    <w:uiPriority w:val="23"/>
    <w:semiHidden/>
    <w:rsid w:val="0070666B"/>
    <w:pPr>
      <w:numPr>
        <w:ilvl w:val="2"/>
      </w:numPr>
    </w:pPr>
  </w:style>
  <w:style w:type="paragraph" w:customStyle="1" w:styleId="ECHRBullet4">
    <w:name w:val="ECHR_Bullet_4"/>
    <w:aliases w:val="_Bul_4"/>
    <w:basedOn w:val="ECHRBullet3"/>
    <w:uiPriority w:val="23"/>
    <w:semiHidden/>
    <w:rsid w:val="0070666B"/>
    <w:pPr>
      <w:numPr>
        <w:ilvl w:val="3"/>
      </w:numPr>
    </w:pPr>
  </w:style>
  <w:style w:type="paragraph" w:customStyle="1" w:styleId="ECHRConfidential">
    <w:name w:val="ECHR_Confidential"/>
    <w:aliases w:val="_Confidential"/>
    <w:basedOn w:val="Navaden"/>
    <w:next w:val="Navaden"/>
    <w:uiPriority w:val="42"/>
    <w:semiHidden/>
    <w:qFormat/>
    <w:rsid w:val="0070666B"/>
    <w:pPr>
      <w:jc w:val="right"/>
    </w:pPr>
    <w:rPr>
      <w:color w:val="C00000"/>
      <w:sz w:val="20"/>
    </w:rPr>
  </w:style>
  <w:style w:type="paragraph" w:customStyle="1" w:styleId="ECHRDecisionBody">
    <w:name w:val="ECHR_Decision_Body"/>
    <w:aliases w:val="_Decision_Body"/>
    <w:basedOn w:val="NormalJustified"/>
    <w:uiPriority w:val="54"/>
    <w:semiHidden/>
    <w:rsid w:val="0070666B"/>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70666B"/>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70666B"/>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70666B"/>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70666B"/>
    <w:pPr>
      <w:jc w:val="right"/>
    </w:pPr>
    <w:rPr>
      <w:sz w:val="20"/>
    </w:rPr>
  </w:style>
  <w:style w:type="paragraph" w:customStyle="1" w:styleId="ECHRHeaderRefIt">
    <w:name w:val="ECHR_Header_Ref_It"/>
    <w:aliases w:val="_Ref_Ital"/>
    <w:basedOn w:val="Navaden"/>
    <w:next w:val="ECHRHeaderDate"/>
    <w:uiPriority w:val="43"/>
    <w:semiHidden/>
    <w:qFormat/>
    <w:rsid w:val="0070666B"/>
    <w:pPr>
      <w:jc w:val="right"/>
    </w:pPr>
    <w:rPr>
      <w:i/>
      <w:sz w:val="20"/>
    </w:rPr>
  </w:style>
  <w:style w:type="paragraph" w:customStyle="1" w:styleId="ECHRHeading9">
    <w:name w:val="ECHR_Heading_9"/>
    <w:aliases w:val="_Head_9"/>
    <w:basedOn w:val="Naslov9"/>
    <w:uiPriority w:val="17"/>
    <w:semiHidden/>
    <w:rsid w:val="0070666B"/>
    <w:pPr>
      <w:keepNext/>
      <w:keepLines/>
      <w:numPr>
        <w:ilvl w:val="8"/>
        <w:numId w:val="1"/>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70666B"/>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70666B"/>
    <w:pPr>
      <w:numPr>
        <w:numId w:val="7"/>
      </w:numPr>
      <w:spacing w:before="60" w:after="60"/>
    </w:pPr>
  </w:style>
  <w:style w:type="paragraph" w:customStyle="1" w:styleId="ECHRNumberedList2">
    <w:name w:val="ECHR_Numbered_List_2"/>
    <w:aliases w:val="_Num_2"/>
    <w:basedOn w:val="ECHRNumberedList1"/>
    <w:uiPriority w:val="23"/>
    <w:semiHidden/>
    <w:rsid w:val="0070666B"/>
    <w:pPr>
      <w:numPr>
        <w:ilvl w:val="1"/>
      </w:numPr>
    </w:pPr>
  </w:style>
  <w:style w:type="paragraph" w:customStyle="1" w:styleId="ECHRNumberedList3">
    <w:name w:val="ECHR_Numbered_List_3"/>
    <w:aliases w:val="_Num_3"/>
    <w:basedOn w:val="ECHRNumberedList2"/>
    <w:uiPriority w:val="23"/>
    <w:semiHidden/>
    <w:rsid w:val="0070666B"/>
    <w:pPr>
      <w:numPr>
        <w:ilvl w:val="2"/>
      </w:numPr>
    </w:pPr>
  </w:style>
  <w:style w:type="paragraph" w:customStyle="1" w:styleId="ECHRParaHanging">
    <w:name w:val="ECHR_Para_Hanging"/>
    <w:aliases w:val="_Hanging"/>
    <w:basedOn w:val="Navaden"/>
    <w:uiPriority w:val="8"/>
    <w:semiHidden/>
    <w:qFormat/>
    <w:rsid w:val="0070666B"/>
    <w:pPr>
      <w:ind w:left="567" w:hanging="567"/>
      <w:jc w:val="both"/>
    </w:pPr>
  </w:style>
  <w:style w:type="paragraph" w:customStyle="1" w:styleId="ECHRParaIndent">
    <w:name w:val="ECHR_Para_Indent"/>
    <w:aliases w:val="_Indent"/>
    <w:basedOn w:val="Navaden"/>
    <w:uiPriority w:val="7"/>
    <w:semiHidden/>
    <w:qFormat/>
    <w:rsid w:val="0070666B"/>
    <w:pPr>
      <w:spacing w:before="120" w:after="120"/>
      <w:ind w:left="284"/>
      <w:jc w:val="both"/>
    </w:pPr>
  </w:style>
  <w:style w:type="character" w:customStyle="1" w:styleId="ECHRRed">
    <w:name w:val="ECHR_Red"/>
    <w:aliases w:val="_Red"/>
    <w:basedOn w:val="Privzetapisavaodstavka"/>
    <w:uiPriority w:val="15"/>
    <w:semiHidden/>
    <w:qFormat/>
    <w:rsid w:val="0070666B"/>
    <w:rPr>
      <w:color w:val="C00000" w:themeColor="accent2"/>
    </w:rPr>
  </w:style>
  <w:style w:type="paragraph" w:customStyle="1" w:styleId="DecList">
    <w:name w:val="Dec_List"/>
    <w:aliases w:val="_List"/>
    <w:basedOn w:val="JuList"/>
    <w:uiPriority w:val="22"/>
    <w:rsid w:val="0070666B"/>
    <w:pPr>
      <w:numPr>
        <w:numId w:val="0"/>
      </w:numPr>
      <w:ind w:left="284"/>
    </w:pPr>
  </w:style>
  <w:style w:type="table" w:customStyle="1" w:styleId="ECHRTable">
    <w:name w:val="ECHR_Table"/>
    <w:basedOn w:val="Navadnatabela"/>
    <w:rsid w:val="0070666B"/>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2">
    <w:name w:val="ECHR_Table_2"/>
    <w:basedOn w:val="Navadnatabela"/>
    <w:uiPriority w:val="99"/>
    <w:rsid w:val="0070666B"/>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70666B"/>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70666B"/>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70666B"/>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70666B"/>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70666B"/>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70666B"/>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70666B"/>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70666B"/>
    <w:pPr>
      <w:outlineLvl w:val="0"/>
    </w:pPr>
  </w:style>
  <w:style w:type="paragraph" w:customStyle="1" w:styleId="ECHRTitleTOC1">
    <w:name w:val="ECHR_Title_TOC_1"/>
    <w:aliases w:val="_Title_L_TOC"/>
    <w:basedOn w:val="ECHRTitle1"/>
    <w:next w:val="Navaden"/>
    <w:uiPriority w:val="27"/>
    <w:semiHidden/>
    <w:qFormat/>
    <w:rsid w:val="0070666B"/>
    <w:pPr>
      <w:outlineLvl w:val="0"/>
    </w:pPr>
  </w:style>
  <w:style w:type="table" w:customStyle="1" w:styleId="LtrTableAddress">
    <w:name w:val="Ltr_Table_Address"/>
    <w:aliases w:val="ECHR_Ltr_Table_Address"/>
    <w:basedOn w:val="Navadnatabela"/>
    <w:uiPriority w:val="99"/>
    <w:rsid w:val="0070666B"/>
    <w:rPr>
      <w:sz w:val="24"/>
      <w:szCs w:val="24"/>
    </w:rPr>
    <w:tblPr>
      <w:tblInd w:w="5103" w:type="dxa"/>
    </w:tblPr>
  </w:style>
  <w:style w:type="table" w:customStyle="1" w:styleId="PCFTableStyle">
    <w:name w:val="PCF_Table_Style"/>
    <w:aliases w:val="ECHR_PCF_Table_Style"/>
    <w:basedOn w:val="Navadnatabela"/>
    <w:uiPriority w:val="99"/>
    <w:rsid w:val="0070666B"/>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UGTable">
    <w:name w:val="UG_Table"/>
    <w:aliases w:val="ECHR_UG_Table"/>
    <w:basedOn w:val="Navadnatabela"/>
    <w:uiPriority w:val="99"/>
    <w:rsid w:val="0070666B"/>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70666B"/>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paragraph" w:customStyle="1" w:styleId="ECHRPlaceholder">
    <w:name w:val="ECHR_Placeholder"/>
    <w:aliases w:val="_Placeholder"/>
    <w:basedOn w:val="JuSigned"/>
    <w:uiPriority w:val="31"/>
    <w:rsid w:val="0070666B"/>
    <w:rPr>
      <w:color w:val="FFFFFF"/>
    </w:rPr>
  </w:style>
  <w:style w:type="paragraph" w:customStyle="1" w:styleId="ECHRSpacer">
    <w:name w:val="ECHR_Spacer"/>
    <w:aliases w:val="_Spacer"/>
    <w:basedOn w:val="Navaden"/>
    <w:uiPriority w:val="45"/>
    <w:semiHidden/>
    <w:rsid w:val="0070666B"/>
    <w:rPr>
      <w:sz w:val="4"/>
    </w:rPr>
  </w:style>
  <w:style w:type="table" w:customStyle="1" w:styleId="ECHRTableGrey">
    <w:name w:val="ECHR_Table_Grey"/>
    <w:basedOn w:val="Navadnatabela"/>
    <w:uiPriority w:val="99"/>
    <w:rsid w:val="0070666B"/>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table" w:customStyle="1" w:styleId="ECHRTableOddBanded">
    <w:name w:val="ECHR_Table_Odd_Banded"/>
    <w:basedOn w:val="Navadnatabela"/>
    <w:uiPriority w:val="99"/>
    <w:rsid w:val="0070666B"/>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JuParaChar">
    <w:name w:val="Ju_Para Char"/>
    <w:aliases w:val="_Para Char"/>
    <w:link w:val="JuPara"/>
    <w:uiPriority w:val="4"/>
    <w:rsid w:val="00671CB5"/>
    <w:rPr>
      <w:sz w:val="24"/>
      <w:szCs w:val="24"/>
      <w:lang w:val="en-GB"/>
    </w:rPr>
  </w:style>
  <w:style w:type="table" w:styleId="Tabelasvetlamrea1">
    <w:name w:val="Grid Table 1 Light"/>
    <w:basedOn w:val="Navadnatabela"/>
    <w:uiPriority w:val="46"/>
    <w:semiHidden/>
    <w:rsid w:val="0070666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vetlamrea1poudarek1">
    <w:name w:val="Grid Table 1 Light Accent 1"/>
    <w:basedOn w:val="Navadnatabela"/>
    <w:uiPriority w:val="46"/>
    <w:semiHidden/>
    <w:rsid w:val="0070666B"/>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70666B"/>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Tabelasvetlamrea1poudarek3">
    <w:name w:val="Grid Table 1 Light Accent 3"/>
    <w:basedOn w:val="Navadnatabela"/>
    <w:uiPriority w:val="46"/>
    <w:semiHidden/>
    <w:rsid w:val="0070666B"/>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styleId="Tabelasvetlamrea1poudarek4">
    <w:name w:val="Grid Table 1 Light Accent 4"/>
    <w:basedOn w:val="Navadnatabela"/>
    <w:uiPriority w:val="46"/>
    <w:semiHidden/>
    <w:rsid w:val="0070666B"/>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70666B"/>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70666B"/>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70666B"/>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70666B"/>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70666B"/>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2poudarek3">
    <w:name w:val="Grid Table 2 Accent 3"/>
    <w:basedOn w:val="Navadnatabela"/>
    <w:uiPriority w:val="47"/>
    <w:semiHidden/>
    <w:rsid w:val="0070666B"/>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70666B"/>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70666B"/>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70666B"/>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70666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70666B"/>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70666B"/>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mrea3poudarek3">
    <w:name w:val="Grid Table 3 Accent 3"/>
    <w:basedOn w:val="Navadnatabela"/>
    <w:uiPriority w:val="48"/>
    <w:semiHidden/>
    <w:rsid w:val="0070666B"/>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70666B"/>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70666B"/>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70666B"/>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70666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70666B"/>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70666B"/>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70666B"/>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70666B"/>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70666B"/>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70666B"/>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70666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70666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70666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70666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70666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70666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70666B"/>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70666B"/>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70666B"/>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70666B"/>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70666B"/>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70666B"/>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70666B"/>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70666B"/>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70666B"/>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70666B"/>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70666B"/>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70666B"/>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70666B"/>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70666B"/>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70666B"/>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70666B"/>
    <w:rPr>
      <w:color w:val="2B579A"/>
      <w:shd w:val="clear" w:color="auto" w:fill="E1DFDD"/>
    </w:rPr>
  </w:style>
  <w:style w:type="table" w:styleId="Tabelasvetelseznam1">
    <w:name w:val="List Table 1 Light"/>
    <w:basedOn w:val="Navadnatabela"/>
    <w:uiPriority w:val="46"/>
    <w:semiHidden/>
    <w:rsid w:val="0070666B"/>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70666B"/>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70666B"/>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70666B"/>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70666B"/>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70666B"/>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70666B"/>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70666B"/>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70666B"/>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70666B"/>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70666B"/>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70666B"/>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70666B"/>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70666B"/>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70666B"/>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70666B"/>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70666B"/>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70666B"/>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70666B"/>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70666B"/>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70666B"/>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70666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70666B"/>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70666B"/>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70666B"/>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70666B"/>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70666B"/>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70666B"/>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70666B"/>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70666B"/>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70666B"/>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70666B"/>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70666B"/>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70666B"/>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70666B"/>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70666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70666B"/>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70666B"/>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70666B"/>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70666B"/>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70666B"/>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70666B"/>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70666B"/>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70666B"/>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70666B"/>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70666B"/>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70666B"/>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70666B"/>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70666B"/>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70666B"/>
    <w:rPr>
      <w:color w:val="2B579A"/>
      <w:shd w:val="clear" w:color="auto" w:fill="E1DFDD"/>
    </w:rPr>
  </w:style>
  <w:style w:type="table" w:styleId="Navadnatabela1">
    <w:name w:val="Plain Table 1"/>
    <w:basedOn w:val="Navadnatabela"/>
    <w:uiPriority w:val="41"/>
    <w:semiHidden/>
    <w:rsid w:val="0070666B"/>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70666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70666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70666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70666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70666B"/>
    <w:rPr>
      <w:u w:val="dotted"/>
    </w:rPr>
  </w:style>
  <w:style w:type="character" w:customStyle="1" w:styleId="SmartLink1">
    <w:name w:val="SmartLink1"/>
    <w:basedOn w:val="Privzetapisavaodstavka"/>
    <w:uiPriority w:val="99"/>
    <w:semiHidden/>
    <w:unhideWhenUsed/>
    <w:rsid w:val="0070666B"/>
    <w:rPr>
      <w:color w:val="0000FF"/>
      <w:u w:val="single"/>
      <w:shd w:val="clear" w:color="auto" w:fill="F3F2F1"/>
    </w:rPr>
  </w:style>
  <w:style w:type="table" w:styleId="Tabelasvetlamrea">
    <w:name w:val="Grid Table Light"/>
    <w:basedOn w:val="Navadnatabela"/>
    <w:uiPriority w:val="40"/>
    <w:semiHidden/>
    <w:rsid w:val="0070666B"/>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Nerazreenaomemba1">
    <w:name w:val="Nerazrešena omemba1"/>
    <w:basedOn w:val="Privzetapisavaodstavka"/>
    <w:uiPriority w:val="99"/>
    <w:semiHidden/>
    <w:unhideWhenUsed/>
    <w:rsid w:val="0070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2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A89D44-D454-4A68-BBE2-40FAF06C12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8F5EBDF-D3C5-4C20-87B6-F283B8ABE19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A2819AB-97E2-4F89-828F-5F177B660B4C}">
  <ds:schemaRefs>
    <ds:schemaRef ds:uri="http://schemas.microsoft.com/sharepoint/v3/contenttype/forms"/>
  </ds:schemaRefs>
</ds:datastoreItem>
</file>

<file path=customXml/itemProps4.xml><?xml version="1.0" encoding="utf-8"?>
<ds:datastoreItem xmlns:ds="http://schemas.openxmlformats.org/officeDocument/2006/customXml" ds:itemID="{E0DFE5E2-981B-4CE0-91ED-57CBA82AA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3177</Words>
  <Characters>18109</Characters>
  <Application>Microsoft Office Word</Application>
  <DocSecurity>4</DocSecurity>
  <Lines>150</Lines>
  <Paragraphs>42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21244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2021-06-01T10:15:00Z</dcterms:created>
  <dcterms:modified xsi:type="dcterms:W3CDTF">2021-06-01T10:15:00Z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51282/18</vt:lpwstr>
  </property>
  <property fmtid="{D5CDD505-2E9C-101B-9397-08002B2CF9AE}" pid="4" name="CASEID">
    <vt:lpwstr>1409318</vt:lpwstr>
  </property>
  <property fmtid="{D5CDD505-2E9C-101B-9397-08002B2CF9AE}" pid="5" name="ContentTypeId">
    <vt:lpwstr>0x010100558EB02BDB9E204AB350EDD385B68E10</vt:lpwstr>
  </property>
</Properties>
</file>