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6EFD" w:rsidRPr="00F00C8E" w:rsidRDefault="00616EFD" w:rsidP="00F00C8E">
      <w:pPr>
        <w:jc w:val="center"/>
      </w:pPr>
      <w:bookmarkStart w:id="0" w:name="_GoBack"/>
      <w:bookmarkEnd w:id="0"/>
    </w:p>
    <w:p w:rsidR="00616EFD" w:rsidRPr="00F00C8E" w:rsidRDefault="00616EFD" w:rsidP="00F00C8E">
      <w:pPr>
        <w:jc w:val="center"/>
        <w:rPr>
          <w:sz w:val="4"/>
          <w:szCs w:val="4"/>
        </w:rPr>
      </w:pPr>
    </w:p>
    <w:p w:rsidR="00616EFD" w:rsidRPr="000907AD" w:rsidRDefault="00EA4390" w:rsidP="00F00C8E">
      <w:pPr>
        <w:pStyle w:val="DecHTitle"/>
        <w:rPr>
          <w:lang w:val="it-IT"/>
        </w:rPr>
      </w:pPr>
      <w:r>
        <w:rPr>
          <w:lang w:val="sl"/>
        </w:rPr>
        <w:t>DRUGA SEKCIJA</w:t>
      </w:r>
    </w:p>
    <w:p w:rsidR="00616EFD" w:rsidRPr="000907AD" w:rsidRDefault="006267D3" w:rsidP="00F00C8E">
      <w:pPr>
        <w:pStyle w:val="DecHTitle"/>
        <w:rPr>
          <w:lang w:val="it-IT"/>
        </w:rPr>
      </w:pPr>
      <w:r>
        <w:rPr>
          <w:lang w:val="sl"/>
        </w:rPr>
        <w:t>SKLEP</w:t>
      </w:r>
    </w:p>
    <w:p w:rsidR="00616EFD" w:rsidRPr="000907AD" w:rsidRDefault="00EA4390" w:rsidP="00F00C8E">
      <w:pPr>
        <w:pStyle w:val="DecHCase"/>
        <w:rPr>
          <w:i/>
          <w:lang w:val="it-IT"/>
        </w:rPr>
      </w:pPr>
      <w:r>
        <w:rPr>
          <w:lang w:val="sl"/>
        </w:rPr>
        <w:t>Pritožba št. 847/17</w:t>
      </w:r>
      <w:r>
        <w:rPr>
          <w:lang w:val="sl"/>
        </w:rPr>
        <w:br/>
        <w:t>Boris ŽIGON in Miran KEBER</w:t>
      </w:r>
      <w:r>
        <w:rPr>
          <w:lang w:val="sl"/>
        </w:rPr>
        <w:br/>
        <w:t>proti Sloveniji</w:t>
      </w:r>
    </w:p>
    <w:p w:rsidR="00616EFD" w:rsidRPr="000907AD" w:rsidRDefault="00616EFD" w:rsidP="00F00C8E">
      <w:pPr>
        <w:pStyle w:val="DecList"/>
        <w:rPr>
          <w:sz w:val="2"/>
          <w:szCs w:val="2"/>
          <w:lang w:val="it-IT"/>
        </w:rPr>
      </w:pPr>
    </w:p>
    <w:p w:rsidR="00EA4390" w:rsidRPr="000907AD" w:rsidRDefault="00EA4390" w:rsidP="00F00C8E">
      <w:pPr>
        <w:pStyle w:val="JuPara"/>
        <w:rPr>
          <w:lang w:val="it-IT"/>
        </w:rPr>
      </w:pPr>
      <w:r>
        <w:rPr>
          <w:lang w:val="sl"/>
        </w:rPr>
        <w:t>Evropsko sodišče za človekove pravice (druga sekcija) je 3. novembra 2020 kot senat v sestavi:</w:t>
      </w:r>
    </w:p>
    <w:p w:rsidR="00EA4390" w:rsidRPr="006636B4" w:rsidRDefault="001236CC" w:rsidP="00F00C8E">
      <w:pPr>
        <w:pStyle w:val="JuJudges"/>
        <w:rPr>
          <w:lang w:val="sl"/>
        </w:rPr>
      </w:pPr>
      <w:r>
        <w:rPr>
          <w:lang w:val="sl"/>
        </w:rPr>
        <w:tab/>
        <w:t>Valeriu Griţco,</w:t>
      </w:r>
      <w:r>
        <w:rPr>
          <w:i/>
          <w:iCs/>
          <w:lang w:val="sl"/>
        </w:rPr>
        <w:t xml:space="preserve"> predsednik,</w:t>
      </w:r>
      <w:r>
        <w:rPr>
          <w:lang w:val="sl"/>
        </w:rPr>
        <w:br/>
      </w:r>
      <w:r>
        <w:rPr>
          <w:lang w:val="sl"/>
        </w:rPr>
        <w:tab/>
        <w:t>Branko Lubarda,</w:t>
      </w:r>
      <w:r>
        <w:rPr>
          <w:lang w:val="sl"/>
        </w:rPr>
        <w:br/>
      </w:r>
      <w:r>
        <w:rPr>
          <w:lang w:val="sl"/>
        </w:rPr>
        <w:tab/>
        <w:t>Pauliine Koskelo,</w:t>
      </w:r>
      <w:r>
        <w:rPr>
          <w:i/>
          <w:iCs/>
          <w:lang w:val="sl"/>
        </w:rPr>
        <w:t xml:space="preserve"> sodnika,</w:t>
      </w:r>
      <w:r>
        <w:rPr>
          <w:lang w:val="sl"/>
        </w:rPr>
        <w:br/>
        <w:t xml:space="preserve">in Hasan Bakırcı, </w:t>
      </w:r>
      <w:r>
        <w:rPr>
          <w:i/>
          <w:iCs/>
          <w:lang w:val="sl"/>
        </w:rPr>
        <w:t>namestnik sodnega tajnika sekcije,</w:t>
      </w:r>
    </w:p>
    <w:p w:rsidR="00EA4390" w:rsidRPr="006636B4" w:rsidRDefault="00EA4390" w:rsidP="00F00C8E">
      <w:pPr>
        <w:pStyle w:val="JuPara"/>
        <w:rPr>
          <w:lang w:val="sl"/>
        </w:rPr>
      </w:pPr>
      <w:r>
        <w:rPr>
          <w:lang w:val="sl"/>
        </w:rPr>
        <w:t>ob upoštevanju navedene pritožbe, vložene 23. decembra 2016,</w:t>
      </w:r>
    </w:p>
    <w:p w:rsidR="00EA4390" w:rsidRPr="006636B4" w:rsidRDefault="00EA4390" w:rsidP="00F00C8E">
      <w:pPr>
        <w:pStyle w:val="JuPara"/>
        <w:rPr>
          <w:lang w:val="sl"/>
        </w:rPr>
      </w:pPr>
      <w:r>
        <w:rPr>
          <w:lang w:val="sl"/>
        </w:rPr>
        <w:t>ob upoštevanju stališč, ki jih je predložila tožena vlada, in stališč, ki so jih v odgovoru predložili pritožniki,</w:t>
      </w:r>
    </w:p>
    <w:p w:rsidR="00EA4390" w:rsidRPr="00F00C8E" w:rsidRDefault="00EA4390" w:rsidP="00F00C8E">
      <w:pPr>
        <w:pStyle w:val="JuPara"/>
      </w:pPr>
      <w:r>
        <w:rPr>
          <w:lang w:val="sl"/>
        </w:rPr>
        <w:t>po razpravi sklenilo:</w:t>
      </w:r>
    </w:p>
    <w:p w:rsidR="00EA4390" w:rsidRPr="00F00C8E" w:rsidRDefault="00EA4390" w:rsidP="00F00C8E">
      <w:pPr>
        <w:pStyle w:val="JuHHead"/>
        <w:numPr>
          <w:ilvl w:val="0"/>
          <w:numId w:val="1"/>
        </w:numPr>
      </w:pPr>
      <w:r>
        <w:rPr>
          <w:bCs w:val="0"/>
          <w:lang w:val="sl"/>
        </w:rPr>
        <w:t>DEJSTVA</w:t>
      </w:r>
    </w:p>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w:t>
      </w:r>
      <w:r>
        <w:rPr>
          <w:lang w:val="sl"/>
        </w:rPr>
        <w:fldChar w:fldCharType="end"/>
      </w:r>
      <w:r>
        <w:rPr>
          <w:lang w:val="sl"/>
        </w:rPr>
        <w:t>.  Pritožnika, Boris Žigon in Miran Keber, sta slovenska državljana. Boris Žigon se je rodil leta 1953 in živi v Renčah. Miran Keber se je rodil leta 1954 in živi v Volčji Dragi. Pred Sodiščem ju je zastopala M. Djurković, odvetnica, ki deluje v Kopru.</w:t>
      </w:r>
    </w:p>
    <w:p w:rsidR="00EA4390" w:rsidRPr="005260BC"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 xml:space="preserve">.  Slovensko vlado (v nadaljnjem besedilu: vlada) je zastopala A. Vran, državna </w:t>
      </w:r>
      <w:r w:rsidR="001D7FDC">
        <w:rPr>
          <w:lang w:val="sl"/>
        </w:rPr>
        <w:t>odvetnica</w:t>
      </w:r>
      <w:r>
        <w:rPr>
          <w:lang w:val="sl"/>
        </w:rPr>
        <w:t>.</w:t>
      </w:r>
    </w:p>
    <w:p w:rsidR="00EA4390" w:rsidRPr="00F00C8E" w:rsidRDefault="00EA4390" w:rsidP="00F00C8E">
      <w:pPr>
        <w:pStyle w:val="JuHA"/>
        <w:numPr>
          <w:ilvl w:val="2"/>
          <w:numId w:val="1"/>
        </w:numPr>
      </w:pPr>
      <w:r>
        <w:rPr>
          <w:lang w:val="sl"/>
        </w:rPr>
        <w:t>Okoliščine zadeve</w:t>
      </w:r>
    </w:p>
    <w:p w:rsidR="00EA4390" w:rsidRPr="00F00C8E" w:rsidRDefault="00EA4390" w:rsidP="00F00C8E">
      <w:pPr>
        <w:pStyle w:val="JuPara"/>
      </w:pPr>
      <w:r>
        <w:rPr>
          <w:lang w:val="sl"/>
        </w:rPr>
        <w:fldChar w:fldCharType="begin"/>
      </w:r>
      <w:r>
        <w:rPr>
          <w:lang w:val="sl"/>
        </w:rPr>
        <w:instrText xml:space="preserve"> SEQ level0 \*arabic </w:instrText>
      </w:r>
      <w:r>
        <w:rPr>
          <w:lang w:val="sl"/>
        </w:rPr>
        <w:fldChar w:fldCharType="separate"/>
      </w:r>
      <w:r>
        <w:rPr>
          <w:noProof/>
          <w:lang w:val="sl"/>
        </w:rPr>
        <w:t>3</w:t>
      </w:r>
      <w:r>
        <w:rPr>
          <w:lang w:val="sl"/>
        </w:rPr>
        <w:fldChar w:fldCharType="end"/>
      </w:r>
      <w:r>
        <w:rPr>
          <w:lang w:val="sl"/>
        </w:rPr>
        <w:t>.  V nadaljevanju so povzeta dejstva v zadevi, kot so jih predložile stranke.</w:t>
      </w:r>
    </w:p>
    <w:bookmarkStart w:id="1" w:name="onlyshareholders"/>
    <w:p w:rsidR="00EA4390" w:rsidRPr="005260BC"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w:t>
      </w:r>
      <w:r>
        <w:rPr>
          <w:lang w:val="sl"/>
        </w:rPr>
        <w:fldChar w:fldCharType="end"/>
      </w:r>
      <w:bookmarkEnd w:id="1"/>
      <w:r>
        <w:rPr>
          <w:lang w:val="sl"/>
        </w:rPr>
        <w:t xml:space="preserve">.  Pritožnika sta edina družbenika družbe z omejeno odgovornostjo ES, ki posluje v skladu s slovensko zakonodajo. Oba pritožnika sta kot kapitalski vložek plačala 12.241 evrov, zato je vsak od njiju postal 50-odstotni lastnik osnovnega kapitala </w:t>
      </w:r>
      <w:r w:rsidR="004D07F2">
        <w:rPr>
          <w:lang w:val="sl"/>
        </w:rPr>
        <w:t>družbe</w:t>
      </w:r>
      <w:r>
        <w:rPr>
          <w:lang w:val="sl"/>
        </w:rPr>
        <w:t xml:space="preserve">. Boris Žigon je bil tudi izvršni direktor </w:t>
      </w:r>
      <w:r w:rsidR="004D07F2">
        <w:rPr>
          <w:lang w:val="sl"/>
        </w:rPr>
        <w:t>družbe</w:t>
      </w:r>
      <w:r>
        <w:rPr>
          <w:lang w:val="sl"/>
        </w:rPr>
        <w:t>.</w:t>
      </w:r>
    </w:p>
    <w:bookmarkStart w:id="2" w:name="companysmainactivity"/>
    <w:p w:rsidR="00EA4390" w:rsidRPr="006636B4" w:rsidRDefault="00EA4390" w:rsidP="00F00C8E">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5</w:t>
      </w:r>
      <w:r>
        <w:rPr>
          <w:lang w:val="sl"/>
        </w:rPr>
        <w:fldChar w:fldCharType="end"/>
      </w:r>
      <w:bookmarkEnd w:id="2"/>
      <w:r>
        <w:rPr>
          <w:lang w:val="sl"/>
        </w:rPr>
        <w:t xml:space="preserve">.  Glavna dejavnost </w:t>
      </w:r>
      <w:r w:rsidR="004D07F2">
        <w:rPr>
          <w:lang w:val="sl"/>
        </w:rPr>
        <w:t>družbe</w:t>
      </w:r>
      <w:r>
        <w:rPr>
          <w:lang w:val="sl"/>
        </w:rPr>
        <w:t xml:space="preserve"> je bila gradnja objektov, največja naložba pa velika poslovna in stanovanjska zgradba v Kopru, ki je bila namenjena prodaji na trgu (v nadaljnjem besedilu: gradbena naložba v Kopru). </w:t>
      </w:r>
      <w:r w:rsidR="004D07F2">
        <w:rPr>
          <w:lang w:val="sl"/>
        </w:rPr>
        <w:t>Družba</w:t>
      </w:r>
      <w:r>
        <w:rPr>
          <w:lang w:val="sl"/>
        </w:rPr>
        <w:t xml:space="preserve"> je za izvedbo gradbenega projekta pridobil</w:t>
      </w:r>
      <w:r w:rsidR="004D07F2">
        <w:rPr>
          <w:lang w:val="sl"/>
        </w:rPr>
        <w:t>a</w:t>
      </w:r>
      <w:r>
        <w:rPr>
          <w:lang w:val="sl"/>
        </w:rPr>
        <w:t xml:space="preserve"> posojila dveh bank, ki so bila zavarovana s hipoteko na omenjeno zgradbo. Po besedah pritožnikov je do zamud pri gradnji prišlo zaradi zapletov, ki so bili povezani s finančnimi težavami pogodbenikov </w:t>
      </w:r>
      <w:r w:rsidR="004D07F2">
        <w:rPr>
          <w:lang w:val="sl"/>
        </w:rPr>
        <w:t>družbe</w:t>
      </w:r>
      <w:r>
        <w:rPr>
          <w:lang w:val="sl"/>
        </w:rPr>
        <w:t>, vendar je bila na koncu gradnja dokončana, zgradba (razen pritličja) pa je bila decembra 2013 pripravljena za prodajo.</w:t>
      </w:r>
    </w:p>
    <w:p w:rsidR="00EA4390" w:rsidRPr="00F00C8E" w:rsidRDefault="00EA4390" w:rsidP="00F00C8E">
      <w:pPr>
        <w:pStyle w:val="JuH1"/>
        <w:numPr>
          <w:ilvl w:val="3"/>
          <w:numId w:val="1"/>
        </w:numPr>
      </w:pPr>
      <w:r>
        <w:rPr>
          <w:bCs w:val="0"/>
          <w:lang w:val="sl"/>
        </w:rPr>
        <w:t>Stečajni postopek</w:t>
      </w:r>
    </w:p>
    <w:p w:rsidR="00EA4390" w:rsidRPr="00F00C8E" w:rsidRDefault="00EA4390" w:rsidP="00F00C8E">
      <w:pPr>
        <w:pStyle w:val="JuHa0"/>
        <w:numPr>
          <w:ilvl w:val="4"/>
          <w:numId w:val="1"/>
        </w:numPr>
      </w:pPr>
      <w:r>
        <w:rPr>
          <w:lang w:val="sl"/>
        </w:rPr>
        <w:t>Predlog za začetek stečajnega postopka in ugovor dolžnika</w:t>
      </w:r>
    </w:p>
    <w:bookmarkStart w:id="3" w:name="bankruptcyapplication"/>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6</w:t>
      </w:r>
      <w:r>
        <w:rPr>
          <w:lang w:val="sl"/>
        </w:rPr>
        <w:fldChar w:fldCharType="end"/>
      </w:r>
      <w:bookmarkEnd w:id="3"/>
      <w:r>
        <w:rPr>
          <w:lang w:val="sl"/>
        </w:rPr>
        <w:t xml:space="preserve">.  M. B. je 16. oktobra 2014 vložila predlog za začetek stečajnega postopka zoper </w:t>
      </w:r>
      <w:r w:rsidR="004D07F2">
        <w:rPr>
          <w:lang w:val="sl"/>
        </w:rPr>
        <w:t>družbo</w:t>
      </w:r>
      <w:r>
        <w:rPr>
          <w:lang w:val="sl"/>
        </w:rPr>
        <w:t xml:space="preserve"> ES. Navedla je, da je bila zaposlena v </w:t>
      </w:r>
      <w:r w:rsidR="004D07F2">
        <w:rPr>
          <w:lang w:val="sl"/>
        </w:rPr>
        <w:t>družbi</w:t>
      </w:r>
      <w:r>
        <w:rPr>
          <w:lang w:val="sl"/>
        </w:rPr>
        <w:t xml:space="preserve"> ES in da ji v </w:t>
      </w:r>
      <w:r w:rsidR="004D07F2">
        <w:rPr>
          <w:lang w:val="sl"/>
        </w:rPr>
        <w:t>družbi</w:t>
      </w:r>
      <w:r>
        <w:rPr>
          <w:lang w:val="sl"/>
        </w:rPr>
        <w:t xml:space="preserve"> že več kot tri mesece niso izplačevali plače, davkov ali prispevkov. Zatrdila je, da ima </w:t>
      </w:r>
      <w:r w:rsidR="004D07F2">
        <w:rPr>
          <w:lang w:val="sl"/>
        </w:rPr>
        <w:t>družba</w:t>
      </w:r>
      <w:r>
        <w:rPr>
          <w:lang w:val="sl"/>
        </w:rPr>
        <w:t xml:space="preserve"> že dolgo zamrznjene račune in ni mogl</w:t>
      </w:r>
      <w:r w:rsidR="004D07F2">
        <w:rPr>
          <w:lang w:val="sl"/>
        </w:rPr>
        <w:t>a</w:t>
      </w:r>
      <w:r>
        <w:rPr>
          <w:lang w:val="sl"/>
        </w:rPr>
        <w:t xml:space="preserve"> poravnati zapadlih obveznosti. Poleg tega je predložila tudi dokument, ki so ga izdali davčni organi in iz katerega je razvidno, da </w:t>
      </w:r>
      <w:r w:rsidR="004D07F2">
        <w:rPr>
          <w:lang w:val="sl"/>
        </w:rPr>
        <w:t>družba</w:t>
      </w:r>
      <w:r>
        <w:rPr>
          <w:lang w:val="sl"/>
        </w:rPr>
        <w:t xml:space="preserve"> v obdobju med januarjem 2013 in julijem 2014 ni izplačeval</w:t>
      </w:r>
      <w:r w:rsidR="004D07F2">
        <w:rPr>
          <w:lang w:val="sl"/>
        </w:rPr>
        <w:t>a</w:t>
      </w:r>
      <w:r>
        <w:rPr>
          <w:lang w:val="sl"/>
        </w:rPr>
        <w:t xml:space="preserve"> njene plače, davkov in prispevkov.</w:t>
      </w:r>
    </w:p>
    <w:bookmarkStart w:id="4" w:name="notificationtodebtor"/>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w:t>
      </w:r>
      <w:r>
        <w:rPr>
          <w:lang w:val="sl"/>
        </w:rPr>
        <w:fldChar w:fldCharType="end"/>
      </w:r>
      <w:bookmarkEnd w:id="4"/>
      <w:r>
        <w:rPr>
          <w:lang w:val="sl"/>
        </w:rPr>
        <w:t xml:space="preserve">.  Okrožno sodišče v Novi Gorici je 29. oktobra 2014 </w:t>
      </w:r>
      <w:r w:rsidR="004D07F2">
        <w:rPr>
          <w:lang w:val="sl"/>
        </w:rPr>
        <w:t>družbo</w:t>
      </w:r>
      <w:r>
        <w:rPr>
          <w:lang w:val="sl"/>
        </w:rPr>
        <w:t xml:space="preserve"> ES (kot dolžnika) obvestilo o predlogu za začetek stečajnega postopka (glej odstavek </w:t>
      </w:r>
      <w:r>
        <w:rPr>
          <w:lang w:val="sl"/>
        </w:rPr>
        <w:fldChar w:fldCharType="begin"/>
      </w:r>
      <w:r>
        <w:rPr>
          <w:lang w:val="sl"/>
        </w:rPr>
        <w:instrText xml:space="preserve"> REF bankruptcyapplication \h </w:instrText>
      </w:r>
      <w:r>
        <w:rPr>
          <w:lang w:val="sl"/>
        </w:rPr>
      </w:r>
      <w:r>
        <w:rPr>
          <w:lang w:val="sl"/>
        </w:rPr>
        <w:fldChar w:fldCharType="separate"/>
      </w:r>
      <w:r>
        <w:rPr>
          <w:noProof/>
          <w:lang w:val="sl"/>
        </w:rPr>
        <w:t>6</w:t>
      </w:r>
      <w:r>
        <w:rPr>
          <w:lang w:val="sl"/>
        </w:rPr>
        <w:fldChar w:fldCharType="end"/>
      </w:r>
      <w:r>
        <w:rPr>
          <w:lang w:val="sl"/>
        </w:rPr>
        <w:t xml:space="preserve"> zgoraj). </w:t>
      </w:r>
      <w:r w:rsidR="004D07F2">
        <w:rPr>
          <w:lang w:val="sl"/>
        </w:rPr>
        <w:t>Družbo</w:t>
      </w:r>
      <w:r>
        <w:rPr>
          <w:lang w:val="sl"/>
        </w:rPr>
        <w:t xml:space="preserve"> je obvestilo tudi, da ima pravico vložiti ugovor in </w:t>
      </w:r>
      <w:r w:rsidR="0074689E">
        <w:rPr>
          <w:lang w:val="sl"/>
        </w:rPr>
        <w:t>navajati</w:t>
      </w:r>
      <w:r>
        <w:rPr>
          <w:lang w:val="sl"/>
        </w:rPr>
        <w:t>, da ni insolventn</w:t>
      </w:r>
      <w:r w:rsidR="004D07F2">
        <w:rPr>
          <w:lang w:val="sl"/>
        </w:rPr>
        <w:t>a</w:t>
      </w:r>
      <w:r>
        <w:rPr>
          <w:lang w:val="sl"/>
        </w:rPr>
        <w:t xml:space="preserve"> ali da domnevna terjatev upnice ne obstaja. Če je </w:t>
      </w:r>
      <w:r w:rsidR="004D07F2">
        <w:rPr>
          <w:lang w:val="sl"/>
        </w:rPr>
        <w:t>družba</w:t>
      </w:r>
      <w:r>
        <w:rPr>
          <w:lang w:val="sl"/>
        </w:rPr>
        <w:t xml:space="preserve"> že sprejel</w:t>
      </w:r>
      <w:r w:rsidR="004D07F2">
        <w:rPr>
          <w:lang w:val="sl"/>
        </w:rPr>
        <w:t>a</w:t>
      </w:r>
      <w:r>
        <w:rPr>
          <w:lang w:val="sl"/>
        </w:rPr>
        <w:t xml:space="preserve"> ukrepe za finančno prestrukturiranje, </w:t>
      </w:r>
      <w:r w:rsidR="004D07F2">
        <w:rPr>
          <w:lang w:val="sl"/>
        </w:rPr>
        <w:t>jo</w:t>
      </w:r>
      <w:r>
        <w:rPr>
          <w:lang w:val="sl"/>
        </w:rPr>
        <w:t xml:space="preserve"> je sodišče </w:t>
      </w:r>
      <w:r w:rsidR="0074689E">
        <w:rPr>
          <w:lang w:val="sl"/>
        </w:rPr>
        <w:t>pozvalo</w:t>
      </w:r>
      <w:r>
        <w:rPr>
          <w:lang w:val="sl"/>
        </w:rPr>
        <w:t xml:space="preserve">, da vloži zahtevo za odložitev odločanja o začetku stečaja, ki ga je vložila upnica (v nadaljnjem besedilu: zahteva za odložitev odločanja). Če dolžnik ne ugovarja ali vloži zahteve za odložitev odločanja, bo sodišče uporabilo domnevo o insolventnosti, kot je to določeno v tretjem odstavku 235. člena Zakona o finančnem poslovanju, postopkih zaradi insolventnosti in prisilnem prenehanju (v nadaljnjem besedilu: zakon o insolventnosti, glej odstavek </w:t>
      </w:r>
      <w:r>
        <w:rPr>
          <w:lang w:val="sl"/>
        </w:rPr>
        <w:fldChar w:fldCharType="begin"/>
      </w:r>
      <w:r>
        <w:rPr>
          <w:lang w:val="sl"/>
        </w:rPr>
        <w:instrText xml:space="preserve"> REF insolvencyact \h </w:instrText>
      </w:r>
      <w:r>
        <w:rPr>
          <w:lang w:val="sl"/>
        </w:rPr>
      </w:r>
      <w:r>
        <w:rPr>
          <w:lang w:val="sl"/>
        </w:rPr>
        <w:fldChar w:fldCharType="separate"/>
      </w:r>
      <w:r>
        <w:rPr>
          <w:noProof/>
          <w:lang w:val="sl"/>
        </w:rPr>
        <w:t>23</w:t>
      </w:r>
      <w:r>
        <w:rPr>
          <w:lang w:val="sl"/>
        </w:rPr>
        <w:fldChar w:fldCharType="end"/>
      </w:r>
      <w:r>
        <w:rPr>
          <w:lang w:val="sl"/>
        </w:rPr>
        <w:t xml:space="preserve"> spodaj), in brez preučitve kakršnih koli dokazov o dolžnikovi insolventnosti začelo stečajni postopek.</w:t>
      </w:r>
    </w:p>
    <w:bookmarkStart w:id="5" w:name="BAMCapplication"/>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w:t>
      </w:r>
      <w:r>
        <w:rPr>
          <w:lang w:val="sl"/>
        </w:rPr>
        <w:fldChar w:fldCharType="end"/>
      </w:r>
      <w:bookmarkEnd w:id="5"/>
      <w:r>
        <w:rPr>
          <w:lang w:val="sl"/>
        </w:rPr>
        <w:t xml:space="preserve">.  Družba za upravljanje terjatev bank (v nadaljnjem besedilu: DUTB), ki je obravnavala terjatve bank, ki so financirale gradbeno naložbo v Kopru (glej odstavek </w:t>
      </w:r>
      <w:r>
        <w:rPr>
          <w:lang w:val="sl"/>
        </w:rPr>
        <w:fldChar w:fldCharType="begin"/>
      </w:r>
      <w:r>
        <w:rPr>
          <w:lang w:val="sl"/>
        </w:rPr>
        <w:instrText xml:space="preserve"> REF companysmainactivity \h </w:instrText>
      </w:r>
      <w:r>
        <w:rPr>
          <w:lang w:val="sl"/>
        </w:rPr>
      </w:r>
      <w:r>
        <w:rPr>
          <w:lang w:val="sl"/>
        </w:rPr>
        <w:fldChar w:fldCharType="separate"/>
      </w:r>
      <w:r>
        <w:rPr>
          <w:noProof/>
          <w:lang w:val="sl"/>
        </w:rPr>
        <w:t>5</w:t>
      </w:r>
      <w:r>
        <w:rPr>
          <w:lang w:val="sl"/>
        </w:rPr>
        <w:fldChar w:fldCharType="end"/>
      </w:r>
      <w:r>
        <w:rPr>
          <w:lang w:val="sl"/>
        </w:rPr>
        <w:t xml:space="preserve"> zgoraj), je 11. novembra 2014 vložila predlog za začetek stečajnega postopka zoper </w:t>
      </w:r>
      <w:r w:rsidR="004D07F2">
        <w:rPr>
          <w:lang w:val="sl"/>
        </w:rPr>
        <w:t>družbo</w:t>
      </w:r>
      <w:r>
        <w:rPr>
          <w:lang w:val="sl"/>
        </w:rPr>
        <w:t xml:space="preserve"> ES zaradi neporavnanih terjatev v višini 40.301.833 evrov. </w:t>
      </w:r>
      <w:r w:rsidR="007E06BA">
        <w:rPr>
          <w:lang w:val="sl"/>
        </w:rPr>
        <w:t xml:space="preserve">Dne </w:t>
      </w:r>
      <w:r>
        <w:rPr>
          <w:lang w:val="sl"/>
        </w:rPr>
        <w:t xml:space="preserve">5. decembra 2014 je </w:t>
      </w:r>
      <w:r w:rsidR="007E06BA">
        <w:rPr>
          <w:lang w:val="sl"/>
        </w:rPr>
        <w:t>prijavila udeležbo</w:t>
      </w:r>
      <w:r>
        <w:rPr>
          <w:lang w:val="sl"/>
        </w:rPr>
        <w:t xml:space="preserve"> v predhodnem stečajnem postopku v zvezi s predlogom za začetek stečajnega postopka M. B. (glej odstavek </w:t>
      </w:r>
      <w:r>
        <w:rPr>
          <w:lang w:val="sl"/>
        </w:rPr>
        <w:fldChar w:fldCharType="begin"/>
      </w:r>
      <w:r>
        <w:rPr>
          <w:lang w:val="sl"/>
        </w:rPr>
        <w:instrText xml:space="preserve"> REF bankruptcyapplication \h </w:instrText>
      </w:r>
      <w:r>
        <w:rPr>
          <w:lang w:val="sl"/>
        </w:rPr>
      </w:r>
      <w:r>
        <w:rPr>
          <w:lang w:val="sl"/>
        </w:rPr>
        <w:fldChar w:fldCharType="separate"/>
      </w:r>
      <w:r>
        <w:rPr>
          <w:noProof/>
          <w:lang w:val="sl"/>
        </w:rPr>
        <w:t>6</w:t>
      </w:r>
      <w:r>
        <w:rPr>
          <w:lang w:val="sl"/>
        </w:rPr>
        <w:fldChar w:fldCharType="end"/>
      </w:r>
      <w:r>
        <w:rPr>
          <w:lang w:val="sl"/>
        </w:rPr>
        <w:t xml:space="preserve"> zgoraj).</w:t>
      </w:r>
    </w:p>
    <w:bookmarkStart w:id="6" w:name="objection"/>
    <w:p w:rsidR="00EA4390" w:rsidRPr="005260BC"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9</w:t>
      </w:r>
      <w:r>
        <w:rPr>
          <w:lang w:val="sl"/>
        </w:rPr>
        <w:fldChar w:fldCharType="end"/>
      </w:r>
      <w:bookmarkEnd w:id="6"/>
      <w:r>
        <w:rPr>
          <w:lang w:val="sl"/>
        </w:rPr>
        <w:t>.  </w:t>
      </w:r>
      <w:r w:rsidR="004D07F2">
        <w:rPr>
          <w:lang w:val="sl"/>
        </w:rPr>
        <w:t>Družba</w:t>
      </w:r>
      <w:r>
        <w:rPr>
          <w:lang w:val="sl"/>
        </w:rPr>
        <w:t xml:space="preserve"> ES je 14. novembra 2014 vložil</w:t>
      </w:r>
      <w:r w:rsidR="004D07F2">
        <w:rPr>
          <w:lang w:val="sl"/>
        </w:rPr>
        <w:t>a</w:t>
      </w:r>
      <w:r>
        <w:rPr>
          <w:lang w:val="sl"/>
        </w:rPr>
        <w:t xml:space="preserve"> ugovor zoper predlog za začetek stečajnega postopka M. B. (glej odstavek </w:t>
      </w:r>
      <w:r>
        <w:rPr>
          <w:lang w:val="sl"/>
        </w:rPr>
        <w:fldChar w:fldCharType="begin"/>
      </w:r>
      <w:r>
        <w:rPr>
          <w:lang w:val="sl"/>
        </w:rPr>
        <w:instrText xml:space="preserve"> REF bankruptcyapplication \h </w:instrText>
      </w:r>
      <w:r>
        <w:rPr>
          <w:lang w:val="sl"/>
        </w:rPr>
      </w:r>
      <w:r>
        <w:rPr>
          <w:lang w:val="sl"/>
        </w:rPr>
        <w:fldChar w:fldCharType="separate"/>
      </w:r>
      <w:r>
        <w:rPr>
          <w:noProof/>
          <w:lang w:val="sl"/>
        </w:rPr>
        <w:t>6</w:t>
      </w:r>
      <w:r>
        <w:rPr>
          <w:lang w:val="sl"/>
        </w:rPr>
        <w:fldChar w:fldCharType="end"/>
      </w:r>
      <w:r>
        <w:rPr>
          <w:lang w:val="sl"/>
        </w:rPr>
        <w:t xml:space="preserve"> zgoraj), v katerem je trdil</w:t>
      </w:r>
      <w:r w:rsidR="004D07F2">
        <w:rPr>
          <w:lang w:val="sl"/>
        </w:rPr>
        <w:t>a</w:t>
      </w:r>
      <w:r>
        <w:rPr>
          <w:lang w:val="sl"/>
        </w:rPr>
        <w:t xml:space="preserve">, da ta oseba ni navedena v kadrovski evidenci </w:t>
      </w:r>
      <w:r w:rsidR="004D07F2">
        <w:rPr>
          <w:lang w:val="sl"/>
        </w:rPr>
        <w:t>družbe</w:t>
      </w:r>
      <w:r>
        <w:rPr>
          <w:lang w:val="sl"/>
        </w:rPr>
        <w:t>.</w:t>
      </w:r>
    </w:p>
    <w:bookmarkStart w:id="7" w:name="hearing"/>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bookmarkEnd w:id="7"/>
      <w:r>
        <w:rPr>
          <w:lang w:val="sl"/>
        </w:rPr>
        <w:t>. </w:t>
      </w:r>
      <w:r w:rsidR="007E06BA">
        <w:rPr>
          <w:lang w:val="sl"/>
        </w:rPr>
        <w:t>Dne</w:t>
      </w:r>
      <w:r>
        <w:rPr>
          <w:lang w:val="sl"/>
        </w:rPr>
        <w:t xml:space="preserve"> 22. decembra 2014 je Okrožno sodišče v Novi Gorici opravilo obravnavo. </w:t>
      </w:r>
      <w:r w:rsidR="004D07F2">
        <w:rPr>
          <w:lang w:val="sl"/>
        </w:rPr>
        <w:t xml:space="preserve">Družba </w:t>
      </w:r>
      <w:r>
        <w:rPr>
          <w:lang w:val="sl"/>
        </w:rPr>
        <w:t xml:space="preserve">ES, ki </w:t>
      </w:r>
      <w:r w:rsidR="004D07F2">
        <w:rPr>
          <w:lang w:val="sl"/>
        </w:rPr>
        <w:t xml:space="preserve">jo </w:t>
      </w:r>
      <w:r>
        <w:rPr>
          <w:lang w:val="sl"/>
        </w:rPr>
        <w:t xml:space="preserve">je zastopal izvršni direktor (Boris Žigon), je </w:t>
      </w:r>
      <w:r>
        <w:rPr>
          <w:lang w:val="sl"/>
        </w:rPr>
        <w:lastRenderedPageBreak/>
        <w:t>vztrajal</w:t>
      </w:r>
      <w:r w:rsidR="004D07F2">
        <w:rPr>
          <w:lang w:val="sl"/>
        </w:rPr>
        <w:t>a</w:t>
      </w:r>
      <w:r>
        <w:rPr>
          <w:lang w:val="sl"/>
        </w:rPr>
        <w:t>, da namerava svoje premoženje prodati in odplačati dolgove. Po nj</w:t>
      </w:r>
      <w:r w:rsidR="004D07F2">
        <w:rPr>
          <w:lang w:val="sl"/>
        </w:rPr>
        <w:t>enem</w:t>
      </w:r>
      <w:r>
        <w:rPr>
          <w:lang w:val="sl"/>
        </w:rPr>
        <w:t xml:space="preserve"> mnenju je bil predlog za začetek stečajnega postopka DUTB prenagljen, saj so pogovori o reševanju finančnega položaja in odplačilu dolgov </w:t>
      </w:r>
      <w:r w:rsidR="004D07F2">
        <w:rPr>
          <w:lang w:val="sl"/>
        </w:rPr>
        <w:t>družbe</w:t>
      </w:r>
      <w:r>
        <w:rPr>
          <w:lang w:val="sl"/>
        </w:rPr>
        <w:t xml:space="preserve"> ES že potekali. Domnevno je imel</w:t>
      </w:r>
      <w:r w:rsidR="004D07F2">
        <w:rPr>
          <w:lang w:val="sl"/>
        </w:rPr>
        <w:t>a</w:t>
      </w:r>
      <w:r>
        <w:rPr>
          <w:lang w:val="sl"/>
        </w:rPr>
        <w:t xml:space="preserve"> </w:t>
      </w:r>
      <w:r w:rsidR="004D07F2">
        <w:rPr>
          <w:lang w:val="sl"/>
        </w:rPr>
        <w:t>družba</w:t>
      </w:r>
      <w:r>
        <w:rPr>
          <w:lang w:val="sl"/>
        </w:rPr>
        <w:t xml:space="preserve"> kupca za gradbeno naložbo v Kopru. Tako je </w:t>
      </w:r>
      <w:r w:rsidR="004D07F2">
        <w:rPr>
          <w:lang w:val="sl"/>
        </w:rPr>
        <w:t>družba</w:t>
      </w:r>
      <w:r>
        <w:rPr>
          <w:lang w:val="sl"/>
        </w:rPr>
        <w:t xml:space="preserve"> potreboval</w:t>
      </w:r>
      <w:r w:rsidR="004D07F2">
        <w:rPr>
          <w:lang w:val="sl"/>
        </w:rPr>
        <w:t>a</w:t>
      </w:r>
      <w:r>
        <w:rPr>
          <w:lang w:val="sl"/>
        </w:rPr>
        <w:t xml:space="preserve"> še dva dodatna meseca za poravnavo vseh terjatev. Na isti obravnavi je M. B. vztrajala, da bi moral</w:t>
      </w:r>
      <w:r w:rsidR="004D07F2">
        <w:rPr>
          <w:lang w:val="sl"/>
        </w:rPr>
        <w:t>a</w:t>
      </w:r>
      <w:r>
        <w:rPr>
          <w:lang w:val="sl"/>
        </w:rPr>
        <w:t xml:space="preserve"> </w:t>
      </w:r>
      <w:r w:rsidR="004D07F2">
        <w:rPr>
          <w:lang w:val="sl"/>
        </w:rPr>
        <w:t>družba</w:t>
      </w:r>
      <w:r>
        <w:rPr>
          <w:lang w:val="sl"/>
        </w:rPr>
        <w:t xml:space="preserve"> ES razglasiti stečaj. Glede argumenta o prihajajoči prodaji premoženja </w:t>
      </w:r>
      <w:r w:rsidR="004D07F2">
        <w:rPr>
          <w:lang w:val="sl"/>
        </w:rPr>
        <w:t>družbe</w:t>
      </w:r>
      <w:r>
        <w:rPr>
          <w:lang w:val="sl"/>
        </w:rPr>
        <w:t xml:space="preserve"> je navedla, da je bila prodaja že </w:t>
      </w:r>
      <w:r w:rsidR="007A5FD3">
        <w:rPr>
          <w:lang w:val="sl"/>
        </w:rPr>
        <w:t>poskušana</w:t>
      </w:r>
      <w:r>
        <w:rPr>
          <w:lang w:val="sl"/>
        </w:rPr>
        <w:t xml:space="preserve">, a </w:t>
      </w:r>
      <w:r w:rsidR="0074689E">
        <w:rPr>
          <w:lang w:val="sl"/>
        </w:rPr>
        <w:t>ni uspela</w:t>
      </w:r>
      <w:r>
        <w:rPr>
          <w:lang w:val="sl"/>
        </w:rPr>
        <w:t xml:space="preserve">. Prav tako je predložila posodobljen dokument davčnih organov in Zavoda za pokojninsko in invalidsko zavarovanje o njenem zaposlitvenem statusu v </w:t>
      </w:r>
      <w:r w:rsidR="004D07F2">
        <w:rPr>
          <w:lang w:val="sl"/>
        </w:rPr>
        <w:t>družbi</w:t>
      </w:r>
      <w:r>
        <w:rPr>
          <w:lang w:val="sl"/>
        </w:rPr>
        <w:t>. Zastopnik DUTB je prav tako vztrajal, da bi moral</w:t>
      </w:r>
      <w:r w:rsidR="004D07F2">
        <w:rPr>
          <w:lang w:val="sl"/>
        </w:rPr>
        <w:t>a</w:t>
      </w:r>
      <w:r>
        <w:rPr>
          <w:lang w:val="sl"/>
        </w:rPr>
        <w:t xml:space="preserve"> </w:t>
      </w:r>
      <w:r w:rsidR="004D07F2">
        <w:rPr>
          <w:lang w:val="sl"/>
        </w:rPr>
        <w:t>družba</w:t>
      </w:r>
      <w:r>
        <w:rPr>
          <w:lang w:val="sl"/>
        </w:rPr>
        <w:t xml:space="preserve"> ES razglasiti stečaj, in opozoril, da pogovori z dolžnikom o reševanju njegovega finančnega položaja niso bili uspešni.</w:t>
      </w:r>
    </w:p>
    <w:p w:rsidR="00EA4390" w:rsidRPr="00F00C8E" w:rsidRDefault="00EA4390" w:rsidP="00F00C8E">
      <w:pPr>
        <w:pStyle w:val="JuHa0"/>
        <w:numPr>
          <w:ilvl w:val="4"/>
          <w:numId w:val="1"/>
        </w:numPr>
      </w:pPr>
      <w:r>
        <w:rPr>
          <w:lang w:val="sl"/>
        </w:rPr>
        <w:t>Sklep o začetku stečajnega postopka</w:t>
      </w:r>
    </w:p>
    <w:bookmarkStart w:id="8" w:name="NGcourtdecision"/>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11</w:t>
      </w:r>
      <w:r>
        <w:rPr>
          <w:lang w:val="sl"/>
        </w:rPr>
        <w:fldChar w:fldCharType="end"/>
      </w:r>
      <w:bookmarkEnd w:id="8"/>
      <w:r>
        <w:rPr>
          <w:lang w:val="sl"/>
        </w:rPr>
        <w:t xml:space="preserve">.  Okrožno sodišče v Novi Gorici je 29. decembra 2014 odločilo, da bo začelo stečajni postopek zoper </w:t>
      </w:r>
      <w:r w:rsidR="004D07F2">
        <w:rPr>
          <w:lang w:val="sl"/>
        </w:rPr>
        <w:t>družbo</w:t>
      </w:r>
      <w:r>
        <w:rPr>
          <w:lang w:val="sl"/>
        </w:rPr>
        <w:t xml:space="preserve"> ES. Presodilo je, da je M. B. predložila dokaze, ki jih je izdal Zavod za pokojninsko in invalidsko zavarovanje in ki kažejo, da je od aprila 2006 zaposlena v </w:t>
      </w:r>
      <w:r w:rsidR="004D07F2">
        <w:rPr>
          <w:lang w:val="sl"/>
        </w:rPr>
        <w:t>družbi</w:t>
      </w:r>
      <w:r>
        <w:rPr>
          <w:lang w:val="sl"/>
        </w:rPr>
        <w:t>. Po drugi strani pa dolžnik ni predložil nobenih do</w:t>
      </w:r>
      <w:r w:rsidR="006636B4">
        <w:rPr>
          <w:lang w:val="sl"/>
        </w:rPr>
        <w:t>kazov, s katerimi bi izpodbijal</w:t>
      </w:r>
      <w:r>
        <w:rPr>
          <w:lang w:val="sl"/>
        </w:rPr>
        <w:t xml:space="preserve"> trditve o njenem zaposlitvenem statusu v </w:t>
      </w:r>
      <w:r w:rsidR="004D07F2">
        <w:rPr>
          <w:lang w:val="sl"/>
        </w:rPr>
        <w:t>družbi</w:t>
      </w:r>
      <w:r>
        <w:rPr>
          <w:lang w:val="sl"/>
        </w:rPr>
        <w:t>. Poleg tega je M. B. predložila tudi dokazne listine, ki so jih izdali davčni organi in ki kažejo, da ji dolžnik od januarja 2013 do septembra 2014 ni izplačeval plače in prispevkov (glej odstavek</w:t>
      </w:r>
      <w:r>
        <w:rPr>
          <w:lang w:val="sl"/>
        </w:rPr>
        <w:fldChar w:fldCharType="begin"/>
      </w:r>
      <w:r>
        <w:rPr>
          <w:lang w:val="sl"/>
        </w:rPr>
        <w:instrText xml:space="preserve"> REF bankruptcyapplication \h </w:instrText>
      </w:r>
      <w:r>
        <w:rPr>
          <w:lang w:val="sl"/>
        </w:rPr>
      </w:r>
      <w:r>
        <w:rPr>
          <w:lang w:val="sl"/>
        </w:rPr>
        <w:fldChar w:fldCharType="separate"/>
      </w:r>
      <w:r>
        <w:rPr>
          <w:noProof/>
          <w:lang w:val="sl"/>
        </w:rPr>
        <w:t xml:space="preserve"> 6</w:t>
      </w:r>
      <w:r>
        <w:rPr>
          <w:lang w:val="sl"/>
        </w:rPr>
        <w:fldChar w:fldCharType="end"/>
      </w:r>
      <w:r w:rsidR="0074689E">
        <w:rPr>
          <w:lang w:val="sl"/>
        </w:rPr>
        <w:t xml:space="preserve"> </w:t>
      </w:r>
      <w:r>
        <w:rPr>
          <w:lang w:val="sl"/>
        </w:rPr>
        <w:t xml:space="preserve"> zgoraj). Dolžnik se s svoje strani ni niti skliceval niti ni </w:t>
      </w:r>
      <w:r w:rsidR="0074689E">
        <w:rPr>
          <w:lang w:val="sl"/>
        </w:rPr>
        <w:t>dokazal</w:t>
      </w:r>
      <w:r>
        <w:rPr>
          <w:lang w:val="sl"/>
        </w:rPr>
        <w:t xml:space="preserve">, da bi M. B. kar koli izplačal, odkar je vložila predlog za začetek stečajnega postopka ali odkar so bili izdani dokumenti, ki dokazujejo neplačilo plače in prispevkov. Poleg tega je sodišče poudarilo, da je bila dolžnikova nezmožnost poravnanja neporavnanih dolgov v daljšem obdobju – trajnejša nelikvidnost – eden od razlogov pri ugotavljanju dolžnikove insolventnosti. M. B. je vložila predlog za začetek stečajnega postopka na podlagi četrtega odstavka 14. člena zakona o insolventnosti (glej odstavek </w:t>
      </w:r>
      <w:r>
        <w:rPr>
          <w:lang w:val="sl"/>
        </w:rPr>
        <w:fldChar w:fldCharType="begin"/>
      </w:r>
      <w:r>
        <w:rPr>
          <w:lang w:val="sl"/>
        </w:rPr>
        <w:instrText xml:space="preserve"> REF insolvencyact \h </w:instrText>
      </w:r>
      <w:r>
        <w:rPr>
          <w:lang w:val="sl"/>
        </w:rPr>
      </w:r>
      <w:r>
        <w:rPr>
          <w:lang w:val="sl"/>
        </w:rPr>
        <w:fldChar w:fldCharType="separate"/>
      </w:r>
      <w:r>
        <w:rPr>
          <w:noProof/>
          <w:lang w:val="sl"/>
        </w:rPr>
        <w:t>23</w:t>
      </w:r>
      <w:r>
        <w:rPr>
          <w:lang w:val="sl"/>
        </w:rPr>
        <w:fldChar w:fldCharType="end"/>
      </w:r>
      <w:r>
        <w:rPr>
          <w:lang w:val="sl"/>
        </w:rPr>
        <w:t xml:space="preserve"> spodaj), ki določa neizpodbojno pravno domnevo o trajnejši nelikvidnosti. Po pregledu dokazov je sodišče ugotovilo, da je bila M. B. v času vložitve predloga za začetek stečajnega postopka zaposlena pri dolžniku in da prispevki, ki se obračunajo ali plačajo hkrati s plačilom plač, niso bili izplačani več kot dva meseca. Sodišče je ugotovilo, da M. B. vztraja pri predlogu za začetek stečajnega postopka in da je dokazala svoj</w:t>
      </w:r>
      <w:r w:rsidR="007E06BA">
        <w:rPr>
          <w:lang w:val="sl"/>
        </w:rPr>
        <w:t>o</w:t>
      </w:r>
      <w:r>
        <w:rPr>
          <w:lang w:val="sl"/>
        </w:rPr>
        <w:t xml:space="preserve"> </w:t>
      </w:r>
      <w:r w:rsidR="007E06BA">
        <w:rPr>
          <w:lang w:val="sl"/>
        </w:rPr>
        <w:t>procesno legitimacijo</w:t>
      </w:r>
      <w:r>
        <w:rPr>
          <w:lang w:val="sl"/>
        </w:rPr>
        <w:t>, zato je presodilo, da so bili razlogi za razglasitev stečaja dolžnika jasno ugotovljeni.</w:t>
      </w:r>
    </w:p>
    <w:bookmarkStart w:id="9" w:name="NGcourtdecision2"/>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12</w:t>
      </w:r>
      <w:r>
        <w:rPr>
          <w:lang w:val="sl"/>
        </w:rPr>
        <w:fldChar w:fldCharType="end"/>
      </w:r>
      <w:bookmarkEnd w:id="9"/>
      <w:r>
        <w:rPr>
          <w:lang w:val="sl"/>
        </w:rPr>
        <w:t xml:space="preserve">.  Sodišče je zavrnilo dolžnikove trditve z obravnave glede nameravane prodaje gradbene naložbe v Kopru. Predvsem je ugotovilo, da je dolžnik zaprosil za preložitev obravnave, saj je trdil, da bo predpogodba o prodaji gradbene naložbe podpisana 22. decembra 2014. Kljub temu je dolžnik na obravnavi, ki je potekala isti dan, zaprosil za več časa za prodajo lastnine in se ni skliceval na navedeno predpogodbo. Glede dolžnikovega argumenta, da </w:t>
      </w:r>
      <w:r>
        <w:rPr>
          <w:lang w:val="sl"/>
        </w:rPr>
        <w:lastRenderedPageBreak/>
        <w:t xml:space="preserve">je DUTB privolil v tak dogovor, je sodišče ugotovilo, da je DUTB sam vložil predlog za začetek stečajnega postopka in da vztraja, da </w:t>
      </w:r>
      <w:r w:rsidR="004D07F2">
        <w:rPr>
          <w:lang w:val="sl"/>
        </w:rPr>
        <w:t>družba</w:t>
      </w:r>
      <w:r>
        <w:rPr>
          <w:lang w:val="sl"/>
        </w:rPr>
        <w:t xml:space="preserve"> razglasi stečaj (glej odstavek </w:t>
      </w:r>
      <w:r>
        <w:rPr>
          <w:lang w:val="sl"/>
        </w:rPr>
        <w:fldChar w:fldCharType="begin"/>
      </w:r>
      <w:r>
        <w:rPr>
          <w:lang w:val="sl"/>
        </w:rPr>
        <w:instrText xml:space="preserve"> REF hearing \h </w:instrText>
      </w:r>
      <w:r>
        <w:rPr>
          <w:lang w:val="sl"/>
        </w:rPr>
      </w:r>
      <w:r>
        <w:rPr>
          <w:lang w:val="sl"/>
        </w:rPr>
        <w:fldChar w:fldCharType="separate"/>
      </w:r>
      <w:r>
        <w:rPr>
          <w:noProof/>
          <w:lang w:val="sl"/>
        </w:rPr>
        <w:t>10</w:t>
      </w:r>
      <w:r>
        <w:rPr>
          <w:lang w:val="sl"/>
        </w:rPr>
        <w:fldChar w:fldCharType="end"/>
      </w:r>
      <w:r>
        <w:rPr>
          <w:lang w:val="sl"/>
        </w:rPr>
        <w:t xml:space="preserve"> zgoraj).</w:t>
      </w:r>
    </w:p>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13</w:t>
      </w:r>
      <w:r>
        <w:rPr>
          <w:lang w:val="sl"/>
        </w:rPr>
        <w:fldChar w:fldCharType="end"/>
      </w:r>
      <w:r>
        <w:rPr>
          <w:lang w:val="sl"/>
        </w:rPr>
        <w:t>.  </w:t>
      </w:r>
      <w:r w:rsidR="007E06BA">
        <w:rPr>
          <w:lang w:val="sl"/>
        </w:rPr>
        <w:t xml:space="preserve">Stečajni </w:t>
      </w:r>
      <w:r>
        <w:rPr>
          <w:lang w:val="sl"/>
        </w:rPr>
        <w:t xml:space="preserve">upravitelj, ki je bil imenovan v </w:t>
      </w:r>
      <w:r w:rsidR="007E06BA">
        <w:rPr>
          <w:lang w:val="sl"/>
        </w:rPr>
        <w:t xml:space="preserve">stečajnem </w:t>
      </w:r>
      <w:r>
        <w:rPr>
          <w:lang w:val="sl"/>
        </w:rPr>
        <w:t xml:space="preserve">postopku zoper </w:t>
      </w:r>
      <w:r w:rsidR="004D07F2">
        <w:rPr>
          <w:lang w:val="sl"/>
        </w:rPr>
        <w:t>družbo</w:t>
      </w:r>
      <w:r>
        <w:rPr>
          <w:lang w:val="sl"/>
        </w:rPr>
        <w:t xml:space="preserve"> ES, je 24. januarja 2015 M. B. odpovedal pogodbo o zaposlitvi.</w:t>
      </w:r>
    </w:p>
    <w:p w:rsidR="00EA4390" w:rsidRPr="00F00C8E" w:rsidRDefault="00EA4390" w:rsidP="00F00C8E">
      <w:pPr>
        <w:pStyle w:val="JuHa0"/>
        <w:numPr>
          <w:ilvl w:val="4"/>
          <w:numId w:val="1"/>
        </w:numPr>
      </w:pPr>
      <w:r>
        <w:rPr>
          <w:lang w:val="sl"/>
        </w:rPr>
        <w:t>Pritožbeni postopki</w:t>
      </w:r>
    </w:p>
    <w:bookmarkStart w:id="10" w:name="appeal"/>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14</w:t>
      </w:r>
      <w:r>
        <w:rPr>
          <w:lang w:val="sl"/>
        </w:rPr>
        <w:fldChar w:fldCharType="end"/>
      </w:r>
      <w:bookmarkEnd w:id="10"/>
      <w:r>
        <w:rPr>
          <w:lang w:val="sl"/>
        </w:rPr>
        <w:t>.  </w:t>
      </w:r>
      <w:r w:rsidR="004D07F2">
        <w:rPr>
          <w:lang w:val="sl"/>
        </w:rPr>
        <w:t>Družba</w:t>
      </w:r>
      <w:r>
        <w:rPr>
          <w:lang w:val="sl"/>
        </w:rPr>
        <w:t xml:space="preserve"> ES in pritožnika kot njegova družbenika sta 30. januarja 2015 vložila identično pritožbo zoper sklep sodišča prve stopnje o začetku stečajnega postopka. Oporekala sta upravičenost do plače M. B., saj sta trdila, da je ustanovila svoje podjetje in bila od julija 2013 tudi njegova izvršna direktorica. Po njunem mnenju se domneva trajnejše nelikvidnosti ne bi smela uporabljati, saj je M. B. nekdanja zaposlena, domneven neporavnan dolg pa je zapadel že davno, preden je vložila predlog za začetek stečajnega postopka. Poleg tega sta trdila, da je </w:t>
      </w:r>
      <w:r w:rsidR="007E06BA">
        <w:rPr>
          <w:lang w:val="sl"/>
        </w:rPr>
        <w:t>stečaj</w:t>
      </w:r>
      <w:r>
        <w:rPr>
          <w:lang w:val="sl"/>
        </w:rPr>
        <w:t xml:space="preserve"> družbe z znatnimi sredstvi nesorazmeren ukrep. Sodišče bi moralo preveriti celoten finančni položaj dolžnika, predvsem navedbe v zvezi z gradbeno naložbo v Kopru, in dejstvo, da so njegove bančne vloge presegale vrednost 1.400.000 evrov, da bi lahko tako ocenilo dolžnikovo zmožnost odplačila zapadlih zneskov. Po njunem mnenju M. B. ni dokazala, da </w:t>
      </w:r>
      <w:r w:rsidR="004D07F2">
        <w:rPr>
          <w:lang w:val="sl"/>
        </w:rPr>
        <w:t>družba</w:t>
      </w:r>
      <w:r>
        <w:rPr>
          <w:lang w:val="sl"/>
        </w:rPr>
        <w:t xml:space="preserve"> dolga ne bi mogl</w:t>
      </w:r>
      <w:r w:rsidR="004D07F2">
        <w:rPr>
          <w:lang w:val="sl"/>
        </w:rPr>
        <w:t>a</w:t>
      </w:r>
      <w:r>
        <w:rPr>
          <w:lang w:val="sl"/>
        </w:rPr>
        <w:t xml:space="preserve"> odplačati z uporabo svojih sredstev. Poleg tega bi morala svojo terjatev zahtevati v okviru izvršilnega postopka.</w:t>
      </w:r>
    </w:p>
    <w:bookmarkStart w:id="11" w:name="MBclaim"/>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15</w:t>
      </w:r>
      <w:r>
        <w:rPr>
          <w:lang w:val="sl"/>
        </w:rPr>
        <w:fldChar w:fldCharType="end"/>
      </w:r>
      <w:bookmarkEnd w:id="11"/>
      <w:r>
        <w:rPr>
          <w:lang w:val="sl"/>
        </w:rPr>
        <w:t>.  M. B. je 5. marca 2015 v stečajnem postopku predložila terjatve v višini 35.372 evrov, ki so nastale na podlagi njene pogodbe o zaposlitvi.</w:t>
      </w:r>
    </w:p>
    <w:bookmarkStart w:id="12" w:name="highercourt2015"/>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16</w:t>
      </w:r>
      <w:r>
        <w:rPr>
          <w:lang w:val="sl"/>
        </w:rPr>
        <w:fldChar w:fldCharType="end"/>
      </w:r>
      <w:bookmarkEnd w:id="12"/>
      <w:r>
        <w:rPr>
          <w:lang w:val="sl"/>
        </w:rPr>
        <w:t xml:space="preserve">.  Višje sodišče v Ljubljani je 1. aprila 2015 zavrglo pritožbo pritožnikov kot prepozno in zavrnilo pritožbo </w:t>
      </w:r>
      <w:r w:rsidR="004D07F2">
        <w:rPr>
          <w:lang w:val="sl"/>
        </w:rPr>
        <w:t>družbe</w:t>
      </w:r>
      <w:r>
        <w:rPr>
          <w:lang w:val="sl"/>
        </w:rPr>
        <w:t xml:space="preserve"> kot neutemeljeno, hkrati pa po</w:t>
      </w:r>
      <w:r w:rsidR="007E06BA">
        <w:rPr>
          <w:lang w:val="sl"/>
        </w:rPr>
        <w:t>novilo</w:t>
      </w:r>
      <w:r>
        <w:rPr>
          <w:lang w:val="sl"/>
        </w:rPr>
        <w:t xml:space="preserve"> ugotovitve sodišča prve stopnje. Med drugim je ugotovilo, da bi moral</w:t>
      </w:r>
      <w:r w:rsidR="004D07F2">
        <w:rPr>
          <w:lang w:val="sl"/>
        </w:rPr>
        <w:t>a družba</w:t>
      </w:r>
      <w:r>
        <w:rPr>
          <w:lang w:val="sl"/>
        </w:rPr>
        <w:t xml:space="preserve"> zahtevo za odložitev odločanja o začetku stečajnega postopka vložiti v 15-dnevnem roku. Ker tega ni storil</w:t>
      </w:r>
      <w:r w:rsidR="004D07F2">
        <w:rPr>
          <w:lang w:val="sl"/>
        </w:rPr>
        <w:t>a</w:t>
      </w:r>
      <w:r>
        <w:rPr>
          <w:lang w:val="sl"/>
        </w:rPr>
        <w:t xml:space="preserve">, </w:t>
      </w:r>
      <w:r w:rsidR="004D07F2">
        <w:rPr>
          <w:lang w:val="sl"/>
        </w:rPr>
        <w:t xml:space="preserve">ji </w:t>
      </w:r>
      <w:r>
        <w:rPr>
          <w:lang w:val="sl"/>
        </w:rPr>
        <w:t>je bilo ob pritožbi onemogočeno, da bi se kakor koli izrekal</w:t>
      </w:r>
      <w:r w:rsidR="004D07F2">
        <w:rPr>
          <w:lang w:val="sl"/>
        </w:rPr>
        <w:t>a</w:t>
      </w:r>
      <w:r>
        <w:rPr>
          <w:lang w:val="sl"/>
        </w:rPr>
        <w:t xml:space="preserve"> o vrednosti svojih sredstev.</w:t>
      </w:r>
    </w:p>
    <w:bookmarkStart w:id="13" w:name="firstconstcomplaint"/>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17</w:t>
      </w:r>
      <w:r>
        <w:rPr>
          <w:lang w:val="sl"/>
        </w:rPr>
        <w:fldChar w:fldCharType="end"/>
      </w:r>
      <w:bookmarkEnd w:id="13"/>
      <w:r>
        <w:rPr>
          <w:lang w:val="sl"/>
        </w:rPr>
        <w:t xml:space="preserve">.  Pritožnika in </w:t>
      </w:r>
      <w:r w:rsidR="004D07F2">
        <w:rPr>
          <w:lang w:val="sl"/>
        </w:rPr>
        <w:t>družba</w:t>
      </w:r>
      <w:r>
        <w:rPr>
          <w:lang w:val="sl"/>
        </w:rPr>
        <w:t xml:space="preserve"> so vložili ustavno pritožbo zoper sklep višjega sodišča, v kateri trdijo, da začetek stečajnega postopka krši načelo sorazmernosti. Pritožnika prav tako zatrjujeta kršitev pravice do pravnega sredstva.</w:t>
      </w:r>
    </w:p>
    <w:bookmarkStart w:id="14" w:name="constcourtquashes"/>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18</w:t>
      </w:r>
      <w:r>
        <w:rPr>
          <w:lang w:val="sl"/>
        </w:rPr>
        <w:fldChar w:fldCharType="end"/>
      </w:r>
      <w:bookmarkEnd w:id="14"/>
      <w:r>
        <w:rPr>
          <w:lang w:val="sl"/>
        </w:rPr>
        <w:t xml:space="preserve">.  Ustavno sodišče je 22. junija 2015 v obravnavo sprejelo ustavno pritožbo pritožnikov zoper sklep višjega sodišča o zavrnitvi. Ustavne pritožbe </w:t>
      </w:r>
      <w:r w:rsidR="004D07F2">
        <w:rPr>
          <w:lang w:val="sl"/>
        </w:rPr>
        <w:t>družbe</w:t>
      </w:r>
      <w:r>
        <w:rPr>
          <w:lang w:val="sl"/>
        </w:rPr>
        <w:t xml:space="preserve"> v obravnavo ni sprejelo. Ustavno sodišče je 12. maja 2016 razveljavilo sklep o zavrnitvi višjega sodišča, zadeva pa je bila glede pritožbe pritožnikov vrnjena Višjemu sodišču v Ljubljani v novo odločanje.</w:t>
      </w:r>
    </w:p>
    <w:bookmarkStart w:id="15" w:name="highercourt2016"/>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19</w:t>
      </w:r>
      <w:r>
        <w:rPr>
          <w:lang w:val="sl"/>
        </w:rPr>
        <w:fldChar w:fldCharType="end"/>
      </w:r>
      <w:bookmarkEnd w:id="15"/>
      <w:r>
        <w:rPr>
          <w:lang w:val="sl"/>
        </w:rPr>
        <w:t>.  Višje sodišče v Ljubljani je 1. junija 2016 zavrnilo pritožbo pritožnikov in potrdilo sklep sodišča prve stopnje. Po</w:t>
      </w:r>
      <w:r w:rsidR="007E06BA">
        <w:rPr>
          <w:lang w:val="sl"/>
        </w:rPr>
        <w:t>novilo</w:t>
      </w:r>
      <w:r>
        <w:rPr>
          <w:lang w:val="sl"/>
        </w:rPr>
        <w:t xml:space="preserve"> je, da je M. B. kot zaposlena dolžnika in njegova upnica dokazala svoj položaj za vložitev predloga za začetek stečajnega postopka v skladu z 231. členom zakona o insolventnosti (glej odstavek </w:t>
      </w:r>
      <w:r>
        <w:rPr>
          <w:lang w:val="sl"/>
        </w:rPr>
        <w:fldChar w:fldCharType="begin"/>
      </w:r>
      <w:r>
        <w:rPr>
          <w:lang w:val="sl"/>
        </w:rPr>
        <w:instrText xml:space="preserve"> REF insolvencyact \h </w:instrText>
      </w:r>
      <w:r>
        <w:rPr>
          <w:lang w:val="sl"/>
        </w:rPr>
      </w:r>
      <w:r>
        <w:rPr>
          <w:lang w:val="sl"/>
        </w:rPr>
        <w:fldChar w:fldCharType="separate"/>
      </w:r>
      <w:r>
        <w:rPr>
          <w:noProof/>
          <w:lang w:val="sl"/>
        </w:rPr>
        <w:t>23</w:t>
      </w:r>
      <w:r>
        <w:rPr>
          <w:lang w:val="sl"/>
        </w:rPr>
        <w:fldChar w:fldCharType="end"/>
      </w:r>
      <w:r>
        <w:rPr>
          <w:lang w:val="sl"/>
        </w:rPr>
        <w:t xml:space="preserve"> spodaj). Predložila je dokaze, ki </w:t>
      </w:r>
      <w:r>
        <w:rPr>
          <w:lang w:val="sl"/>
        </w:rPr>
        <w:lastRenderedPageBreak/>
        <w:t xml:space="preserve">podkrepljujejo njen zaposlitveni status ter upravičenost do plače in prispevkov, čemur dolžnik ni ugovarjal. Izjave pritožnikov glede </w:t>
      </w:r>
      <w:r w:rsidR="004D07F2">
        <w:rPr>
          <w:lang w:val="sl"/>
        </w:rPr>
        <w:t>družbe</w:t>
      </w:r>
      <w:r>
        <w:rPr>
          <w:lang w:val="sl"/>
        </w:rPr>
        <w:t xml:space="preserve"> M. B. so v zvezi z njenim zaposlitvenim statusom nepomembne. Poleg tega je </w:t>
      </w:r>
      <w:r w:rsidR="0074689E">
        <w:rPr>
          <w:lang w:val="sl"/>
        </w:rPr>
        <w:t xml:space="preserve">M.B. tudi </w:t>
      </w:r>
      <w:r>
        <w:rPr>
          <w:lang w:val="sl"/>
        </w:rPr>
        <w:t xml:space="preserve">dokazala, da ji dolžnik v obdobju med januarjem 2013 in septembrom 2014 ni izplačeval obveznih socialnih prispevkov in plače. Niti pritožnika niti dolžnik niso ugovarjali dejstvom, na podlagi katerih se je v skladu s četrtim odstavkom 14. člena zakona o insolventnosti uporabljala domneva o trajnejši nelikvidnosti, zato se je </w:t>
      </w:r>
      <w:r w:rsidR="004D07F2">
        <w:rPr>
          <w:lang w:val="sl"/>
        </w:rPr>
        <w:t>družba</w:t>
      </w:r>
      <w:r>
        <w:rPr>
          <w:lang w:val="sl"/>
        </w:rPr>
        <w:t xml:space="preserve"> obravnaval</w:t>
      </w:r>
      <w:r w:rsidR="004D07F2">
        <w:rPr>
          <w:lang w:val="sl"/>
        </w:rPr>
        <w:t>a</w:t>
      </w:r>
      <w:r>
        <w:rPr>
          <w:lang w:val="sl"/>
        </w:rPr>
        <w:t xml:space="preserve"> kot insolventn</w:t>
      </w:r>
      <w:r w:rsidR="004D07F2">
        <w:rPr>
          <w:lang w:val="sl"/>
        </w:rPr>
        <w:t>a</w:t>
      </w:r>
      <w:r>
        <w:rPr>
          <w:lang w:val="sl"/>
        </w:rPr>
        <w:t xml:space="preserve">. Njihove navedbe o vrednosti dolžnikovega premoženja so bile na podlagi ugotovljenega stanja insolventnosti </w:t>
      </w:r>
      <w:r w:rsidR="004D07F2">
        <w:rPr>
          <w:lang w:val="sl"/>
        </w:rPr>
        <w:t>družbe</w:t>
      </w:r>
      <w:r>
        <w:rPr>
          <w:lang w:val="sl"/>
        </w:rPr>
        <w:t xml:space="preserve"> opredeljene kot ne</w:t>
      </w:r>
      <w:r w:rsidR="007E06BA">
        <w:rPr>
          <w:lang w:val="sl"/>
        </w:rPr>
        <w:t>pomembne</w:t>
      </w:r>
      <w:r>
        <w:rPr>
          <w:lang w:val="sl"/>
        </w:rPr>
        <w:t>. Prikazati bi morali, da je imel dolžnik več zaposlenih in da je minimalno plačo, davke in prispevke izplačeval brez dvomesečne zamude. Poleg tega se glede na ustrezno sodno prakso domneva o trajnejši nelikvidnosti ne bi uporabljala, če bi imel dolžnik več zaposlenih in bi pri izplačilu plače ali prispevkov zamujal le pri enem zaposlenem, ki je bil poleg tega tudi nekdanji zaposleni. Sodišča glede stališč, ki so bila predstavljena v ugovoru in pritožbi, niso imela razloga, da bi ugotovila, da je imel</w:t>
      </w:r>
      <w:r w:rsidR="004D07F2">
        <w:rPr>
          <w:lang w:val="sl"/>
        </w:rPr>
        <w:t>a družba</w:t>
      </w:r>
      <w:r>
        <w:rPr>
          <w:lang w:val="sl"/>
        </w:rPr>
        <w:t xml:space="preserve"> več zaposlenih in da izplačilo njihovih plač in prispevkov ni zamujalo več kot dva meseca.</w:t>
      </w:r>
    </w:p>
    <w:bookmarkStart w:id="16" w:name="secondconstcomplaint"/>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20</w:t>
      </w:r>
      <w:r>
        <w:rPr>
          <w:lang w:val="sl"/>
        </w:rPr>
        <w:fldChar w:fldCharType="end"/>
      </w:r>
      <w:bookmarkEnd w:id="16"/>
      <w:r>
        <w:rPr>
          <w:lang w:val="sl"/>
        </w:rPr>
        <w:t xml:space="preserve">.  Pritožnika sta 9. julija 2016 vložila ustavno pritožbo, v kateri sta trdila, da sklep o začetku stečajnega postopka zoper </w:t>
      </w:r>
      <w:r w:rsidR="004D07F2">
        <w:rPr>
          <w:lang w:val="sl"/>
        </w:rPr>
        <w:t>družbo</w:t>
      </w:r>
      <w:r>
        <w:rPr>
          <w:lang w:val="sl"/>
        </w:rPr>
        <w:t xml:space="preserve"> ES krši načelo sorazmernosti.</w:t>
      </w:r>
    </w:p>
    <w:bookmarkStart w:id="17" w:name="constcourtnotaccept"/>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21</w:t>
      </w:r>
      <w:r>
        <w:rPr>
          <w:lang w:val="sl"/>
        </w:rPr>
        <w:fldChar w:fldCharType="end"/>
      </w:r>
      <w:bookmarkEnd w:id="17"/>
      <w:r>
        <w:rPr>
          <w:lang w:val="sl"/>
        </w:rPr>
        <w:t>.  Ustavno sodišče je 6. septembra 2016 zavrnilo sprejetje ustavne pritožbe, ki sta jo vložila pritožnika, v obravnavo.</w:t>
      </w:r>
    </w:p>
    <w:bookmarkStart w:id="18" w:name="dismissBAMCapplication"/>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22</w:t>
      </w:r>
      <w:r>
        <w:rPr>
          <w:lang w:val="sl"/>
        </w:rPr>
        <w:fldChar w:fldCharType="end"/>
      </w:r>
      <w:bookmarkEnd w:id="18"/>
      <w:r>
        <w:rPr>
          <w:lang w:val="sl"/>
        </w:rPr>
        <w:t xml:space="preserve">.  Okrožno sodišče v Novi Gorici je 20. septembra 2017 zaradi pomanjkanja pravnega interesa zavrnilo predlog za začetek stečajnega postopka, ki ga je vložil DUTB (glej odstavek </w:t>
      </w:r>
      <w:r>
        <w:rPr>
          <w:lang w:val="sl"/>
        </w:rPr>
        <w:fldChar w:fldCharType="begin"/>
      </w:r>
      <w:r>
        <w:rPr>
          <w:lang w:val="sl"/>
        </w:rPr>
        <w:instrText xml:space="preserve"> REF BAMCapplication \h </w:instrText>
      </w:r>
      <w:r>
        <w:rPr>
          <w:lang w:val="sl"/>
        </w:rPr>
      </w:r>
      <w:r>
        <w:rPr>
          <w:lang w:val="sl"/>
        </w:rPr>
        <w:fldChar w:fldCharType="separate"/>
      </w:r>
      <w:r>
        <w:rPr>
          <w:noProof/>
          <w:lang w:val="sl"/>
        </w:rPr>
        <w:t>8</w:t>
      </w:r>
      <w:r>
        <w:rPr>
          <w:lang w:val="sl"/>
        </w:rPr>
        <w:fldChar w:fldCharType="end"/>
      </w:r>
      <w:r>
        <w:rPr>
          <w:lang w:val="sl"/>
        </w:rPr>
        <w:t xml:space="preserve"> zgoraj), saj je ugotovilo, da se je stečajni postopek zoper </w:t>
      </w:r>
      <w:r w:rsidR="004D07F2">
        <w:rPr>
          <w:lang w:val="sl"/>
        </w:rPr>
        <w:t>družbo</w:t>
      </w:r>
      <w:r>
        <w:rPr>
          <w:lang w:val="sl"/>
        </w:rPr>
        <w:t xml:space="preserve"> ES začel že 29. decembra 2014 (glej odstavek </w:t>
      </w:r>
      <w:r>
        <w:rPr>
          <w:lang w:val="sl"/>
        </w:rPr>
        <w:fldChar w:fldCharType="begin"/>
      </w:r>
      <w:r>
        <w:rPr>
          <w:lang w:val="sl"/>
        </w:rPr>
        <w:instrText xml:space="preserve"> REF NGcourtdecision \h </w:instrText>
      </w:r>
      <w:r>
        <w:rPr>
          <w:lang w:val="sl"/>
        </w:rPr>
      </w:r>
      <w:r>
        <w:rPr>
          <w:lang w:val="sl"/>
        </w:rPr>
        <w:fldChar w:fldCharType="separate"/>
      </w:r>
      <w:r>
        <w:rPr>
          <w:noProof/>
          <w:lang w:val="sl"/>
        </w:rPr>
        <w:t>11</w:t>
      </w:r>
      <w:r>
        <w:rPr>
          <w:lang w:val="sl"/>
        </w:rPr>
        <w:fldChar w:fldCharType="end"/>
      </w:r>
      <w:r>
        <w:rPr>
          <w:lang w:val="sl"/>
        </w:rPr>
        <w:t xml:space="preserve"> zgoraj).</w:t>
      </w:r>
    </w:p>
    <w:p w:rsidR="00EA4390" w:rsidRPr="00F00C8E" w:rsidRDefault="00EA4390" w:rsidP="00F00C8E">
      <w:pPr>
        <w:pStyle w:val="JuHA"/>
        <w:numPr>
          <w:ilvl w:val="2"/>
          <w:numId w:val="1"/>
        </w:numPr>
      </w:pPr>
      <w:r>
        <w:rPr>
          <w:lang w:val="sl"/>
        </w:rPr>
        <w:t>Upoštevani domača zakonodaja in praksa</w:t>
      </w:r>
    </w:p>
    <w:bookmarkStart w:id="19" w:name="insolvencyact"/>
    <w:p w:rsidR="00EA4390" w:rsidRPr="00F00C8E" w:rsidRDefault="00EA4390" w:rsidP="00F00C8E">
      <w:pPr>
        <w:pStyle w:val="JuPara"/>
      </w:pPr>
      <w:r>
        <w:rPr>
          <w:lang w:val="sl"/>
        </w:rPr>
        <w:fldChar w:fldCharType="begin"/>
      </w:r>
      <w:r>
        <w:rPr>
          <w:lang w:val="sl"/>
        </w:rPr>
        <w:instrText xml:space="preserve"> SEQ level0 \*arabic </w:instrText>
      </w:r>
      <w:r>
        <w:rPr>
          <w:lang w:val="sl"/>
        </w:rPr>
        <w:fldChar w:fldCharType="separate"/>
      </w:r>
      <w:r>
        <w:rPr>
          <w:noProof/>
          <w:lang w:val="sl"/>
        </w:rPr>
        <w:t>23</w:t>
      </w:r>
      <w:r>
        <w:rPr>
          <w:lang w:val="sl"/>
        </w:rPr>
        <w:fldChar w:fldCharType="end"/>
      </w:r>
      <w:bookmarkEnd w:id="19"/>
      <w:r>
        <w:rPr>
          <w:lang w:val="sl"/>
        </w:rPr>
        <w:t>.  Ustrezne določbe Zakona o finančnem poslovanju, postopkih zaradi insolventnosti in prisilnem prenehanju (Uradni list Republike Slovenije, št. 13/14, z ustreznimi spremembami) se glasijo:</w:t>
      </w:r>
    </w:p>
    <w:p w:rsidR="00EA4390" w:rsidRPr="00F00C8E" w:rsidRDefault="00EA4390" w:rsidP="00F00C8E">
      <w:pPr>
        <w:pStyle w:val="JuHArticle"/>
      </w:pPr>
      <w:r>
        <w:rPr>
          <w:bCs/>
          <w:lang w:val="sl"/>
        </w:rPr>
        <w:t>14. člen – insolventnost</w:t>
      </w:r>
    </w:p>
    <w:p w:rsidR="00EA4390" w:rsidRPr="00F00C8E" w:rsidRDefault="00EA4390" w:rsidP="00F00C8E">
      <w:pPr>
        <w:pStyle w:val="JuQuot"/>
      </w:pPr>
      <w:r>
        <w:rPr>
          <w:lang w:val="sl"/>
        </w:rPr>
        <w:t>"(1)  Insolventnost je položaj, ki nastane, če dolžnik oziroma dolžnica:</w:t>
      </w:r>
    </w:p>
    <w:p w:rsidR="00EA4390" w:rsidRPr="00F00C8E" w:rsidRDefault="00EA4390" w:rsidP="00F00C8E">
      <w:pPr>
        <w:pStyle w:val="JuQuot"/>
      </w:pPr>
      <w:r>
        <w:rPr>
          <w:lang w:val="sl"/>
        </w:rPr>
        <w:t>1.  v daljšem obdobju ni sposoben poravnati vseh svojih obveznosti, ki so zapadle v tem obdobju (v nadaljnjem besedilu: trajnejša nelikvidnost), ali</w:t>
      </w:r>
    </w:p>
    <w:p w:rsidR="00EA4390" w:rsidRPr="00F00C8E" w:rsidRDefault="00EA4390" w:rsidP="00F00C8E">
      <w:pPr>
        <w:pStyle w:val="JuQuot"/>
      </w:pPr>
      <w:r>
        <w:rPr>
          <w:lang w:val="sl"/>
        </w:rPr>
        <w:t>2.  postane dolgoročno plačilno nesposoben.</w:t>
      </w:r>
    </w:p>
    <w:p w:rsidR="00EA4390" w:rsidRPr="00F00C8E" w:rsidRDefault="00EA4390" w:rsidP="00F00C8E">
      <w:pPr>
        <w:pStyle w:val="JuQuot"/>
      </w:pPr>
      <w:r>
        <w:rPr>
          <w:lang w:val="sl"/>
        </w:rPr>
        <w:t>...</w:t>
      </w:r>
    </w:p>
    <w:p w:rsidR="00EA4390" w:rsidRPr="00F00C8E" w:rsidRDefault="00EA4390" w:rsidP="00F00C8E">
      <w:pPr>
        <w:pStyle w:val="JuQuot"/>
      </w:pPr>
      <w:r>
        <w:rPr>
          <w:lang w:val="sl"/>
        </w:rPr>
        <w:lastRenderedPageBreak/>
        <w:t>(3)  Če se ne dokaže drugače, velja, da je dolžnik postal dolgoročno plačilno nesposoben:</w:t>
      </w:r>
    </w:p>
    <w:p w:rsidR="00EA4390" w:rsidRPr="00F00C8E" w:rsidRDefault="00EA4390" w:rsidP="00F00C8E">
      <w:pPr>
        <w:pStyle w:val="JuQuot"/>
      </w:pPr>
      <w:r>
        <w:rPr>
          <w:lang w:val="sl"/>
        </w:rPr>
        <w:t>1.  če je vrednost njegovega premoženja manjša od vsote njegovih obveznosti (v nadaljnjem besedilu: prezadolženost),</w:t>
      </w:r>
    </w:p>
    <w:p w:rsidR="00EA4390" w:rsidRPr="00F00C8E" w:rsidRDefault="00EA4390" w:rsidP="00F00C8E">
      <w:pPr>
        <w:pStyle w:val="JuQuot"/>
      </w:pPr>
      <w:r>
        <w:rPr>
          <w:lang w:val="sl"/>
        </w:rPr>
        <w:t>...</w:t>
      </w:r>
    </w:p>
    <w:p w:rsidR="00EA4390" w:rsidRPr="00F00C8E" w:rsidRDefault="00EA4390" w:rsidP="00F00C8E">
      <w:pPr>
        <w:pStyle w:val="JuQuot"/>
      </w:pPr>
      <w:r>
        <w:rPr>
          <w:lang w:val="sl"/>
        </w:rPr>
        <w:t>(4)  Velja in nasproten dokaz ni dovoljen, da je pravna oseba, podjetnik ali zasebnik postal trajneje nelikviden, če za več kot dva meseca zamuja:</w:t>
      </w:r>
    </w:p>
    <w:p w:rsidR="00EA4390" w:rsidRPr="00F00C8E" w:rsidRDefault="00EA4390" w:rsidP="00F00C8E">
      <w:pPr>
        <w:pStyle w:val="JuQuot"/>
      </w:pPr>
      <w:r>
        <w:rPr>
          <w:lang w:val="sl"/>
        </w:rPr>
        <w:t>1.   s plačilom plač delavcem do višine minimalne plače ali</w:t>
      </w:r>
    </w:p>
    <w:p w:rsidR="007E06BA" w:rsidRDefault="00EA4390" w:rsidP="00F00C8E">
      <w:pPr>
        <w:pStyle w:val="JuQuot"/>
        <w:rPr>
          <w:lang w:val="sl"/>
        </w:rPr>
      </w:pPr>
      <w:r>
        <w:rPr>
          <w:lang w:val="sl"/>
        </w:rPr>
        <w:t xml:space="preserve">2. s plačilom davkov in prispevkov, ki jih mora izplačevalec obračunati ali plačati hkrati s plačilom plač delavcem, </w:t>
      </w:r>
    </w:p>
    <w:p w:rsidR="00EA4390" w:rsidRPr="007E06BA" w:rsidRDefault="00EA4390" w:rsidP="00F00C8E">
      <w:pPr>
        <w:pStyle w:val="JuQuot"/>
        <w:rPr>
          <w:lang w:val="it-IT"/>
        </w:rPr>
      </w:pPr>
      <w:r>
        <w:rPr>
          <w:lang w:val="sl"/>
        </w:rPr>
        <w:t>in takšno stanje traja na dan pred vložitvijo predloga za začetek postopka zaradi insolventnosti."</w:t>
      </w:r>
    </w:p>
    <w:p w:rsidR="00EA4390" w:rsidRPr="004D07F2" w:rsidRDefault="00EA4390" w:rsidP="00F00C8E">
      <w:pPr>
        <w:pStyle w:val="JuHArticle"/>
        <w:rPr>
          <w:bCs/>
          <w:lang w:val="it-IT"/>
        </w:rPr>
      </w:pPr>
      <w:r>
        <w:rPr>
          <w:bCs/>
          <w:lang w:val="sl"/>
        </w:rPr>
        <w:t>231. člen – upravičeni predlagatelj</w:t>
      </w:r>
    </w:p>
    <w:p w:rsidR="00EA4390" w:rsidRPr="004D07F2" w:rsidRDefault="00EA4390" w:rsidP="00F00C8E">
      <w:pPr>
        <w:pStyle w:val="JuQuot"/>
        <w:rPr>
          <w:lang w:val="it-IT"/>
        </w:rPr>
      </w:pPr>
      <w:r>
        <w:rPr>
          <w:lang w:val="sl"/>
        </w:rPr>
        <w:t>"Predlog za začetek stečajnega postopka je upravičen vložiti:</w:t>
      </w:r>
    </w:p>
    <w:p w:rsidR="00EA4390" w:rsidRPr="004D07F2" w:rsidRDefault="00EA4390" w:rsidP="00F00C8E">
      <w:pPr>
        <w:pStyle w:val="JuQuot"/>
        <w:rPr>
          <w:lang w:val="it-IT"/>
        </w:rPr>
      </w:pPr>
      <w:r>
        <w:rPr>
          <w:lang w:val="sl"/>
        </w:rPr>
        <w:t>...</w:t>
      </w:r>
    </w:p>
    <w:p w:rsidR="00EA4390" w:rsidRPr="004D07F2" w:rsidRDefault="00EA4390" w:rsidP="00F00C8E">
      <w:pPr>
        <w:pStyle w:val="JuQuot"/>
        <w:rPr>
          <w:lang w:val="it-IT"/>
        </w:rPr>
      </w:pPr>
      <w:r>
        <w:rPr>
          <w:lang w:val="sl"/>
        </w:rPr>
        <w:t>3.  upnik, ki verjetno izkaže:</w:t>
      </w:r>
    </w:p>
    <w:p w:rsidR="00EA4390" w:rsidRPr="004D07F2" w:rsidRDefault="00EA4390" w:rsidP="00F00C8E">
      <w:pPr>
        <w:pStyle w:val="JuQuot"/>
        <w:rPr>
          <w:lang w:val="it-IT"/>
        </w:rPr>
      </w:pPr>
      <w:r>
        <w:rPr>
          <w:lang w:val="sl"/>
        </w:rPr>
        <w:t>–   svojo terjatev do dolžnika, proti kateremu predlaga začetek postopka, in</w:t>
      </w:r>
    </w:p>
    <w:p w:rsidR="00EA4390" w:rsidRPr="004D07F2" w:rsidRDefault="00EA4390" w:rsidP="00F00C8E">
      <w:pPr>
        <w:pStyle w:val="JuQuot"/>
        <w:rPr>
          <w:lang w:val="it-IT"/>
        </w:rPr>
      </w:pPr>
      <w:r>
        <w:rPr>
          <w:lang w:val="sl"/>
        </w:rPr>
        <w:t>–  okoliščino, da dolžnik zamuja s plačilom te terjatve več kot dva meseca,</w:t>
      </w:r>
    </w:p>
    <w:p w:rsidR="00EA4390" w:rsidRPr="004D07F2" w:rsidRDefault="00EA4390" w:rsidP="00F00C8E">
      <w:pPr>
        <w:pStyle w:val="JuQuot"/>
        <w:rPr>
          <w:lang w:val="it-IT"/>
        </w:rPr>
      </w:pPr>
      <w:r>
        <w:rPr>
          <w:lang w:val="sl"/>
        </w:rPr>
        <w:t>..."</w:t>
      </w:r>
    </w:p>
    <w:p w:rsidR="00EA4390" w:rsidRPr="004D07F2" w:rsidRDefault="00EA4390" w:rsidP="00F00C8E">
      <w:pPr>
        <w:pStyle w:val="JuHArticle"/>
        <w:rPr>
          <w:lang w:val="it-IT"/>
        </w:rPr>
      </w:pPr>
      <w:r>
        <w:rPr>
          <w:bCs/>
          <w:lang w:val="sl"/>
        </w:rPr>
        <w:t>234. člen – postopek z dolžnikovim predlogom za začetek stečajnega postopka</w:t>
      </w:r>
    </w:p>
    <w:p w:rsidR="00EA4390" w:rsidRPr="004D07F2" w:rsidRDefault="00EA4390" w:rsidP="00F00C8E">
      <w:pPr>
        <w:pStyle w:val="JuQuot"/>
        <w:rPr>
          <w:lang w:val="it-IT"/>
        </w:rPr>
      </w:pPr>
      <w:r>
        <w:rPr>
          <w:lang w:val="sl"/>
        </w:rPr>
        <w:t>"...</w:t>
      </w:r>
    </w:p>
    <w:p w:rsidR="00EA4390" w:rsidRPr="004D07F2" w:rsidRDefault="00EA4390" w:rsidP="00F00C8E">
      <w:pPr>
        <w:pStyle w:val="JuQuot"/>
        <w:rPr>
          <w:lang w:val="it-IT"/>
        </w:rPr>
      </w:pPr>
      <w:r>
        <w:rPr>
          <w:lang w:val="sl"/>
        </w:rPr>
        <w:t>(4)  Družbenik dolžnika /.../ lahko izpodbija domnevo insolventnosti /.../ s pritožbo proti sklepu o začetku stečajnega postopka, ki ji mora priložiti dokaze o tem, da dolžnik ni insolventen."</w:t>
      </w:r>
    </w:p>
    <w:p w:rsidR="00EA4390" w:rsidRPr="004D07F2" w:rsidRDefault="00EA4390" w:rsidP="00F00C8E">
      <w:pPr>
        <w:pStyle w:val="JuHArticle"/>
        <w:rPr>
          <w:lang w:val="it-IT"/>
        </w:rPr>
      </w:pPr>
      <w:r>
        <w:rPr>
          <w:bCs/>
          <w:lang w:val="sl"/>
        </w:rPr>
        <w:t>235. člen – postopek z upnikovim predlogom za začetek stečajnega postopka</w:t>
      </w:r>
    </w:p>
    <w:p w:rsidR="00EA4390" w:rsidRPr="004D07F2" w:rsidRDefault="00EA4390" w:rsidP="00F00C8E">
      <w:pPr>
        <w:pStyle w:val="JuQuot"/>
        <w:rPr>
          <w:lang w:val="it-IT"/>
        </w:rPr>
      </w:pPr>
      <w:r>
        <w:rPr>
          <w:lang w:val="sl"/>
        </w:rPr>
        <w:t>"...</w:t>
      </w:r>
    </w:p>
    <w:p w:rsidR="00EA4390" w:rsidRPr="004D07F2" w:rsidRDefault="00EA4390" w:rsidP="00F00C8E">
      <w:pPr>
        <w:pStyle w:val="JuQuot"/>
        <w:rPr>
          <w:lang w:val="it-IT"/>
        </w:rPr>
      </w:pPr>
      <w:r>
        <w:rPr>
          <w:lang w:val="sl"/>
        </w:rPr>
        <w:t>(2)  Dolžnik lahko v 15 dneh po prejemu upnikovega predloga za začetek stečajnega postopka ugovarja, da ni insolventen ali da upnikova terjatev ne obstaja.</w:t>
      </w:r>
    </w:p>
    <w:p w:rsidR="00EA4390" w:rsidRPr="004D07F2" w:rsidRDefault="00EA4390" w:rsidP="00F00C8E">
      <w:pPr>
        <w:pStyle w:val="JuQuot"/>
        <w:rPr>
          <w:lang w:val="it-IT"/>
        </w:rPr>
      </w:pPr>
      <w:r>
        <w:rPr>
          <w:lang w:val="sl"/>
        </w:rPr>
        <w:t>(3)  Če dolžnik izjavi, da z upnikovim predlogom za začetek postopka soglaša, ali če v 15 dneh po prejemu ne vloži niti ugovora iz drugega odstavka tega člena niti zahteve iz prvega odstavka 236. člena tega zakona, velja, če se ne dokaže drugače, da je dolžnik insolventen.</w:t>
      </w:r>
    </w:p>
    <w:p w:rsidR="00EA4390" w:rsidRPr="004D07F2" w:rsidRDefault="00EA4390" w:rsidP="00F00C8E">
      <w:pPr>
        <w:pStyle w:val="JuQuot"/>
        <w:rPr>
          <w:lang w:val="it-IT"/>
        </w:rPr>
      </w:pPr>
      <w:r>
        <w:rPr>
          <w:lang w:val="sl"/>
        </w:rPr>
        <w:t>(4)  Za izpodbijanje domneve o insolventnosti iz tretjega odstavka tega člena se smiselno uporabljata tretji in četrti odstavek 234. člena tega zakona."</w:t>
      </w:r>
    </w:p>
    <w:p w:rsidR="00EA4390" w:rsidRPr="004D07F2" w:rsidRDefault="00EA4390" w:rsidP="00F00C8E">
      <w:pPr>
        <w:pStyle w:val="JuHArticle"/>
        <w:rPr>
          <w:lang w:val="it-IT"/>
        </w:rPr>
      </w:pPr>
      <w:r>
        <w:rPr>
          <w:bCs/>
          <w:lang w:val="sl"/>
        </w:rPr>
        <w:lastRenderedPageBreak/>
        <w:t>236. člen – zahteva za odložitev odločanja o upnikovem predlogu za začetek stečajnega postopka</w:t>
      </w:r>
    </w:p>
    <w:p w:rsidR="00EA4390" w:rsidRPr="004D07F2" w:rsidRDefault="00EA4390" w:rsidP="00F00C8E">
      <w:pPr>
        <w:pStyle w:val="JuQuot"/>
        <w:rPr>
          <w:lang w:val="it-IT"/>
        </w:rPr>
      </w:pPr>
      <w:r>
        <w:rPr>
          <w:lang w:val="sl"/>
        </w:rPr>
        <w:t>"(1)  Dolžnik lahko/.../ zahteva, da sodišče odloži odločanje o upnikovem predlogu za začetek stečajnega postopka, ker bo z izvedbo finančnega prestrukturiranja odpravil svojo insolventnost /.../."</w:t>
      </w:r>
    </w:p>
    <w:p w:rsidR="00EA4390" w:rsidRPr="004D07F2" w:rsidRDefault="00EA4390" w:rsidP="00F00C8E">
      <w:pPr>
        <w:pStyle w:val="JuHArticle"/>
        <w:rPr>
          <w:lang w:val="it-IT"/>
        </w:rPr>
      </w:pPr>
      <w:r>
        <w:rPr>
          <w:bCs/>
          <w:lang w:val="sl"/>
        </w:rPr>
        <w:t>239. člen – odločanje o začetku stečajnega postopka</w:t>
      </w:r>
    </w:p>
    <w:p w:rsidR="00EA4390" w:rsidRPr="000907AD" w:rsidRDefault="00EA4390" w:rsidP="00F00C8E">
      <w:pPr>
        <w:pStyle w:val="JuQuot"/>
        <w:rPr>
          <w:lang w:val="it-IT"/>
        </w:rPr>
      </w:pPr>
      <w:r>
        <w:rPr>
          <w:lang w:val="sl"/>
        </w:rPr>
        <w:t>"...</w:t>
      </w:r>
    </w:p>
    <w:p w:rsidR="00EA4390" w:rsidRPr="000907AD" w:rsidRDefault="00EA4390" w:rsidP="00F00C8E">
      <w:pPr>
        <w:pStyle w:val="JuQuot"/>
        <w:rPr>
          <w:lang w:val="it-IT"/>
        </w:rPr>
      </w:pPr>
      <w:r>
        <w:rPr>
          <w:lang w:val="sl"/>
        </w:rPr>
        <w:t>(2)  Če dolžnik vloži ugovor /.../ mora sodišče /.../ razpisati narok /.../.</w:t>
      </w:r>
    </w:p>
    <w:p w:rsidR="00EA4390" w:rsidRPr="000907AD" w:rsidRDefault="00EA4390" w:rsidP="00F00C8E">
      <w:pPr>
        <w:pStyle w:val="JuQuot"/>
        <w:rPr>
          <w:lang w:val="it-IT"/>
        </w:rPr>
      </w:pPr>
      <w:r>
        <w:rPr>
          <w:lang w:val="sl"/>
        </w:rPr>
        <w:t>..."</w:t>
      </w:r>
    </w:p>
    <w:p w:rsidR="00EA4390" w:rsidRPr="000907AD" w:rsidRDefault="00EA4390" w:rsidP="00F00C8E">
      <w:pPr>
        <w:pStyle w:val="JuHArticle"/>
        <w:rPr>
          <w:lang w:val="it-IT"/>
        </w:rPr>
      </w:pPr>
      <w:r>
        <w:rPr>
          <w:bCs/>
          <w:lang w:val="sl"/>
        </w:rPr>
        <w:t>242. člen – sklep o začetku stečajnega postopka</w:t>
      </w:r>
    </w:p>
    <w:p w:rsidR="00EA4390" w:rsidRPr="000907AD" w:rsidRDefault="00EA4390" w:rsidP="00F00C8E">
      <w:pPr>
        <w:pStyle w:val="JuQuot"/>
        <w:rPr>
          <w:lang w:val="it-IT"/>
        </w:rPr>
      </w:pPr>
      <w:r>
        <w:rPr>
          <w:lang w:val="sl"/>
        </w:rPr>
        <w:t>"...</w:t>
      </w:r>
    </w:p>
    <w:p w:rsidR="00EA4390" w:rsidRPr="000907AD" w:rsidRDefault="00EA4390" w:rsidP="00F00C8E">
      <w:pPr>
        <w:pStyle w:val="JuQuot"/>
        <w:rPr>
          <w:lang w:val="it-IT"/>
        </w:rPr>
      </w:pPr>
      <w:r>
        <w:rPr>
          <w:lang w:val="sl"/>
        </w:rPr>
        <w:t>(2)  Če je sodišče izdalo sklep o začetku stečajnega postopka na upnikov predlog, lahko pritožbo proti temu sklepu vloži tudi družbenik stečajnega dolžnika.</w:t>
      </w:r>
    </w:p>
    <w:p w:rsidR="00EA4390" w:rsidRPr="00F00C8E" w:rsidRDefault="00EA4390" w:rsidP="00F00C8E">
      <w:pPr>
        <w:pStyle w:val="JuQuot"/>
      </w:pPr>
      <w:r>
        <w:rPr>
          <w:lang w:val="sl"/>
        </w:rPr>
        <w:t>..."</w:t>
      </w:r>
    </w:p>
    <w:p w:rsidR="00EA4390" w:rsidRPr="00F00C8E" w:rsidRDefault="00EA4390" w:rsidP="00F00C8E">
      <w:pPr>
        <w:pStyle w:val="JuHHead"/>
        <w:numPr>
          <w:ilvl w:val="0"/>
          <w:numId w:val="1"/>
        </w:numPr>
      </w:pPr>
      <w:r>
        <w:rPr>
          <w:bCs w:val="0"/>
          <w:lang w:val="sl"/>
        </w:rPr>
        <w:t>PRITOŽBA</w:t>
      </w:r>
    </w:p>
    <w:bookmarkStart w:id="20" w:name="complaint"/>
    <w:p w:rsidR="00EA4390" w:rsidRPr="005260BC"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24</w:t>
      </w:r>
      <w:r>
        <w:rPr>
          <w:lang w:val="sl"/>
        </w:rPr>
        <w:fldChar w:fldCharType="end"/>
      </w:r>
      <w:bookmarkEnd w:id="20"/>
      <w:r>
        <w:rPr>
          <w:lang w:val="sl"/>
        </w:rPr>
        <w:t xml:space="preserve">.  Pritožnika sta se v skladu s 1. členom Protokola št. 1 h konvenciji pritožila, da je sklep o začetku stečajnega postopka zoper </w:t>
      </w:r>
      <w:r w:rsidR="004D07F2">
        <w:rPr>
          <w:lang w:val="sl"/>
        </w:rPr>
        <w:t>družbo</w:t>
      </w:r>
      <w:r>
        <w:rPr>
          <w:lang w:val="sl"/>
        </w:rPr>
        <w:t xml:space="preserve"> ES nesorazmeren ukrep, saj zadevni dolg znaša le 7.000 evrov, medtem ko </w:t>
      </w:r>
      <w:r w:rsidR="005260BC">
        <w:rPr>
          <w:lang w:val="sl"/>
        </w:rPr>
        <w:t>ima</w:t>
      </w:r>
      <w:r>
        <w:rPr>
          <w:lang w:val="sl"/>
        </w:rPr>
        <w:t xml:space="preserve"> </w:t>
      </w:r>
      <w:r w:rsidR="004D07F2">
        <w:rPr>
          <w:lang w:val="sl"/>
        </w:rPr>
        <w:t>družba</w:t>
      </w:r>
      <w:r>
        <w:rPr>
          <w:lang w:val="sl"/>
        </w:rPr>
        <w:t xml:space="preserve"> </w:t>
      </w:r>
      <w:r w:rsidR="005260BC">
        <w:rPr>
          <w:lang w:val="sl"/>
        </w:rPr>
        <w:t xml:space="preserve">v </w:t>
      </w:r>
      <w:r>
        <w:rPr>
          <w:lang w:val="sl"/>
        </w:rPr>
        <w:t>lasti znatna sredstva.</w:t>
      </w:r>
    </w:p>
    <w:p w:rsidR="00EA4390" w:rsidRPr="00F00C8E" w:rsidRDefault="00EA4390" w:rsidP="00F00C8E">
      <w:pPr>
        <w:pStyle w:val="JuHHead"/>
        <w:numPr>
          <w:ilvl w:val="0"/>
          <w:numId w:val="1"/>
        </w:numPr>
      </w:pPr>
      <w:r>
        <w:rPr>
          <w:bCs w:val="0"/>
          <w:lang w:val="sl"/>
        </w:rPr>
        <w:t>PRAVO</w:t>
      </w:r>
    </w:p>
    <w:p w:rsidR="00EA4390" w:rsidRPr="004D07F2"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25</w:t>
      </w:r>
      <w:r>
        <w:rPr>
          <w:lang w:val="sl"/>
        </w:rPr>
        <w:fldChar w:fldCharType="end"/>
      </w:r>
      <w:r>
        <w:rPr>
          <w:lang w:val="sl"/>
        </w:rPr>
        <w:t xml:space="preserve">.  Pritožnika sta trdila, da pomeni sklep o začetku stečajnega postopka zoper </w:t>
      </w:r>
      <w:r w:rsidR="004D07F2">
        <w:rPr>
          <w:lang w:val="sl"/>
        </w:rPr>
        <w:t>družbo</w:t>
      </w:r>
      <w:r>
        <w:rPr>
          <w:lang w:val="sl"/>
        </w:rPr>
        <w:t xml:space="preserve"> ES kršitev 1. člena Protokola št. 1 h konvenciji, ki se glasi:</w:t>
      </w:r>
    </w:p>
    <w:p w:rsidR="00EA4390" w:rsidRPr="005260BC" w:rsidRDefault="00EA4390" w:rsidP="00F00C8E">
      <w:pPr>
        <w:pStyle w:val="JuQuot"/>
        <w:rPr>
          <w:lang w:val="sl"/>
        </w:rPr>
      </w:pPr>
      <w:r>
        <w:rPr>
          <w:lang w:val="sl"/>
        </w:rPr>
        <w:t>"Vsaka fizična ali pravna oseba ima pravico do mirnega uživanja svojega premoženja. Nikomur se ne sme odvzeti lastnina, razen če je to v javnem interesu v skladu s pogoji, ki jih določa zakon, ter ob spoštovanju splošnih načel mednarodnega prava.</w:t>
      </w:r>
    </w:p>
    <w:p w:rsidR="00EA4390" w:rsidRPr="00EF767C" w:rsidRDefault="00EA4390" w:rsidP="00F00C8E">
      <w:pPr>
        <w:pStyle w:val="JuQuot"/>
        <w:rPr>
          <w:lang w:val="sl"/>
        </w:rPr>
      </w:pPr>
      <w:r>
        <w:rPr>
          <w:lang w:val="sl"/>
        </w:rPr>
        <w:t>Ta določba pa nikakor ne omejuje pravice držav, da uveljavljajo zakone, za katere menijo, da so potrebni za nadzor nad uporabo premoženja v skladu s splošnim interesom ali za zagotovitev plačila davkov, drugih prispevkov ali denarnih kazni."</w:t>
      </w:r>
    </w:p>
    <w:p w:rsidR="00EA4390" w:rsidRPr="00F00C8E" w:rsidRDefault="00EA4390" w:rsidP="00F00C8E">
      <w:pPr>
        <w:pStyle w:val="JuHA"/>
        <w:numPr>
          <w:ilvl w:val="2"/>
          <w:numId w:val="1"/>
        </w:numPr>
      </w:pPr>
      <w:r>
        <w:rPr>
          <w:lang w:val="sl"/>
        </w:rPr>
        <w:t>Status žrtve</w:t>
      </w:r>
    </w:p>
    <w:bookmarkStart w:id="21" w:name="GOVvictim"/>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26</w:t>
      </w:r>
      <w:r>
        <w:rPr>
          <w:lang w:val="sl"/>
        </w:rPr>
        <w:fldChar w:fldCharType="end"/>
      </w:r>
      <w:bookmarkEnd w:id="21"/>
      <w:r>
        <w:rPr>
          <w:lang w:val="sl"/>
        </w:rPr>
        <w:t>.  Vlada je ugovarjala statusu žrtve pritožnikov. Navedl</w:t>
      </w:r>
      <w:r w:rsidR="007E06BA">
        <w:rPr>
          <w:lang w:val="sl"/>
        </w:rPr>
        <w:t>a je</w:t>
      </w:r>
      <w:r>
        <w:rPr>
          <w:lang w:val="sl"/>
        </w:rPr>
        <w:t xml:space="preserve">, da ima </w:t>
      </w:r>
      <w:r w:rsidR="007E06BA">
        <w:rPr>
          <w:lang w:val="sl"/>
        </w:rPr>
        <w:t>družba</w:t>
      </w:r>
      <w:r>
        <w:rPr>
          <w:lang w:val="sl"/>
        </w:rPr>
        <w:t xml:space="preserve"> ES </w:t>
      </w:r>
      <w:r w:rsidR="007E06BA">
        <w:rPr>
          <w:lang w:val="sl"/>
        </w:rPr>
        <w:t xml:space="preserve">lastno </w:t>
      </w:r>
      <w:r>
        <w:rPr>
          <w:lang w:val="sl"/>
        </w:rPr>
        <w:t xml:space="preserve">pravno osebnost in je izključni lastnik svojih sredstev. Stečajni postopek se je začel zoper </w:t>
      </w:r>
      <w:r w:rsidR="007E06BA">
        <w:rPr>
          <w:lang w:val="sl"/>
        </w:rPr>
        <w:t>družbo</w:t>
      </w:r>
      <w:r>
        <w:rPr>
          <w:lang w:val="sl"/>
        </w:rPr>
        <w:t xml:space="preserve"> kot pravno osebo, ki je bila neposredno prizadeta zaradi ukrepa, zoper katerega sta se pritožila pritožnika. Spregled pravne osebnosti </w:t>
      </w:r>
      <w:r w:rsidR="007E06BA">
        <w:rPr>
          <w:lang w:val="sl"/>
        </w:rPr>
        <w:t>družbe</w:t>
      </w:r>
      <w:r>
        <w:rPr>
          <w:lang w:val="sl"/>
        </w:rPr>
        <w:t xml:space="preserve"> ni bil upravičen, saj bi lahko </w:t>
      </w:r>
      <w:r w:rsidR="007E06BA">
        <w:rPr>
          <w:lang w:val="sl"/>
        </w:rPr>
        <w:t>družba</w:t>
      </w:r>
      <w:r>
        <w:rPr>
          <w:lang w:val="sl"/>
        </w:rPr>
        <w:t xml:space="preserve"> sam</w:t>
      </w:r>
      <w:r w:rsidR="007E06BA">
        <w:rPr>
          <w:lang w:val="sl"/>
        </w:rPr>
        <w:t>a</w:t>
      </w:r>
      <w:r>
        <w:rPr>
          <w:lang w:val="sl"/>
        </w:rPr>
        <w:t xml:space="preserve"> vložil</w:t>
      </w:r>
      <w:r w:rsidR="007E06BA">
        <w:rPr>
          <w:lang w:val="sl"/>
        </w:rPr>
        <w:t>a</w:t>
      </w:r>
      <w:r>
        <w:rPr>
          <w:lang w:val="sl"/>
        </w:rPr>
        <w:t xml:space="preserve"> pritožbo na Sodišču, potem ko je ustavno sodišče odločilo, da ustavne </w:t>
      </w:r>
      <w:r>
        <w:rPr>
          <w:lang w:val="sl"/>
        </w:rPr>
        <w:lastRenderedPageBreak/>
        <w:t xml:space="preserve">pritožbe ne bo sprejelo v obravnavo (glej odstavek </w:t>
      </w:r>
      <w:r>
        <w:rPr>
          <w:lang w:val="sl"/>
        </w:rPr>
        <w:fldChar w:fldCharType="begin"/>
      </w:r>
      <w:r>
        <w:rPr>
          <w:lang w:val="sl"/>
        </w:rPr>
        <w:instrText xml:space="preserve"> REF constcourtquashes \h </w:instrText>
      </w:r>
      <w:r>
        <w:rPr>
          <w:lang w:val="sl"/>
        </w:rPr>
      </w:r>
      <w:r>
        <w:rPr>
          <w:lang w:val="sl"/>
        </w:rPr>
        <w:fldChar w:fldCharType="separate"/>
      </w:r>
      <w:r>
        <w:rPr>
          <w:noProof/>
          <w:lang w:val="sl"/>
        </w:rPr>
        <w:t>18</w:t>
      </w:r>
      <w:r>
        <w:rPr>
          <w:lang w:val="sl"/>
        </w:rPr>
        <w:fldChar w:fldCharType="end"/>
      </w:r>
      <w:r>
        <w:rPr>
          <w:lang w:val="sl"/>
        </w:rPr>
        <w:t xml:space="preserve"> zgoraj; primerjaj in vzporejaj </w:t>
      </w:r>
      <w:r>
        <w:rPr>
          <w:i/>
          <w:iCs/>
          <w:lang w:val="sl"/>
        </w:rPr>
        <w:t>Vujović in Lipa d. o. o. proti Črni gori</w:t>
      </w:r>
      <w:r>
        <w:rPr>
          <w:lang w:val="sl"/>
        </w:rPr>
        <w:t xml:space="preserve">, št. 18912/15, 20. februar 2018), prav tako pa ni bilo neposrednega posega </w:t>
      </w:r>
      <w:r w:rsidR="007E06BA">
        <w:rPr>
          <w:lang w:val="sl"/>
        </w:rPr>
        <w:t>v</w:t>
      </w:r>
      <w:r>
        <w:rPr>
          <w:lang w:val="sl"/>
        </w:rPr>
        <w:t xml:space="preserve"> kapitalsk</w:t>
      </w:r>
      <w:r w:rsidR="007E06BA">
        <w:rPr>
          <w:lang w:val="sl"/>
        </w:rPr>
        <w:t>e</w:t>
      </w:r>
      <w:r>
        <w:rPr>
          <w:lang w:val="sl"/>
        </w:rPr>
        <w:t xml:space="preserve"> vložk</w:t>
      </w:r>
      <w:r w:rsidR="007E06BA">
        <w:rPr>
          <w:lang w:val="sl"/>
        </w:rPr>
        <w:t>e</w:t>
      </w:r>
      <w:r>
        <w:rPr>
          <w:lang w:val="sl"/>
        </w:rPr>
        <w:t xml:space="preserve"> pritožnikov, pritožnika pa tudi nista trdila, da je prišlo do poseganja v pravice glede njunih lastniških deležev.</w:t>
      </w:r>
    </w:p>
    <w:bookmarkStart w:id="22" w:name="APPvictimstatus"/>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27</w:t>
      </w:r>
      <w:r>
        <w:rPr>
          <w:lang w:val="sl"/>
        </w:rPr>
        <w:fldChar w:fldCharType="end"/>
      </w:r>
      <w:bookmarkEnd w:id="22"/>
      <w:r>
        <w:rPr>
          <w:lang w:val="sl"/>
        </w:rPr>
        <w:t xml:space="preserve">.  Pritožnika vztrajata, da sta pritožbo na Sodišču vložila v svojem imenu kot družbenika </w:t>
      </w:r>
      <w:r w:rsidR="007E06BA">
        <w:rPr>
          <w:lang w:val="sl"/>
        </w:rPr>
        <w:t>družbe</w:t>
      </w:r>
      <w:r>
        <w:rPr>
          <w:lang w:val="sl"/>
        </w:rPr>
        <w:t xml:space="preserve">. Kot taka sta bila upravičena do deleža dobička </w:t>
      </w:r>
      <w:r w:rsidR="009755E3">
        <w:rPr>
          <w:lang w:val="sl"/>
        </w:rPr>
        <w:t>družbe</w:t>
      </w:r>
      <w:r>
        <w:rPr>
          <w:lang w:val="sl"/>
        </w:rPr>
        <w:t xml:space="preserve"> in do preostanka nje</w:t>
      </w:r>
      <w:r w:rsidR="009755E3">
        <w:rPr>
          <w:lang w:val="sl"/>
        </w:rPr>
        <w:t>nega</w:t>
      </w:r>
      <w:r>
        <w:rPr>
          <w:lang w:val="sl"/>
        </w:rPr>
        <w:t xml:space="preserve"> premoženja, če bi </w:t>
      </w:r>
      <w:r w:rsidR="009755E3">
        <w:rPr>
          <w:lang w:val="sl"/>
        </w:rPr>
        <w:t>družba</w:t>
      </w:r>
      <w:r>
        <w:rPr>
          <w:lang w:val="sl"/>
        </w:rPr>
        <w:t xml:space="preserve"> prenehal</w:t>
      </w:r>
      <w:r w:rsidR="009755E3">
        <w:rPr>
          <w:lang w:val="sl"/>
        </w:rPr>
        <w:t>a</w:t>
      </w:r>
      <w:r>
        <w:rPr>
          <w:lang w:val="sl"/>
        </w:rPr>
        <w:t xml:space="preserve"> obstajati. Navedla sta, da sta izgubila premoženje</w:t>
      </w:r>
      <w:r w:rsidR="0074689E">
        <w:rPr>
          <w:lang w:val="sl"/>
        </w:rPr>
        <w:t xml:space="preserve"> družbe</w:t>
      </w:r>
      <w:r>
        <w:rPr>
          <w:lang w:val="sl"/>
        </w:rPr>
        <w:t xml:space="preserve">, v katero sta vlagala. Premoženje </w:t>
      </w:r>
      <w:r w:rsidR="009755E3">
        <w:rPr>
          <w:lang w:val="sl"/>
        </w:rPr>
        <w:t>družbe</w:t>
      </w:r>
      <w:r>
        <w:rPr>
          <w:lang w:val="sl"/>
        </w:rPr>
        <w:t xml:space="preserve"> je bilo po znižani ceni prodano v stečajnem postopku. Pritožnika, ki sta kot zavarovanje za plačila </w:t>
      </w:r>
      <w:r w:rsidR="009755E3">
        <w:rPr>
          <w:lang w:val="sl"/>
        </w:rPr>
        <w:t>družbe</w:t>
      </w:r>
      <w:r>
        <w:rPr>
          <w:lang w:val="sl"/>
        </w:rPr>
        <w:t xml:space="preserve"> uporabila osebno lastnino, sta tvegala izgubo svojih prihrankov, dobička in hiš.</w:t>
      </w:r>
    </w:p>
    <w:bookmarkStart w:id="23" w:name="Courtvictim1"/>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28</w:t>
      </w:r>
      <w:r>
        <w:rPr>
          <w:lang w:val="sl"/>
        </w:rPr>
        <w:fldChar w:fldCharType="end"/>
      </w:r>
      <w:bookmarkEnd w:id="23"/>
      <w:r>
        <w:rPr>
          <w:lang w:val="sl"/>
        </w:rPr>
        <w:t xml:space="preserve">.  Sodišče ugotavlja, da sta se pritožnika v bistvu pritožila zaradi začetka stečajnega postopka zoper </w:t>
      </w:r>
      <w:r w:rsidR="009755E3">
        <w:rPr>
          <w:lang w:val="sl"/>
        </w:rPr>
        <w:t>družbo</w:t>
      </w:r>
      <w:r>
        <w:rPr>
          <w:lang w:val="sl"/>
        </w:rPr>
        <w:t xml:space="preserve"> z ločeno pravno osebnostjo. Vprašanje, ki se poraja, je, ali lahko pritožnika kot družbenika </w:t>
      </w:r>
      <w:r w:rsidR="009755E3">
        <w:rPr>
          <w:lang w:val="sl"/>
        </w:rPr>
        <w:t>družbe</w:t>
      </w:r>
      <w:r>
        <w:rPr>
          <w:lang w:val="sl"/>
        </w:rPr>
        <w:t xml:space="preserve"> sama zatrjujeta, da sta bila neposredno prizadeta zaradi tega sklepa in sta zato "žrtvi" v pomenu 34. člena konvencije (glej </w:t>
      </w:r>
      <w:r>
        <w:rPr>
          <w:i/>
          <w:iCs/>
          <w:lang w:val="sl"/>
        </w:rPr>
        <w:t>Eckle proti Nemčiji</w:t>
      </w:r>
      <w:r>
        <w:rPr>
          <w:lang w:val="sl"/>
        </w:rPr>
        <w:t>, 15. julij 1982, odstavek 66, serija A, št. 51).</w:t>
      </w:r>
    </w:p>
    <w:bookmarkStart w:id="24" w:name="Courtvictim2"/>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29</w:t>
      </w:r>
      <w:r>
        <w:rPr>
          <w:lang w:val="sl"/>
        </w:rPr>
        <w:fldChar w:fldCharType="end"/>
      </w:r>
      <w:bookmarkEnd w:id="24"/>
      <w:r>
        <w:rPr>
          <w:lang w:val="sl"/>
        </w:rPr>
        <w:t xml:space="preserve">.  Sodišče ugotavlja, da sta imela pritožnika v lasti 100-odstotni delež </w:t>
      </w:r>
      <w:r w:rsidR="009755E3">
        <w:rPr>
          <w:lang w:val="sl"/>
        </w:rPr>
        <w:t>družbe</w:t>
      </w:r>
      <w:r>
        <w:rPr>
          <w:lang w:val="sl"/>
        </w:rPr>
        <w:t xml:space="preserve"> (glej odstavek </w:t>
      </w:r>
      <w:r>
        <w:rPr>
          <w:lang w:val="sl"/>
        </w:rPr>
        <w:fldChar w:fldCharType="begin"/>
      </w:r>
      <w:r>
        <w:rPr>
          <w:lang w:val="sl"/>
        </w:rPr>
        <w:instrText xml:space="preserve"> REF onlyshareholders \h </w:instrText>
      </w:r>
      <w:r>
        <w:rPr>
          <w:lang w:val="sl"/>
        </w:rPr>
      </w:r>
      <w:r>
        <w:rPr>
          <w:lang w:val="sl"/>
        </w:rPr>
        <w:fldChar w:fldCharType="separate"/>
      </w:r>
      <w:r>
        <w:rPr>
          <w:noProof/>
          <w:lang w:val="sl"/>
        </w:rPr>
        <w:t>4</w:t>
      </w:r>
      <w:r>
        <w:rPr>
          <w:lang w:val="sl"/>
        </w:rPr>
        <w:fldChar w:fldCharType="end"/>
      </w:r>
      <w:r>
        <w:rPr>
          <w:lang w:val="sl"/>
        </w:rPr>
        <w:t xml:space="preserve"> zgoraj) in sta bila zato "izključna" lastnika te</w:t>
      </w:r>
      <w:r w:rsidR="009755E3">
        <w:rPr>
          <w:lang w:val="sl"/>
        </w:rPr>
        <w:t xml:space="preserve"> družbe</w:t>
      </w:r>
      <w:r>
        <w:rPr>
          <w:lang w:val="sl"/>
        </w:rPr>
        <w:t xml:space="preserve"> (glej </w:t>
      </w:r>
      <w:r>
        <w:rPr>
          <w:i/>
          <w:iCs/>
          <w:lang w:val="sl"/>
        </w:rPr>
        <w:t>Ankarcrona proti Švedski</w:t>
      </w:r>
      <w:r>
        <w:rPr>
          <w:lang w:val="sl"/>
        </w:rPr>
        <w:t xml:space="preserve"> (sklep), št. 35178/97, ESČP 2000-VI, in </w:t>
      </w:r>
      <w:r>
        <w:rPr>
          <w:i/>
          <w:iCs/>
          <w:lang w:val="sl"/>
        </w:rPr>
        <w:t>Glas Nadežda EOOD in Anatolij Elenkov proti Bolgariji</w:t>
      </w:r>
      <w:r>
        <w:rPr>
          <w:lang w:val="sl"/>
        </w:rPr>
        <w:t xml:space="preserve">, št. 14134/02, odstavek 40, ESČP 2007). Zato in v nasprotju </w:t>
      </w:r>
      <w:r w:rsidR="009755E3">
        <w:rPr>
          <w:lang w:val="sl"/>
        </w:rPr>
        <w:t xml:space="preserve">z dejanskim </w:t>
      </w:r>
      <w:r>
        <w:rPr>
          <w:lang w:val="sl"/>
        </w:rPr>
        <w:t xml:space="preserve">s stanjem v primeru </w:t>
      </w:r>
      <w:r>
        <w:rPr>
          <w:i/>
          <w:iCs/>
          <w:lang w:val="sl"/>
        </w:rPr>
        <w:t>Agrotexim in drugi proti Grčiji</w:t>
      </w:r>
      <w:r>
        <w:rPr>
          <w:lang w:val="sl"/>
        </w:rPr>
        <w:t xml:space="preserve"> (24. oktober 1995, odstavek 65, serija A, št. 330-A), kjer so imel</w:t>
      </w:r>
      <w:r w:rsidR="0074689E">
        <w:rPr>
          <w:lang w:val="sl"/>
        </w:rPr>
        <w:t>e</w:t>
      </w:r>
      <w:r>
        <w:rPr>
          <w:lang w:val="sl"/>
        </w:rPr>
        <w:t xml:space="preserve"> </w:t>
      </w:r>
      <w:r w:rsidR="004D07F2">
        <w:rPr>
          <w:lang w:val="sl"/>
        </w:rPr>
        <w:t>družbe</w:t>
      </w:r>
      <w:r>
        <w:rPr>
          <w:lang w:val="sl"/>
        </w:rPr>
        <w:t xml:space="preserve"> pritožnikov v lasti približno le polovico delnic zadevne </w:t>
      </w:r>
      <w:r w:rsidR="004D07F2">
        <w:rPr>
          <w:lang w:val="sl"/>
        </w:rPr>
        <w:t>družbe</w:t>
      </w:r>
      <w:r>
        <w:rPr>
          <w:lang w:val="sl"/>
        </w:rPr>
        <w:t xml:space="preserve">, ne obstaja tveganje, da bi prišlo med družbenikoma do nasprotujočih si mnenj glede dejanskega stanja kršitve pravice do mirnega uživanja premoženja ali glede najprimernejšega odziva na tovrstno kršitev. Nadalje Sodišče ugotavlja, da sta bila pritožnika upravičena do uveljavljanja </w:t>
      </w:r>
      <w:r w:rsidR="009755E3">
        <w:rPr>
          <w:lang w:val="sl"/>
        </w:rPr>
        <w:t xml:space="preserve">pravnih </w:t>
      </w:r>
      <w:r>
        <w:rPr>
          <w:lang w:val="sl"/>
        </w:rPr>
        <w:t xml:space="preserve">sredstev glede sklepa o začetku stečajnega postopka zoper </w:t>
      </w:r>
      <w:r w:rsidR="009755E3">
        <w:rPr>
          <w:lang w:val="sl"/>
        </w:rPr>
        <w:t>družbo</w:t>
      </w:r>
      <w:r>
        <w:rPr>
          <w:lang w:val="sl"/>
        </w:rPr>
        <w:t xml:space="preserve"> na domačih sodiščih (glej odstavka </w:t>
      </w:r>
      <w:r>
        <w:rPr>
          <w:lang w:val="sl"/>
        </w:rPr>
        <w:fldChar w:fldCharType="begin"/>
      </w:r>
      <w:r>
        <w:rPr>
          <w:lang w:val="sl"/>
        </w:rPr>
        <w:instrText xml:space="preserve"> REF appeal \h </w:instrText>
      </w:r>
      <w:r>
        <w:rPr>
          <w:lang w:val="sl"/>
        </w:rPr>
      </w:r>
      <w:r>
        <w:rPr>
          <w:lang w:val="sl"/>
        </w:rPr>
        <w:fldChar w:fldCharType="separate"/>
      </w:r>
      <w:r>
        <w:rPr>
          <w:noProof/>
          <w:lang w:val="sl"/>
        </w:rPr>
        <w:t>14</w:t>
      </w:r>
      <w:r>
        <w:rPr>
          <w:lang w:val="sl"/>
        </w:rPr>
        <w:fldChar w:fldCharType="end"/>
      </w:r>
      <w:r>
        <w:rPr>
          <w:lang w:val="sl"/>
        </w:rPr>
        <w:t xml:space="preserve"> in </w:t>
      </w:r>
      <w:r>
        <w:rPr>
          <w:lang w:val="sl"/>
        </w:rPr>
        <w:fldChar w:fldCharType="begin"/>
      </w:r>
      <w:r>
        <w:rPr>
          <w:lang w:val="sl"/>
        </w:rPr>
        <w:instrText xml:space="preserve"> REF secondconstcomplaint \h </w:instrText>
      </w:r>
      <w:r>
        <w:rPr>
          <w:lang w:val="sl"/>
        </w:rPr>
      </w:r>
      <w:r>
        <w:rPr>
          <w:lang w:val="sl"/>
        </w:rPr>
        <w:fldChar w:fldCharType="separate"/>
      </w:r>
      <w:r>
        <w:rPr>
          <w:noProof/>
          <w:lang w:val="sl"/>
        </w:rPr>
        <w:t>20</w:t>
      </w:r>
      <w:r>
        <w:rPr>
          <w:lang w:val="sl"/>
        </w:rPr>
        <w:fldChar w:fldCharType="end"/>
      </w:r>
      <w:r>
        <w:rPr>
          <w:lang w:val="sl"/>
        </w:rPr>
        <w:t xml:space="preserve"> zgoraj), ki so ju prepoznala kot družbenika </w:t>
      </w:r>
      <w:r w:rsidR="009755E3">
        <w:rPr>
          <w:lang w:val="sl"/>
        </w:rPr>
        <w:t>družbe</w:t>
      </w:r>
      <w:r>
        <w:rPr>
          <w:lang w:val="sl"/>
        </w:rPr>
        <w:t xml:space="preserve"> (glej odstavka </w:t>
      </w:r>
      <w:r>
        <w:rPr>
          <w:lang w:val="sl"/>
        </w:rPr>
        <w:fldChar w:fldCharType="begin"/>
      </w:r>
      <w:r>
        <w:rPr>
          <w:lang w:val="sl"/>
        </w:rPr>
        <w:instrText xml:space="preserve"> REF NGcourtdecision2 \h </w:instrText>
      </w:r>
      <w:r>
        <w:rPr>
          <w:lang w:val="sl"/>
        </w:rPr>
      </w:r>
      <w:r>
        <w:rPr>
          <w:lang w:val="sl"/>
        </w:rPr>
        <w:fldChar w:fldCharType="separate"/>
      </w:r>
      <w:r>
        <w:rPr>
          <w:noProof/>
          <w:lang w:val="sl"/>
        </w:rPr>
        <w:t>12</w:t>
      </w:r>
      <w:r>
        <w:rPr>
          <w:lang w:val="sl"/>
        </w:rPr>
        <w:fldChar w:fldCharType="end"/>
      </w:r>
      <w:r>
        <w:rPr>
          <w:lang w:val="sl"/>
        </w:rPr>
        <w:t xml:space="preserve"> in </w:t>
      </w:r>
      <w:r>
        <w:rPr>
          <w:lang w:val="sl"/>
        </w:rPr>
        <w:fldChar w:fldCharType="begin"/>
      </w:r>
      <w:r>
        <w:rPr>
          <w:lang w:val="sl"/>
        </w:rPr>
        <w:instrText xml:space="preserve"> REF constcourtnotaccept \h </w:instrText>
      </w:r>
      <w:r>
        <w:rPr>
          <w:lang w:val="sl"/>
        </w:rPr>
      </w:r>
      <w:r>
        <w:rPr>
          <w:lang w:val="sl"/>
        </w:rPr>
        <w:fldChar w:fldCharType="separate"/>
      </w:r>
      <w:r>
        <w:rPr>
          <w:noProof/>
          <w:lang w:val="sl"/>
        </w:rPr>
        <w:t>21</w:t>
      </w:r>
      <w:r>
        <w:rPr>
          <w:lang w:val="sl"/>
        </w:rPr>
        <w:fldChar w:fldCharType="end"/>
      </w:r>
      <w:r>
        <w:rPr>
          <w:lang w:val="sl"/>
        </w:rPr>
        <w:t xml:space="preserve"> zgoraj). Zato Sodišče meni, da lahko pritožnika razumno trdita, da sta žrtvi v skladu s pomenom 34. člena konvencije v zvezi z izpodbijanimi ukrepi glede njune</w:t>
      </w:r>
      <w:r w:rsidR="009755E3">
        <w:rPr>
          <w:lang w:val="sl"/>
        </w:rPr>
        <w:t xml:space="preserve"> družbe</w:t>
      </w:r>
      <w:r>
        <w:rPr>
          <w:lang w:val="sl"/>
        </w:rPr>
        <w:t>.</w:t>
      </w:r>
    </w:p>
    <w:p w:rsidR="00EA4390" w:rsidRPr="006636B4" w:rsidRDefault="00EA4390" w:rsidP="00F00C8E">
      <w:pPr>
        <w:pStyle w:val="JuHA"/>
        <w:numPr>
          <w:ilvl w:val="2"/>
          <w:numId w:val="1"/>
        </w:numPr>
        <w:rPr>
          <w:lang w:val="sl"/>
        </w:rPr>
      </w:pPr>
      <w:r>
        <w:rPr>
          <w:lang w:val="sl"/>
        </w:rPr>
        <w:t>Neupoštevanje šestmesečnega pravila in neizčrpanje domačih pravnih sredstev</w:t>
      </w:r>
    </w:p>
    <w:bookmarkStart w:id="25" w:name="GOVsixmonths"/>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30</w:t>
      </w:r>
      <w:r>
        <w:rPr>
          <w:lang w:val="sl"/>
        </w:rPr>
        <w:fldChar w:fldCharType="end"/>
      </w:r>
      <w:bookmarkEnd w:id="25"/>
      <w:r>
        <w:rPr>
          <w:lang w:val="sl"/>
        </w:rPr>
        <w:t>.  Vlada navaja, da je bil del pritožbe, ki se nanaša na domnevn</w:t>
      </w:r>
      <w:r w:rsidR="007A5FD3">
        <w:rPr>
          <w:lang w:val="sl"/>
        </w:rPr>
        <w:t>i</w:t>
      </w:r>
      <w:r>
        <w:rPr>
          <w:lang w:val="sl"/>
        </w:rPr>
        <w:t xml:space="preserve"> poseg v sredstva </w:t>
      </w:r>
      <w:r w:rsidR="004D07F2">
        <w:rPr>
          <w:lang w:val="sl"/>
        </w:rPr>
        <w:t>družbe</w:t>
      </w:r>
      <w:r>
        <w:rPr>
          <w:lang w:val="sl"/>
        </w:rPr>
        <w:t xml:space="preserve">, vložen nepravočasno, saj je bil prvi sklep ustavnega sodišča (glej odstavek </w:t>
      </w:r>
      <w:r>
        <w:rPr>
          <w:lang w:val="sl"/>
        </w:rPr>
        <w:fldChar w:fldCharType="begin"/>
      </w:r>
      <w:r>
        <w:rPr>
          <w:lang w:val="sl"/>
        </w:rPr>
        <w:instrText xml:space="preserve"> REF constcourtquashes \h  \* MERGEFORMAT </w:instrText>
      </w:r>
      <w:r>
        <w:rPr>
          <w:lang w:val="sl"/>
        </w:rPr>
      </w:r>
      <w:r>
        <w:rPr>
          <w:lang w:val="sl"/>
        </w:rPr>
        <w:fldChar w:fldCharType="separate"/>
      </w:r>
      <w:r>
        <w:rPr>
          <w:lang w:val="sl"/>
        </w:rPr>
        <w:t>18</w:t>
      </w:r>
      <w:r>
        <w:rPr>
          <w:lang w:val="sl"/>
        </w:rPr>
        <w:fldChar w:fldCharType="end"/>
      </w:r>
      <w:r>
        <w:rPr>
          <w:lang w:val="sl"/>
        </w:rPr>
        <w:t xml:space="preserve"> zgoraj) končna domača odločitev o zadevi. Poleg tega trdi tudi, da </w:t>
      </w:r>
      <w:r w:rsidR="007A5FD3">
        <w:rPr>
          <w:lang w:val="sl"/>
        </w:rPr>
        <w:t xml:space="preserve">-. </w:t>
      </w:r>
      <w:r>
        <w:rPr>
          <w:lang w:val="sl"/>
        </w:rPr>
        <w:t xml:space="preserve">glede na pomanjkanje pomembnih argumentov v ugovoru in pritožbi zoper sklep o začetku stečajnega postopka </w:t>
      </w:r>
      <w:r w:rsidR="007A5FD3">
        <w:rPr>
          <w:lang w:val="sl"/>
        </w:rPr>
        <w:t xml:space="preserve">- </w:t>
      </w:r>
      <w:r>
        <w:rPr>
          <w:lang w:val="sl"/>
        </w:rPr>
        <w:t xml:space="preserve">niti pritožnika niti </w:t>
      </w:r>
      <w:r w:rsidR="004D07F2">
        <w:rPr>
          <w:lang w:val="sl"/>
        </w:rPr>
        <w:t>družba</w:t>
      </w:r>
      <w:r>
        <w:rPr>
          <w:lang w:val="sl"/>
        </w:rPr>
        <w:t xml:space="preserve"> niso </w:t>
      </w:r>
      <w:r w:rsidR="007A5FD3">
        <w:rPr>
          <w:lang w:val="sl"/>
        </w:rPr>
        <w:t xml:space="preserve">ustrezno </w:t>
      </w:r>
      <w:r>
        <w:rPr>
          <w:lang w:val="sl"/>
        </w:rPr>
        <w:t>vsebinsko izčrpali domačih pravnih sredstev.</w:t>
      </w:r>
    </w:p>
    <w:bookmarkStart w:id="26" w:name="APPnexabuse"/>
    <w:p w:rsidR="00EA4390" w:rsidRPr="005260BC" w:rsidRDefault="00EA4390" w:rsidP="00F00C8E">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31</w:t>
      </w:r>
      <w:r>
        <w:rPr>
          <w:lang w:val="sl"/>
        </w:rPr>
        <w:fldChar w:fldCharType="end"/>
      </w:r>
      <w:bookmarkEnd w:id="26"/>
      <w:r>
        <w:rPr>
          <w:lang w:val="sl"/>
        </w:rPr>
        <w:t>.  Pritožnika trdita, da sta izčrpala vsa domača pravna sredstva, vključno z ustavno pritožbo.</w:t>
      </w:r>
    </w:p>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32</w:t>
      </w:r>
      <w:r>
        <w:rPr>
          <w:lang w:val="sl"/>
        </w:rPr>
        <w:fldChar w:fldCharType="end"/>
      </w:r>
      <w:r>
        <w:rPr>
          <w:lang w:val="sl"/>
        </w:rPr>
        <w:t xml:space="preserve">.  Sodišče ugotavlja, da je ustavno sodišče sklep o ustavni pritožbi zoper sklep o začetku stečajnega postopka pritožnikov sprejelo 6. septembra 2016 (glej odstavek </w:t>
      </w:r>
      <w:r>
        <w:rPr>
          <w:lang w:val="sl"/>
        </w:rPr>
        <w:fldChar w:fldCharType="begin"/>
      </w:r>
      <w:r>
        <w:rPr>
          <w:lang w:val="sl"/>
        </w:rPr>
        <w:instrText xml:space="preserve"> REF constcourtnotaccept \h </w:instrText>
      </w:r>
      <w:r>
        <w:rPr>
          <w:lang w:val="sl"/>
        </w:rPr>
      </w:r>
      <w:r>
        <w:rPr>
          <w:lang w:val="sl"/>
        </w:rPr>
        <w:fldChar w:fldCharType="separate"/>
      </w:r>
      <w:r>
        <w:rPr>
          <w:noProof/>
          <w:lang w:val="sl"/>
        </w:rPr>
        <w:t>21</w:t>
      </w:r>
      <w:r>
        <w:rPr>
          <w:lang w:val="sl"/>
        </w:rPr>
        <w:fldChar w:fldCharType="end"/>
      </w:r>
      <w:r>
        <w:rPr>
          <w:lang w:val="sl"/>
        </w:rPr>
        <w:t xml:space="preserve"> zgoraj). Ta pritožba je bila na Sodišče vložena 23. decembra 2016, torej manj kot šest mesecev po zadnji odločitvi domačega sodišča. Zato je treba ugovore vlade v tem pogledu zavrniti. Poleg tega je Sodišče ugotovilo, da sta pritožnika v postopkih na domačih sodiščih trdila med drugim tudi, da je bil sklep o začetku stečajnega postopka zoper </w:t>
      </w:r>
      <w:r w:rsidR="004D07F2">
        <w:rPr>
          <w:lang w:val="sl"/>
        </w:rPr>
        <w:t>družbo</w:t>
      </w:r>
      <w:r>
        <w:rPr>
          <w:lang w:val="sl"/>
        </w:rPr>
        <w:t xml:space="preserve"> ES nesorazmeren v razmerju do vrednosti sredstev </w:t>
      </w:r>
      <w:r w:rsidR="004D07F2">
        <w:rPr>
          <w:lang w:val="sl"/>
        </w:rPr>
        <w:t>družbe</w:t>
      </w:r>
      <w:r>
        <w:rPr>
          <w:lang w:val="sl"/>
        </w:rPr>
        <w:t xml:space="preserve"> (glej odstavka </w:t>
      </w:r>
      <w:r>
        <w:rPr>
          <w:lang w:val="sl"/>
        </w:rPr>
        <w:fldChar w:fldCharType="begin"/>
      </w:r>
      <w:r>
        <w:rPr>
          <w:lang w:val="sl"/>
        </w:rPr>
        <w:instrText xml:space="preserve"> REF appeal \h </w:instrText>
      </w:r>
      <w:r>
        <w:rPr>
          <w:lang w:val="sl"/>
        </w:rPr>
      </w:r>
      <w:r>
        <w:rPr>
          <w:lang w:val="sl"/>
        </w:rPr>
        <w:fldChar w:fldCharType="separate"/>
      </w:r>
      <w:r>
        <w:rPr>
          <w:noProof/>
          <w:lang w:val="sl"/>
        </w:rPr>
        <w:t>14</w:t>
      </w:r>
      <w:r>
        <w:rPr>
          <w:lang w:val="sl"/>
        </w:rPr>
        <w:fldChar w:fldCharType="end"/>
      </w:r>
      <w:r>
        <w:rPr>
          <w:lang w:val="sl"/>
        </w:rPr>
        <w:t xml:space="preserve"> in </w:t>
      </w:r>
      <w:r>
        <w:rPr>
          <w:lang w:val="sl"/>
        </w:rPr>
        <w:fldChar w:fldCharType="begin"/>
      </w:r>
      <w:r>
        <w:rPr>
          <w:lang w:val="sl"/>
        </w:rPr>
        <w:instrText xml:space="preserve"> REF secondconstcomplaint \h </w:instrText>
      </w:r>
      <w:r>
        <w:rPr>
          <w:lang w:val="sl"/>
        </w:rPr>
      </w:r>
      <w:r>
        <w:rPr>
          <w:lang w:val="sl"/>
        </w:rPr>
        <w:fldChar w:fldCharType="separate"/>
      </w:r>
      <w:r>
        <w:rPr>
          <w:noProof/>
          <w:lang w:val="sl"/>
        </w:rPr>
        <w:t>20</w:t>
      </w:r>
      <w:r>
        <w:rPr>
          <w:lang w:val="sl"/>
        </w:rPr>
        <w:fldChar w:fldCharType="end"/>
      </w:r>
      <w:r>
        <w:rPr>
          <w:lang w:val="sl"/>
        </w:rPr>
        <w:t xml:space="preserve"> zgoraj). Zato zavrača ugovore vlade v zvezi z neizčrpanjem notranjepravnih sredstev pritožnikov.</w:t>
      </w:r>
    </w:p>
    <w:p w:rsidR="00EA4390" w:rsidRPr="00F00C8E" w:rsidRDefault="00EA4390" w:rsidP="00F00C8E">
      <w:pPr>
        <w:pStyle w:val="JuHA"/>
        <w:numPr>
          <w:ilvl w:val="2"/>
          <w:numId w:val="1"/>
        </w:numPr>
      </w:pPr>
      <w:r>
        <w:rPr>
          <w:lang w:val="sl"/>
        </w:rPr>
        <w:t>Zloraba pravice do pritožbe</w:t>
      </w:r>
    </w:p>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33</w:t>
      </w:r>
      <w:r>
        <w:rPr>
          <w:lang w:val="sl"/>
        </w:rPr>
        <w:fldChar w:fldCharType="end"/>
      </w:r>
      <w:r>
        <w:rPr>
          <w:lang w:val="sl"/>
        </w:rPr>
        <w:t xml:space="preserve">.  Vlada navaja, da sta pritožnika s pristranskim, nepopolnim in zavajajočim prikazom dejstev zlorabila pravico do pritožbe. Predvsem sta zamolčala pomembna dejstva o slabem finančnem položaju </w:t>
      </w:r>
      <w:r w:rsidR="004D07F2">
        <w:rPr>
          <w:lang w:val="sl"/>
        </w:rPr>
        <w:t>družbe</w:t>
      </w:r>
      <w:r>
        <w:rPr>
          <w:lang w:val="sl"/>
        </w:rPr>
        <w:t xml:space="preserve">, vključno z dejstvom, da so </w:t>
      </w:r>
      <w:r w:rsidR="00616EFD">
        <w:rPr>
          <w:lang w:val="sl"/>
        </w:rPr>
        <w:t xml:space="preserve">bila </w:t>
      </w:r>
      <w:r>
        <w:rPr>
          <w:lang w:val="sl"/>
        </w:rPr>
        <w:t xml:space="preserve">vsa sredstva </w:t>
      </w:r>
      <w:r w:rsidR="004D07F2">
        <w:rPr>
          <w:lang w:val="sl"/>
        </w:rPr>
        <w:t>družbe</w:t>
      </w:r>
      <w:r>
        <w:rPr>
          <w:lang w:val="sl"/>
        </w:rPr>
        <w:t xml:space="preserve"> </w:t>
      </w:r>
      <w:r w:rsidR="00616EFD">
        <w:rPr>
          <w:lang w:val="sl"/>
        </w:rPr>
        <w:t>pod</w:t>
      </w:r>
      <w:r>
        <w:rPr>
          <w:lang w:val="sl"/>
        </w:rPr>
        <w:t xml:space="preserve"> zastavn</w:t>
      </w:r>
      <w:r w:rsidR="00616EFD">
        <w:rPr>
          <w:lang w:val="sl"/>
        </w:rPr>
        <w:t>o</w:t>
      </w:r>
      <w:r>
        <w:rPr>
          <w:lang w:val="sl"/>
        </w:rPr>
        <w:t xml:space="preserve"> pravic</w:t>
      </w:r>
      <w:r w:rsidR="00616EFD">
        <w:rPr>
          <w:lang w:val="sl"/>
        </w:rPr>
        <w:t>o</w:t>
      </w:r>
      <w:r>
        <w:rPr>
          <w:lang w:val="sl"/>
        </w:rPr>
        <w:t xml:space="preserve"> in da so bili nje</w:t>
      </w:r>
      <w:r w:rsidR="00616EFD">
        <w:rPr>
          <w:lang w:val="sl"/>
        </w:rPr>
        <w:t>ni</w:t>
      </w:r>
      <w:r>
        <w:rPr>
          <w:lang w:val="sl"/>
        </w:rPr>
        <w:t xml:space="preserve"> bančni računi zamrznjeni. Poleg tega je odškodninski zahtevek M. B. znašal 35.372 evrov, in ne 7000 evrov, kot sta trdila pritožnika.</w:t>
      </w:r>
    </w:p>
    <w:p w:rsidR="00EA4390" w:rsidRPr="005260BC"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34</w:t>
      </w:r>
      <w:r>
        <w:rPr>
          <w:lang w:val="sl"/>
        </w:rPr>
        <w:fldChar w:fldCharType="end"/>
      </w:r>
      <w:r>
        <w:rPr>
          <w:lang w:val="sl"/>
        </w:rPr>
        <w:t xml:space="preserve">.  Pritožnika sta vztrajala, da sta svoje navedbe podajala na podlagi predloga za začetek stečajnega postopka M. B. Vsekakor sta menila, da je bila njena terjatev v razmerju do sredstev </w:t>
      </w:r>
      <w:r w:rsidR="004D07F2">
        <w:rPr>
          <w:lang w:val="sl"/>
        </w:rPr>
        <w:t>družbe</w:t>
      </w:r>
      <w:r>
        <w:rPr>
          <w:lang w:val="sl"/>
        </w:rPr>
        <w:t xml:space="preserve"> nesorazmerno majhna.</w:t>
      </w:r>
    </w:p>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35</w:t>
      </w:r>
      <w:r>
        <w:rPr>
          <w:lang w:val="sl"/>
        </w:rPr>
        <w:fldChar w:fldCharType="end"/>
      </w:r>
      <w:r>
        <w:rPr>
          <w:lang w:val="sl"/>
        </w:rPr>
        <w:t xml:space="preserve">.  Sodišče ugotavlja, da se pritožba razen v izjemnih primerih zavrne kot zloraba pravice do pritožbe, če zavestno temelji na neresničnih dejstvih (glej </w:t>
      </w:r>
      <w:r>
        <w:rPr>
          <w:i/>
          <w:iCs/>
          <w:lang w:val="sl"/>
        </w:rPr>
        <w:t xml:space="preserve">Gross proti Švici </w:t>
      </w:r>
      <w:r>
        <w:rPr>
          <w:lang w:val="sl"/>
        </w:rPr>
        <w:t xml:space="preserve">[VS], št. 67810/10, odstavek 28, ESČP 2014). Sodišče meni, da navedbe pritožnikov v njuni prvotni pritožbi Sodišču glede stečajnega postopka zoper </w:t>
      </w:r>
      <w:r w:rsidR="004D07F2">
        <w:rPr>
          <w:lang w:val="sl"/>
        </w:rPr>
        <w:t>družbo</w:t>
      </w:r>
      <w:r>
        <w:rPr>
          <w:lang w:val="sl"/>
        </w:rPr>
        <w:t xml:space="preserve"> ES in finančnega položaja </w:t>
      </w:r>
      <w:r w:rsidR="004D07F2">
        <w:rPr>
          <w:lang w:val="sl"/>
        </w:rPr>
        <w:t>družbe</w:t>
      </w:r>
      <w:r>
        <w:rPr>
          <w:lang w:val="sl"/>
        </w:rPr>
        <w:t>, čeprav bi lahko bile bolj izčrpne, ne povzročajo okoliščin, ki bi upravičile odločitev o razglasitvi pritožbe za nesprejemljivo kot zlorabo pravice posameznika do pritožbe.</w:t>
      </w:r>
    </w:p>
    <w:p w:rsidR="00EA4390" w:rsidRPr="00F00C8E" w:rsidRDefault="00EA4390" w:rsidP="00F00C8E">
      <w:pPr>
        <w:pStyle w:val="JuHA"/>
        <w:numPr>
          <w:ilvl w:val="2"/>
          <w:numId w:val="1"/>
        </w:numPr>
      </w:pPr>
      <w:r>
        <w:rPr>
          <w:lang w:val="sl"/>
        </w:rPr>
        <w:t>Očitna neutemeljenost</w:t>
      </w:r>
    </w:p>
    <w:p w:rsidR="00EA4390" w:rsidRPr="00F00C8E" w:rsidRDefault="00EA4390" w:rsidP="00F00C8E">
      <w:pPr>
        <w:pStyle w:val="JuH1"/>
        <w:numPr>
          <w:ilvl w:val="3"/>
          <w:numId w:val="1"/>
        </w:numPr>
      </w:pPr>
      <w:r>
        <w:rPr>
          <w:bCs w:val="0"/>
          <w:lang w:val="sl"/>
        </w:rPr>
        <w:t>Navedbe strank</w:t>
      </w:r>
    </w:p>
    <w:p w:rsidR="00EA4390" w:rsidRPr="00F00C8E" w:rsidRDefault="00EA4390" w:rsidP="00F00C8E">
      <w:pPr>
        <w:pStyle w:val="JuHa0"/>
        <w:numPr>
          <w:ilvl w:val="4"/>
          <w:numId w:val="1"/>
        </w:numPr>
      </w:pPr>
      <w:r>
        <w:rPr>
          <w:lang w:val="sl"/>
        </w:rPr>
        <w:t>Vlada</w:t>
      </w:r>
    </w:p>
    <w:bookmarkStart w:id="27" w:name="GOVnointerference"/>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36</w:t>
      </w:r>
      <w:r>
        <w:rPr>
          <w:lang w:val="sl"/>
        </w:rPr>
        <w:fldChar w:fldCharType="end"/>
      </w:r>
      <w:bookmarkEnd w:id="27"/>
      <w:r>
        <w:rPr>
          <w:lang w:val="sl"/>
        </w:rPr>
        <w:t>.  Vlada navaja, da sklep o začetku stečajnega postopka ni poseg</w:t>
      </w:r>
      <w:r w:rsidR="0074689E">
        <w:rPr>
          <w:lang w:val="sl"/>
        </w:rPr>
        <w:t>e</w:t>
      </w:r>
      <w:r>
        <w:rPr>
          <w:lang w:val="sl"/>
        </w:rPr>
        <w:t xml:space="preserve">l v premoženje pritožnikov. Sredstva </w:t>
      </w:r>
      <w:r w:rsidR="004D07F2">
        <w:rPr>
          <w:lang w:val="sl"/>
        </w:rPr>
        <w:t>družbe</w:t>
      </w:r>
      <w:r>
        <w:rPr>
          <w:lang w:val="sl"/>
        </w:rPr>
        <w:t xml:space="preserve"> so bila nezadostna za poravnanje vseh upnikovih terjatev, gospodarska vrednost lastniških deležev pa nič. Otvoritvena bilanca stanja </w:t>
      </w:r>
      <w:r w:rsidR="004D07F2">
        <w:rPr>
          <w:lang w:val="sl"/>
        </w:rPr>
        <w:t>družbe</w:t>
      </w:r>
      <w:r>
        <w:rPr>
          <w:lang w:val="sl"/>
        </w:rPr>
        <w:t xml:space="preserve"> z 29. decembra 2014, ki jo je pripravil</w:t>
      </w:r>
      <w:r w:rsidR="007A5FD3">
        <w:rPr>
          <w:lang w:val="sl"/>
        </w:rPr>
        <w:t xml:space="preserve"> stečajni</w:t>
      </w:r>
      <w:r>
        <w:rPr>
          <w:lang w:val="sl"/>
        </w:rPr>
        <w:t xml:space="preserve"> upravitelj, je pokazala izgubo v višini več kot 23.000.000 evrov. V letnem poročilu </w:t>
      </w:r>
      <w:r w:rsidR="004D07F2">
        <w:rPr>
          <w:lang w:val="sl"/>
        </w:rPr>
        <w:t>družbe</w:t>
      </w:r>
      <w:r>
        <w:rPr>
          <w:lang w:val="sl"/>
        </w:rPr>
        <w:t xml:space="preserve"> za leto 2013 je navedeno, da je </w:t>
      </w:r>
      <w:r w:rsidR="004D07F2">
        <w:rPr>
          <w:lang w:val="sl"/>
        </w:rPr>
        <w:t>družba</w:t>
      </w:r>
      <w:r>
        <w:rPr>
          <w:lang w:val="sl"/>
        </w:rPr>
        <w:t xml:space="preserve"> ES z izgubo deloval</w:t>
      </w:r>
      <w:r w:rsidR="004D07F2">
        <w:rPr>
          <w:lang w:val="sl"/>
        </w:rPr>
        <w:t>a</w:t>
      </w:r>
      <w:r>
        <w:rPr>
          <w:lang w:val="sl"/>
        </w:rPr>
        <w:t xml:space="preserve"> že leto pred začetkom stečajnega postopka. Večina sredstev </w:t>
      </w:r>
      <w:r w:rsidR="004D07F2">
        <w:rPr>
          <w:lang w:val="sl"/>
        </w:rPr>
        <w:t>družbe</w:t>
      </w:r>
      <w:r>
        <w:rPr>
          <w:lang w:val="sl"/>
        </w:rPr>
        <w:t xml:space="preserve"> </w:t>
      </w:r>
      <w:r>
        <w:rPr>
          <w:lang w:val="sl"/>
        </w:rPr>
        <w:lastRenderedPageBreak/>
        <w:t xml:space="preserve">je obstajala v obliki obveznosti do upnikov, vključno s prispevki v kapital pritožnikov, ki so bili predmet zastavne pravice. Bančni računi </w:t>
      </w:r>
      <w:r w:rsidR="004D07F2">
        <w:rPr>
          <w:lang w:val="sl"/>
        </w:rPr>
        <w:t>družbe</w:t>
      </w:r>
      <w:r>
        <w:rPr>
          <w:lang w:val="sl"/>
        </w:rPr>
        <w:t xml:space="preserve"> so bili od septembra 2012 do začetka stečajnega postopka večinoma zamrznjeni. Zato M. B. v izvršilnem postopku ni mogla prejeti povračila za svojo terjatev.</w:t>
      </w:r>
    </w:p>
    <w:bookmarkStart w:id="28" w:name="GOVproportionate"/>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37</w:t>
      </w:r>
      <w:r>
        <w:rPr>
          <w:lang w:val="sl"/>
        </w:rPr>
        <w:fldChar w:fldCharType="end"/>
      </w:r>
      <w:bookmarkEnd w:id="28"/>
      <w:r>
        <w:rPr>
          <w:lang w:val="sl"/>
        </w:rPr>
        <w:t xml:space="preserve">.  Vlada je ob predpostavki obstoja posega trdila, da je bil </w:t>
      </w:r>
      <w:r w:rsidR="00616EFD">
        <w:rPr>
          <w:lang w:val="sl"/>
        </w:rPr>
        <w:t>le-ta</w:t>
      </w:r>
      <w:r>
        <w:rPr>
          <w:lang w:val="sl"/>
        </w:rPr>
        <w:t xml:space="preserve"> sorazmer</w:t>
      </w:r>
      <w:r w:rsidR="00616EFD">
        <w:rPr>
          <w:lang w:val="sl"/>
        </w:rPr>
        <w:t>e</w:t>
      </w:r>
      <w:r>
        <w:rPr>
          <w:lang w:val="sl"/>
        </w:rPr>
        <w:t>n s ciljem, ki so ga želeli uresničiti, tj. zaščita upnikov. Neizpodbojna pravna domneva trajnejše nelikvidnosti, ki se uporablja v tem primeru, je bila uvedena leta 2009 kot odziv na gospodarske razmere v državi. Jasno je bila opredeljena v zakonodaji in ima predvidljive posledice. Njen namen je bil lajšati dokazno breme, ki se v stečajnih postopkih postavlja na delavce kot upnike, katerih golo preživetje ogrožajo njihovi plačilno nesposobni delodajalci. Poleg tega je zakonski okvir upošteval javni interes, saj je bilo plačilo davkov in prispevkov potrebno za zagotavljanje javnih storitev in socialnega varstva.</w:t>
      </w:r>
    </w:p>
    <w:bookmarkStart w:id="29" w:name="GOVnotexcessive"/>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38</w:t>
      </w:r>
      <w:r>
        <w:rPr>
          <w:lang w:val="sl"/>
        </w:rPr>
        <w:fldChar w:fldCharType="end"/>
      </w:r>
      <w:bookmarkEnd w:id="29"/>
      <w:r>
        <w:rPr>
          <w:lang w:val="sl"/>
        </w:rPr>
        <w:t>.  Po navedbah vlade domnevni poseg pritožnik</w:t>
      </w:r>
      <w:r w:rsidR="00616EFD">
        <w:rPr>
          <w:lang w:val="sl"/>
        </w:rPr>
        <w:t>oma</w:t>
      </w:r>
      <w:r>
        <w:rPr>
          <w:lang w:val="sl"/>
        </w:rPr>
        <w:t xml:space="preserve"> ni naložil </w:t>
      </w:r>
      <w:r w:rsidR="008C3408">
        <w:rPr>
          <w:lang w:val="sl"/>
        </w:rPr>
        <w:t>prekom</w:t>
      </w:r>
      <w:r>
        <w:rPr>
          <w:lang w:val="sl"/>
        </w:rPr>
        <w:t xml:space="preserve">ernega bremena. </w:t>
      </w:r>
      <w:r w:rsidR="004D07F2">
        <w:rPr>
          <w:lang w:val="sl"/>
        </w:rPr>
        <w:t xml:space="preserve">Družba je </w:t>
      </w:r>
      <w:r>
        <w:rPr>
          <w:lang w:val="sl"/>
        </w:rPr>
        <w:t>bil</w:t>
      </w:r>
      <w:r w:rsidR="004D07F2">
        <w:rPr>
          <w:lang w:val="sl"/>
        </w:rPr>
        <w:t>a</w:t>
      </w:r>
      <w:r>
        <w:rPr>
          <w:lang w:val="sl"/>
        </w:rPr>
        <w:t xml:space="preserve"> daljše obdobje nelikvidn</w:t>
      </w:r>
      <w:r w:rsidR="004D07F2">
        <w:rPr>
          <w:lang w:val="sl"/>
        </w:rPr>
        <w:t>a</w:t>
      </w:r>
      <w:r>
        <w:rPr>
          <w:lang w:val="sl"/>
        </w:rPr>
        <w:t xml:space="preserve">, transakcijski računi </w:t>
      </w:r>
      <w:r w:rsidR="004D07F2">
        <w:rPr>
          <w:lang w:val="sl"/>
        </w:rPr>
        <w:t>družbe</w:t>
      </w:r>
      <w:r>
        <w:rPr>
          <w:lang w:val="sl"/>
        </w:rPr>
        <w:t xml:space="preserve"> pa so bili zamrznjeni. M. B. je bila le ena od upnikov; DUTB je prav tako vložil</w:t>
      </w:r>
      <w:r w:rsidR="00616EFD">
        <w:rPr>
          <w:lang w:val="sl"/>
        </w:rPr>
        <w:t>a</w:t>
      </w:r>
      <w:r>
        <w:rPr>
          <w:lang w:val="sl"/>
        </w:rPr>
        <w:t xml:space="preserve"> predlog za začetek stečajnega postopka, 76 upnikov pa je svoje terjatve vložilo v okviru stečajnega postopka. </w:t>
      </w:r>
      <w:r w:rsidR="004D07F2">
        <w:rPr>
          <w:lang w:val="sl"/>
        </w:rPr>
        <w:t>Družba</w:t>
      </w:r>
      <w:r>
        <w:rPr>
          <w:lang w:val="sl"/>
        </w:rPr>
        <w:t xml:space="preserve"> ni navedl</w:t>
      </w:r>
      <w:r w:rsidR="004D07F2">
        <w:rPr>
          <w:lang w:val="sl"/>
        </w:rPr>
        <w:t xml:space="preserve">a </w:t>
      </w:r>
      <w:r>
        <w:rPr>
          <w:lang w:val="sl"/>
        </w:rPr>
        <w:t xml:space="preserve">nobenih ukrepov za finančno prestrukturiranje, ki </w:t>
      </w:r>
      <w:r w:rsidR="00616EFD">
        <w:rPr>
          <w:lang w:val="sl"/>
        </w:rPr>
        <w:t xml:space="preserve">bi </w:t>
      </w:r>
      <w:r>
        <w:rPr>
          <w:lang w:val="sl"/>
        </w:rPr>
        <w:t>jih je sprejel</w:t>
      </w:r>
      <w:r w:rsidR="004D07F2">
        <w:rPr>
          <w:lang w:val="sl"/>
        </w:rPr>
        <w:t>a</w:t>
      </w:r>
      <w:r>
        <w:rPr>
          <w:lang w:val="sl"/>
        </w:rPr>
        <w:t xml:space="preserve"> za premostitev težav, nastalih zaradi trajnejše nelikvidnosti, prav tako pa ni zahteval</w:t>
      </w:r>
      <w:r w:rsidR="004D07F2">
        <w:rPr>
          <w:lang w:val="sl"/>
        </w:rPr>
        <w:t>a</w:t>
      </w:r>
      <w:r>
        <w:rPr>
          <w:lang w:val="sl"/>
        </w:rPr>
        <w:t xml:space="preserve"> odložitve. Pritožnika bi lahko vplivala na upravljanje obratovanja </w:t>
      </w:r>
      <w:r w:rsidR="004D07F2">
        <w:rPr>
          <w:lang w:val="sl"/>
        </w:rPr>
        <w:t>družbe</w:t>
      </w:r>
      <w:r>
        <w:rPr>
          <w:lang w:val="sl"/>
        </w:rPr>
        <w:t xml:space="preserve">. Poleg tega je država v skladu z Zakonom o pomoči za reševanje in prestrukturiranje gospodarskih družb in zadrug v težavah predvidela sredstva za </w:t>
      </w:r>
      <w:r w:rsidR="004D07F2">
        <w:rPr>
          <w:lang w:val="sl"/>
        </w:rPr>
        <w:t>družbe</w:t>
      </w:r>
      <w:r>
        <w:rPr>
          <w:lang w:val="sl"/>
        </w:rPr>
        <w:t xml:space="preserve"> s finančnimi težavami in tako omogočila njihovo preživetje.</w:t>
      </w:r>
    </w:p>
    <w:p w:rsidR="00EA4390" w:rsidRPr="00F00C8E" w:rsidRDefault="00EA4390" w:rsidP="00F00C8E">
      <w:pPr>
        <w:pStyle w:val="JuHa0"/>
        <w:numPr>
          <w:ilvl w:val="4"/>
          <w:numId w:val="1"/>
        </w:numPr>
      </w:pPr>
      <w:r>
        <w:rPr>
          <w:lang w:val="sl"/>
        </w:rPr>
        <w:t>Pritožnika</w:t>
      </w:r>
    </w:p>
    <w:bookmarkStart w:id="30" w:name="APPproportionality"/>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39</w:t>
      </w:r>
      <w:r>
        <w:rPr>
          <w:lang w:val="sl"/>
        </w:rPr>
        <w:fldChar w:fldCharType="end"/>
      </w:r>
      <w:bookmarkEnd w:id="30"/>
      <w:r>
        <w:rPr>
          <w:lang w:val="sl"/>
        </w:rPr>
        <w:t xml:space="preserve">.  Pritožnika vztrajata, da </w:t>
      </w:r>
      <w:r w:rsidR="004D07F2">
        <w:rPr>
          <w:lang w:val="sl"/>
        </w:rPr>
        <w:t>družba</w:t>
      </w:r>
      <w:r>
        <w:rPr>
          <w:lang w:val="sl"/>
        </w:rPr>
        <w:t xml:space="preserve"> ni bilo</w:t>
      </w:r>
      <w:r w:rsidR="00616EFD">
        <w:rPr>
          <w:lang w:val="sl"/>
        </w:rPr>
        <w:t xml:space="preserve"> dolžna</w:t>
      </w:r>
      <w:r>
        <w:rPr>
          <w:lang w:val="sl"/>
        </w:rPr>
        <w:t xml:space="preserve"> M. B. plačevati plače, saj je bila zaposlena v svojem lastn</w:t>
      </w:r>
      <w:r w:rsidR="004D07F2">
        <w:rPr>
          <w:lang w:val="sl"/>
        </w:rPr>
        <w:t xml:space="preserve">em </w:t>
      </w:r>
      <w:r>
        <w:rPr>
          <w:lang w:val="sl"/>
        </w:rPr>
        <w:t>podjetju. V stališčih Sodišču navajata, da je imel</w:t>
      </w:r>
      <w:r w:rsidR="004D07F2">
        <w:rPr>
          <w:lang w:val="sl"/>
        </w:rPr>
        <w:t>a</w:t>
      </w:r>
      <w:r>
        <w:rPr>
          <w:lang w:val="sl"/>
        </w:rPr>
        <w:t xml:space="preserve"> </w:t>
      </w:r>
      <w:r w:rsidR="004D07F2">
        <w:rPr>
          <w:lang w:val="sl"/>
        </w:rPr>
        <w:t>družba</w:t>
      </w:r>
      <w:r>
        <w:rPr>
          <w:lang w:val="sl"/>
        </w:rPr>
        <w:t xml:space="preserve"> veliko drugih zaposlenih, ki so bili vsi seznanjeni s tem, da bodo zamujena plačila poravnana, ko bo gradbena naložba v Kopru prodana. Navedla sta tudi, da bi lahko M. B. </w:t>
      </w:r>
      <w:r w:rsidR="004D07F2">
        <w:rPr>
          <w:lang w:val="sl"/>
        </w:rPr>
        <w:t>družbo</w:t>
      </w:r>
      <w:r>
        <w:rPr>
          <w:lang w:val="sl"/>
        </w:rPr>
        <w:t xml:space="preserve"> zapustila. Poleg tega bi morala poskusiti svojo terjatev izterjati v okviru izvršilnega postopka. V zvezi s tem sta navedla tudi, da je vrednost gradbene naložbe v Kopru sodni izvedenec za gradbene zadeve septembra 2012 ocenil na 42.500.000 evrov. V okviru stečajnega postopka je bila ta zgradba največjemu upniku </w:t>
      </w:r>
      <w:r w:rsidR="004D07F2">
        <w:rPr>
          <w:lang w:val="sl"/>
        </w:rPr>
        <w:t>družbe</w:t>
      </w:r>
      <w:r>
        <w:rPr>
          <w:lang w:val="sl"/>
        </w:rPr>
        <w:t xml:space="preserve">, DUTB, prodana za okoli 20.000.000 evrov. Poleg tega so bančne vloge </w:t>
      </w:r>
      <w:r w:rsidR="004D07F2">
        <w:rPr>
          <w:lang w:val="sl"/>
        </w:rPr>
        <w:t>družbe</w:t>
      </w:r>
      <w:r>
        <w:rPr>
          <w:lang w:val="sl"/>
        </w:rPr>
        <w:t xml:space="preserve"> znašale več kot 1.400.000 evrov. Skupna vrednost sredstev </w:t>
      </w:r>
      <w:r w:rsidR="004D07F2">
        <w:rPr>
          <w:lang w:val="sl"/>
        </w:rPr>
        <w:t>družbe</w:t>
      </w:r>
      <w:r>
        <w:rPr>
          <w:lang w:val="sl"/>
        </w:rPr>
        <w:t xml:space="preserve"> je pred stečajnim postopkom znašala 47.638.848 evrov, s čimer je presegala vrednost terjatev, ki so bile nato prepoznane v stečajnem postopku (46.005.257 evrov).</w:t>
      </w:r>
    </w:p>
    <w:bookmarkStart w:id="31" w:name="APPilliquidityrestructuring"/>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40</w:t>
      </w:r>
      <w:r>
        <w:rPr>
          <w:lang w:val="sl"/>
        </w:rPr>
        <w:fldChar w:fldCharType="end"/>
      </w:r>
      <w:bookmarkEnd w:id="31"/>
      <w:r>
        <w:rPr>
          <w:lang w:val="sl"/>
        </w:rPr>
        <w:t xml:space="preserve">.  Pri podajanju svojih stališč Sodišču sta pritožnika potrdila, da </w:t>
      </w:r>
      <w:r w:rsidR="004D07F2">
        <w:rPr>
          <w:lang w:val="sl"/>
        </w:rPr>
        <w:t>družba</w:t>
      </w:r>
      <w:r>
        <w:rPr>
          <w:lang w:val="sl"/>
        </w:rPr>
        <w:t xml:space="preserve"> ob začetku stečajnega postopka ni imel</w:t>
      </w:r>
      <w:r w:rsidR="004D07F2">
        <w:rPr>
          <w:lang w:val="sl"/>
        </w:rPr>
        <w:t>a</w:t>
      </w:r>
      <w:r>
        <w:rPr>
          <w:lang w:val="sl"/>
        </w:rPr>
        <w:t xml:space="preserve"> likvidnih sredstev, s katerimi bi lahko poravnal</w:t>
      </w:r>
      <w:r w:rsidR="004D07F2">
        <w:rPr>
          <w:lang w:val="sl"/>
        </w:rPr>
        <w:t>a</w:t>
      </w:r>
      <w:r>
        <w:rPr>
          <w:lang w:val="sl"/>
        </w:rPr>
        <w:t xml:space="preserve"> terjatev M. B., prav tako pa ni mogl</w:t>
      </w:r>
      <w:r w:rsidR="004D07F2">
        <w:rPr>
          <w:lang w:val="sl"/>
        </w:rPr>
        <w:t>a</w:t>
      </w:r>
      <w:r>
        <w:rPr>
          <w:lang w:val="sl"/>
        </w:rPr>
        <w:t xml:space="preserve"> izvesti ukrepov za </w:t>
      </w:r>
      <w:r>
        <w:rPr>
          <w:lang w:val="sl"/>
        </w:rPr>
        <w:lastRenderedPageBreak/>
        <w:t xml:space="preserve">prestrukturiranje. </w:t>
      </w:r>
      <w:r w:rsidR="004D07F2">
        <w:rPr>
          <w:lang w:val="sl"/>
        </w:rPr>
        <w:t>Družbi</w:t>
      </w:r>
      <w:r>
        <w:rPr>
          <w:lang w:val="sl"/>
        </w:rPr>
        <w:t xml:space="preserve"> ni uspelo predložiti nobenih dokazov, da bi se stečajnemu postopku lahko tako izognil</w:t>
      </w:r>
      <w:r w:rsidR="004D07F2">
        <w:rPr>
          <w:lang w:val="sl"/>
        </w:rPr>
        <w:t>a</w:t>
      </w:r>
      <w:r>
        <w:rPr>
          <w:lang w:val="sl"/>
        </w:rPr>
        <w:t xml:space="preserve">. Vsa sredstva </w:t>
      </w:r>
      <w:r w:rsidR="004D07F2">
        <w:rPr>
          <w:lang w:val="sl"/>
        </w:rPr>
        <w:t>družbe</w:t>
      </w:r>
      <w:r>
        <w:rPr>
          <w:lang w:val="sl"/>
        </w:rPr>
        <w:t xml:space="preserve"> so bila vezana v gradbeno naložbo v Kopru, ki je bila dokončana in pripravljena za prodajo. Vztrajali so, da je dolžnik potreboval nekaj mesecev, da bi to premoženje prodal in odplačal svoje dolgove. Kljub temu bi morala sodišča ob upoštevanju vrednosti terjatve M. B. na eni in vrednostjo sredstev </w:t>
      </w:r>
      <w:r w:rsidR="004D07F2">
        <w:rPr>
          <w:lang w:val="sl"/>
        </w:rPr>
        <w:t>družbe</w:t>
      </w:r>
      <w:r>
        <w:rPr>
          <w:lang w:val="sl"/>
        </w:rPr>
        <w:t xml:space="preserve"> na drugi strani v skladu z načelom sorazmernosti njen predlog za začetek stečajnega postopka zavrniti.</w:t>
      </w:r>
    </w:p>
    <w:p w:rsidR="00EA4390" w:rsidRPr="00F00C8E" w:rsidRDefault="00EA4390" w:rsidP="00F00C8E">
      <w:pPr>
        <w:pStyle w:val="JuH1"/>
        <w:numPr>
          <w:ilvl w:val="3"/>
          <w:numId w:val="1"/>
        </w:numPr>
      </w:pPr>
      <w:r>
        <w:rPr>
          <w:bCs w:val="0"/>
          <w:lang w:val="sl"/>
        </w:rPr>
        <w:t>Presoja sodišča</w:t>
      </w:r>
    </w:p>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41</w:t>
      </w:r>
      <w:r>
        <w:rPr>
          <w:lang w:val="sl"/>
        </w:rPr>
        <w:fldChar w:fldCharType="end"/>
      </w:r>
      <w:r>
        <w:rPr>
          <w:lang w:val="sl"/>
        </w:rPr>
        <w:t>.  Sodišče poudarja, da je treba pri poseg</w:t>
      </w:r>
      <w:r w:rsidR="00616EFD">
        <w:rPr>
          <w:lang w:val="sl"/>
        </w:rPr>
        <w:t>u</w:t>
      </w:r>
      <w:r>
        <w:rPr>
          <w:lang w:val="sl"/>
        </w:rPr>
        <w:t xml:space="preserve"> v mirno uživanje premoženja doseči pravično ravno</w:t>
      </w:r>
      <w:r w:rsidR="0074689E">
        <w:rPr>
          <w:lang w:val="sl"/>
        </w:rPr>
        <w:t>vesje</w:t>
      </w:r>
      <w:r>
        <w:rPr>
          <w:lang w:val="sl"/>
        </w:rPr>
        <w:t xml:space="preserve"> med zahtevami splošnega interesa skupnosti in zahtevami po varstvu temeljnih pravic posameznika. Skrb za vzpostavitev tega ravnovesja se odraža v strukturi 1. člena Protokola št. 1. kot celoti. Zahtevano ravno</w:t>
      </w:r>
      <w:r w:rsidR="0074689E">
        <w:rPr>
          <w:lang w:val="sl"/>
        </w:rPr>
        <w:t>vesje</w:t>
      </w:r>
      <w:r>
        <w:rPr>
          <w:lang w:val="sl"/>
        </w:rPr>
        <w:t xml:space="preserve"> ne bo doseženo, če mora oseba nositi individualno in </w:t>
      </w:r>
      <w:r w:rsidR="008C3408">
        <w:rPr>
          <w:lang w:val="sl"/>
        </w:rPr>
        <w:t>preko</w:t>
      </w:r>
      <w:r>
        <w:rPr>
          <w:lang w:val="sl"/>
        </w:rPr>
        <w:t xml:space="preserve">merno breme (glej </w:t>
      </w:r>
      <w:r>
        <w:rPr>
          <w:i/>
          <w:iCs/>
          <w:lang w:val="sl"/>
        </w:rPr>
        <w:t>Sporrong in Lönnroth proti Švedski</w:t>
      </w:r>
      <w:r>
        <w:rPr>
          <w:lang w:val="sl"/>
        </w:rPr>
        <w:t xml:space="preserve">, 23. september 1982, odstavka 69 in 73, serija A, št. 52). To pomeni, da mora biti prisoten razumen odnos sorazmernosti med uporabljenimi sredstvi in ciljem, ki se želi doseči (glej </w:t>
      </w:r>
      <w:r>
        <w:rPr>
          <w:i/>
          <w:iCs/>
          <w:lang w:val="sl"/>
        </w:rPr>
        <w:t>James in drugi proti</w:t>
      </w:r>
      <w:r>
        <w:rPr>
          <w:lang w:val="sl"/>
        </w:rPr>
        <w:t xml:space="preserve"> </w:t>
      </w:r>
      <w:r>
        <w:rPr>
          <w:i/>
          <w:iCs/>
          <w:lang w:val="sl"/>
        </w:rPr>
        <w:t>Združenemu kraljestvu</w:t>
      </w:r>
      <w:r>
        <w:rPr>
          <w:lang w:val="sl"/>
        </w:rPr>
        <w:t>, 21. februar 1986, odstavek 50, serija A, št. 98).</w:t>
      </w:r>
    </w:p>
    <w:p w:rsidR="00EA4390" w:rsidRPr="005260BC"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42</w:t>
      </w:r>
      <w:r>
        <w:rPr>
          <w:lang w:val="sl"/>
        </w:rPr>
        <w:fldChar w:fldCharType="end"/>
      </w:r>
      <w:r>
        <w:rPr>
          <w:lang w:val="sl"/>
        </w:rPr>
        <w:t xml:space="preserve">.  V zadevnem primeru je Sodišče najprej ugotovilo, da je bila s sklepom o začetku stečajnega postopka </w:t>
      </w:r>
      <w:r w:rsidR="004D07F2">
        <w:rPr>
          <w:lang w:val="sl"/>
        </w:rPr>
        <w:t>družbi</w:t>
      </w:r>
      <w:r>
        <w:rPr>
          <w:lang w:val="sl"/>
        </w:rPr>
        <w:t xml:space="preserve"> ES odvzeta pravica do upravljanja in </w:t>
      </w:r>
      <w:r w:rsidR="0074689E">
        <w:rPr>
          <w:lang w:val="sl"/>
        </w:rPr>
        <w:t>razpolaganja z</w:t>
      </w:r>
      <w:r>
        <w:rPr>
          <w:lang w:val="sl"/>
        </w:rPr>
        <w:t xml:space="preserve"> nje</w:t>
      </w:r>
      <w:r w:rsidR="00616EFD">
        <w:rPr>
          <w:lang w:val="sl"/>
        </w:rPr>
        <w:t>n</w:t>
      </w:r>
      <w:r w:rsidR="0074689E">
        <w:rPr>
          <w:lang w:val="sl"/>
        </w:rPr>
        <w:t>o</w:t>
      </w:r>
      <w:r>
        <w:rPr>
          <w:lang w:val="sl"/>
        </w:rPr>
        <w:t xml:space="preserve"> lastnin</w:t>
      </w:r>
      <w:r w:rsidR="0074689E">
        <w:rPr>
          <w:lang w:val="sl"/>
        </w:rPr>
        <w:t>o</w:t>
      </w:r>
      <w:r>
        <w:rPr>
          <w:lang w:val="sl"/>
        </w:rPr>
        <w:t xml:space="preserve"> in je zato, ne glede na to, ali je vodil do prodaje sredstev </w:t>
      </w:r>
      <w:r w:rsidR="004D07F2">
        <w:rPr>
          <w:lang w:val="sl"/>
        </w:rPr>
        <w:t>družbe</w:t>
      </w:r>
      <w:r>
        <w:rPr>
          <w:lang w:val="sl"/>
        </w:rPr>
        <w:t xml:space="preserve"> po znižani ceni, pomenil izvajanje nadzora nad uporabo premoženja v skladu s pomenom drugega odstavka 1. člena Protokola št. 1 (glej </w:t>
      </w:r>
      <w:r>
        <w:rPr>
          <w:i/>
          <w:iCs/>
          <w:lang w:val="sl"/>
        </w:rPr>
        <w:t>Albertsson proti Švedski</w:t>
      </w:r>
      <w:r>
        <w:rPr>
          <w:lang w:val="sl"/>
        </w:rPr>
        <w:t xml:space="preserve"> (sklep), št. 41102/07, 7. februar 2012).</w:t>
      </w:r>
    </w:p>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43</w:t>
      </w:r>
      <w:r>
        <w:rPr>
          <w:lang w:val="sl"/>
        </w:rPr>
        <w:fldChar w:fldCharType="end"/>
      </w:r>
      <w:r>
        <w:rPr>
          <w:lang w:val="sl"/>
        </w:rPr>
        <w:t xml:space="preserve">.  Nadalje Sodišče ugotavlja, da je sklep o začetku stečajnega postopka zoper </w:t>
      </w:r>
      <w:r w:rsidR="004D07F2">
        <w:rPr>
          <w:lang w:val="sl"/>
        </w:rPr>
        <w:t>družbo</w:t>
      </w:r>
      <w:r>
        <w:rPr>
          <w:lang w:val="sl"/>
        </w:rPr>
        <w:t xml:space="preserve"> sprejelo Okrožno sodišče v Novi Gorici, </w:t>
      </w:r>
      <w:r w:rsidR="00616EFD">
        <w:rPr>
          <w:lang w:val="sl"/>
        </w:rPr>
        <w:t xml:space="preserve">potrdilo pa ga je Višje sodišče v Ljubljani </w:t>
      </w:r>
      <w:r>
        <w:rPr>
          <w:lang w:val="sl"/>
        </w:rPr>
        <w:t xml:space="preserve">v skladu z določbami zakona o insolventnosti (glej odstavek </w:t>
      </w:r>
      <w:r>
        <w:rPr>
          <w:lang w:val="sl"/>
        </w:rPr>
        <w:fldChar w:fldCharType="begin"/>
      </w:r>
      <w:r>
        <w:rPr>
          <w:lang w:val="sl"/>
        </w:rPr>
        <w:instrText xml:space="preserve"> REF insolvencyact \h </w:instrText>
      </w:r>
      <w:r>
        <w:rPr>
          <w:lang w:val="sl"/>
        </w:rPr>
      </w:r>
      <w:r>
        <w:rPr>
          <w:lang w:val="sl"/>
        </w:rPr>
        <w:fldChar w:fldCharType="separate"/>
      </w:r>
      <w:r>
        <w:rPr>
          <w:noProof/>
          <w:lang w:val="sl"/>
        </w:rPr>
        <w:t>23</w:t>
      </w:r>
      <w:r>
        <w:rPr>
          <w:lang w:val="sl"/>
        </w:rPr>
        <w:fldChar w:fldCharType="end"/>
      </w:r>
      <w:r>
        <w:rPr>
          <w:lang w:val="sl"/>
        </w:rPr>
        <w:t xml:space="preserve">). Tako je poseg v premoženje </w:t>
      </w:r>
      <w:r w:rsidR="004D07F2">
        <w:rPr>
          <w:lang w:val="sl"/>
        </w:rPr>
        <w:t>družbe</w:t>
      </w:r>
      <w:r>
        <w:rPr>
          <w:lang w:val="sl"/>
        </w:rPr>
        <w:t xml:space="preserve"> temeljil na </w:t>
      </w:r>
      <w:r w:rsidR="00616EFD">
        <w:rPr>
          <w:lang w:val="sl"/>
        </w:rPr>
        <w:t>zakonu</w:t>
      </w:r>
      <w:r>
        <w:rPr>
          <w:lang w:val="sl"/>
        </w:rPr>
        <w:t xml:space="preserve">. Poleg tega je bil namen izpodbijanega sklepa, da bi upnikom </w:t>
      </w:r>
      <w:r w:rsidR="004D07F2">
        <w:rPr>
          <w:lang w:val="sl"/>
        </w:rPr>
        <w:t>družbe</w:t>
      </w:r>
      <w:r>
        <w:rPr>
          <w:lang w:val="sl"/>
        </w:rPr>
        <w:t xml:space="preserve"> zagotovili </w:t>
      </w:r>
      <w:r w:rsidR="0074689E">
        <w:rPr>
          <w:lang w:val="sl"/>
        </w:rPr>
        <w:t>iz</w:t>
      </w:r>
      <w:r>
        <w:rPr>
          <w:lang w:val="sl"/>
        </w:rPr>
        <w:t>plačilo. Tako je imel poseg legitim</w:t>
      </w:r>
      <w:r w:rsidR="00616EFD">
        <w:rPr>
          <w:lang w:val="sl"/>
        </w:rPr>
        <w:t>e</w:t>
      </w:r>
      <w:r>
        <w:rPr>
          <w:lang w:val="sl"/>
        </w:rPr>
        <w:t>n cilj, ki je bil v splošnem interesu, tj. varstv</w:t>
      </w:r>
      <w:r w:rsidR="00616EFD">
        <w:rPr>
          <w:lang w:val="sl"/>
        </w:rPr>
        <w:t>u</w:t>
      </w:r>
      <w:r>
        <w:rPr>
          <w:lang w:val="sl"/>
        </w:rPr>
        <w:t xml:space="preserve"> pravic drugih (glej med drugim </w:t>
      </w:r>
      <w:r>
        <w:rPr>
          <w:i/>
          <w:iCs/>
          <w:lang w:val="sl"/>
        </w:rPr>
        <w:t>Luordo proti Italiji</w:t>
      </w:r>
      <w:r>
        <w:rPr>
          <w:lang w:val="sl"/>
        </w:rPr>
        <w:t>, št. 32190/96, odstavek 68, ESČP 2003-IX). Sodišče mora presoditi, ali je bilo doseženo pravično ravnotežje med zahtevami splošnega interesa skupnosti in zahtevami po varstvu temeljnih pravic posameznika.</w:t>
      </w:r>
    </w:p>
    <w:p w:rsidR="00EA4390" w:rsidRPr="005260BC"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44</w:t>
      </w:r>
      <w:r>
        <w:rPr>
          <w:lang w:val="sl"/>
        </w:rPr>
        <w:fldChar w:fldCharType="end"/>
      </w:r>
      <w:r>
        <w:rPr>
          <w:lang w:val="sl"/>
        </w:rPr>
        <w:t xml:space="preserve">.  Sodišče kot bistvo pritožbe pritožnikov ugotavlja, da bi morala domača sodišča zavrniti predlog za začetek stečajnega postopka M. B., saj je bil zadevni dolg nepomemben v primerjavi z znatnimi sredstvi </w:t>
      </w:r>
      <w:r w:rsidR="004D07F2">
        <w:rPr>
          <w:lang w:val="sl"/>
        </w:rPr>
        <w:t>družbe</w:t>
      </w:r>
      <w:r>
        <w:rPr>
          <w:lang w:val="sl"/>
        </w:rPr>
        <w:t>. Kot posebno pomembne obravnava naslednje ugotovitve.</w:t>
      </w:r>
    </w:p>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45</w:t>
      </w:r>
      <w:r>
        <w:rPr>
          <w:lang w:val="sl"/>
        </w:rPr>
        <w:fldChar w:fldCharType="end"/>
      </w:r>
      <w:r>
        <w:rPr>
          <w:lang w:val="sl"/>
        </w:rPr>
        <w:t xml:space="preserve">.  Prvič, sklep o začetku stečajnega postopka je bil sprejet v okviru kontradiktornih postopkov, v katerih so lahko </w:t>
      </w:r>
      <w:r w:rsidR="004D07F2">
        <w:rPr>
          <w:lang w:val="sl"/>
        </w:rPr>
        <w:t>družb</w:t>
      </w:r>
      <w:r w:rsidR="00616EFD">
        <w:rPr>
          <w:lang w:val="sl"/>
        </w:rPr>
        <w:t>a</w:t>
      </w:r>
      <w:r>
        <w:rPr>
          <w:lang w:val="sl"/>
        </w:rPr>
        <w:t xml:space="preserve"> in pritožnika predložili dokaze in argumente, s katerimi bi na domačih sodiščih izpodbijali domnevo o nelikvidnosti, vendar jim to očitno ni uspelo (glej odstavka </w:t>
      </w:r>
      <w:r>
        <w:rPr>
          <w:lang w:val="sl"/>
        </w:rPr>
        <w:fldChar w:fldCharType="begin"/>
      </w:r>
      <w:r>
        <w:rPr>
          <w:lang w:val="sl"/>
        </w:rPr>
        <w:instrText xml:space="preserve"> REF notificationtodebtor \h </w:instrText>
      </w:r>
      <w:r>
        <w:rPr>
          <w:lang w:val="sl"/>
        </w:rPr>
      </w:r>
      <w:r>
        <w:rPr>
          <w:lang w:val="sl"/>
        </w:rPr>
        <w:fldChar w:fldCharType="separate"/>
      </w:r>
      <w:r>
        <w:rPr>
          <w:noProof/>
          <w:lang w:val="sl"/>
        </w:rPr>
        <w:t>7</w:t>
      </w:r>
      <w:r>
        <w:rPr>
          <w:lang w:val="sl"/>
        </w:rPr>
        <w:fldChar w:fldCharType="end"/>
      </w:r>
      <w:r>
        <w:rPr>
          <w:lang w:val="sl"/>
        </w:rPr>
        <w:t xml:space="preserve"> in </w:t>
      </w:r>
      <w:r>
        <w:rPr>
          <w:lang w:val="sl"/>
        </w:rPr>
        <w:fldChar w:fldCharType="begin"/>
      </w:r>
      <w:r>
        <w:rPr>
          <w:lang w:val="sl"/>
        </w:rPr>
        <w:instrText xml:space="preserve"> REF hearing \h </w:instrText>
      </w:r>
      <w:r>
        <w:rPr>
          <w:lang w:val="sl"/>
        </w:rPr>
      </w:r>
      <w:r>
        <w:rPr>
          <w:lang w:val="sl"/>
        </w:rPr>
        <w:fldChar w:fldCharType="separate"/>
      </w:r>
      <w:r>
        <w:rPr>
          <w:noProof/>
          <w:lang w:val="sl"/>
        </w:rPr>
        <w:t>10</w:t>
      </w:r>
      <w:r>
        <w:rPr>
          <w:lang w:val="sl"/>
        </w:rPr>
        <w:fldChar w:fldCharType="end"/>
      </w:r>
      <w:r>
        <w:rPr>
          <w:lang w:val="sl"/>
        </w:rPr>
        <w:t xml:space="preserve"> zgoraj). </w:t>
      </w:r>
      <w:r>
        <w:rPr>
          <w:lang w:val="sl"/>
        </w:rPr>
        <w:lastRenderedPageBreak/>
        <w:t xml:space="preserve">Izpodbijani sklep okrožnega sodišča je bil dobro utemeljen, pritožnika pa sta bila upravičena do </w:t>
      </w:r>
      <w:r w:rsidR="008C3408">
        <w:rPr>
          <w:lang w:val="sl"/>
        </w:rPr>
        <w:t>celovite presoje s strani</w:t>
      </w:r>
      <w:r>
        <w:rPr>
          <w:lang w:val="sl"/>
        </w:rPr>
        <w:t xml:space="preserve"> pritožben</w:t>
      </w:r>
      <w:r w:rsidR="008C3408">
        <w:rPr>
          <w:lang w:val="sl"/>
        </w:rPr>
        <w:t>ega</w:t>
      </w:r>
      <w:r>
        <w:rPr>
          <w:lang w:val="sl"/>
        </w:rPr>
        <w:t xml:space="preserve"> sodišč</w:t>
      </w:r>
      <w:r w:rsidR="008C3408">
        <w:rPr>
          <w:lang w:val="sl"/>
        </w:rPr>
        <w:t>a</w:t>
      </w:r>
      <w:r>
        <w:rPr>
          <w:lang w:val="sl"/>
        </w:rPr>
        <w:t xml:space="preserve"> (glej odstavke </w:t>
      </w:r>
      <w:r>
        <w:rPr>
          <w:lang w:val="sl"/>
        </w:rPr>
        <w:fldChar w:fldCharType="begin"/>
      </w:r>
      <w:r>
        <w:rPr>
          <w:lang w:val="sl"/>
        </w:rPr>
        <w:instrText xml:space="preserve"> REF NGcourtdecision \h </w:instrText>
      </w:r>
      <w:r>
        <w:rPr>
          <w:lang w:val="sl"/>
        </w:rPr>
      </w:r>
      <w:r>
        <w:rPr>
          <w:lang w:val="sl"/>
        </w:rPr>
        <w:fldChar w:fldCharType="separate"/>
      </w:r>
      <w:r>
        <w:rPr>
          <w:noProof/>
          <w:lang w:val="sl"/>
        </w:rPr>
        <w:t>11</w:t>
      </w:r>
      <w:r>
        <w:rPr>
          <w:lang w:val="sl"/>
        </w:rPr>
        <w:fldChar w:fldCharType="end"/>
      </w:r>
      <w:r>
        <w:rPr>
          <w:lang w:val="sl"/>
        </w:rPr>
        <w:t>–</w:t>
      </w:r>
      <w:r>
        <w:rPr>
          <w:lang w:val="sl"/>
        </w:rPr>
        <w:fldChar w:fldCharType="begin"/>
      </w:r>
      <w:r>
        <w:rPr>
          <w:lang w:val="sl"/>
        </w:rPr>
        <w:instrText xml:space="preserve"> REF highercourt2016 \h </w:instrText>
      </w:r>
      <w:r>
        <w:rPr>
          <w:lang w:val="sl"/>
        </w:rPr>
      </w:r>
      <w:r>
        <w:rPr>
          <w:lang w:val="sl"/>
        </w:rPr>
        <w:fldChar w:fldCharType="separate"/>
      </w:r>
      <w:r>
        <w:rPr>
          <w:noProof/>
          <w:lang w:val="sl"/>
        </w:rPr>
        <w:t>19</w:t>
      </w:r>
      <w:r>
        <w:rPr>
          <w:lang w:val="sl"/>
        </w:rPr>
        <w:fldChar w:fldCharType="end"/>
      </w:r>
      <w:r>
        <w:rPr>
          <w:lang w:val="sl"/>
        </w:rPr>
        <w:t xml:space="preserve"> zgoraj). Zato Sodišče ugotavlja, da jim je bilo v okviru postopkov kot celote primerno omogočeno, da pristojnim organom predstavijo svoja stališča z namenom, da bi se vzpostavilo pravično ravno</w:t>
      </w:r>
      <w:r w:rsidR="0074689E">
        <w:rPr>
          <w:lang w:val="sl"/>
        </w:rPr>
        <w:t>vesje</w:t>
      </w:r>
      <w:r>
        <w:rPr>
          <w:lang w:val="sl"/>
        </w:rPr>
        <w:t xml:space="preserve"> med nasprotujočimi si interesi v tem primeru.</w:t>
      </w:r>
    </w:p>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46</w:t>
      </w:r>
      <w:r>
        <w:rPr>
          <w:lang w:val="sl"/>
        </w:rPr>
        <w:fldChar w:fldCharType="end"/>
      </w:r>
      <w:r>
        <w:rPr>
          <w:lang w:val="sl"/>
        </w:rPr>
        <w:t xml:space="preserve">.  Drugič, Sodišče je glede utemeljenosti terjatve M. B. ugotovilo, da so domača sodišča o zaposlitvenem statusu M. B. in obstoju neporavnanih terjatev do </w:t>
      </w:r>
      <w:r w:rsidR="004D07F2">
        <w:rPr>
          <w:lang w:val="sl"/>
        </w:rPr>
        <w:t>družbe</w:t>
      </w:r>
      <w:r>
        <w:rPr>
          <w:lang w:val="sl"/>
        </w:rPr>
        <w:t xml:space="preserve"> presojala na podlagi dokaznih listin, ki so jih izdali pristojni organi (glej odstavek </w:t>
      </w:r>
      <w:r>
        <w:rPr>
          <w:lang w:val="sl"/>
        </w:rPr>
        <w:fldChar w:fldCharType="begin"/>
      </w:r>
      <w:r>
        <w:rPr>
          <w:lang w:val="sl"/>
        </w:rPr>
        <w:instrText xml:space="preserve"> REF NGcourtdecision \h </w:instrText>
      </w:r>
      <w:r>
        <w:rPr>
          <w:lang w:val="sl"/>
        </w:rPr>
      </w:r>
      <w:r>
        <w:rPr>
          <w:lang w:val="sl"/>
        </w:rPr>
        <w:fldChar w:fldCharType="separate"/>
      </w:r>
      <w:r>
        <w:rPr>
          <w:noProof/>
          <w:lang w:val="sl"/>
        </w:rPr>
        <w:t>11</w:t>
      </w:r>
      <w:r>
        <w:rPr>
          <w:lang w:val="sl"/>
        </w:rPr>
        <w:fldChar w:fldCharType="end"/>
      </w:r>
      <w:r>
        <w:rPr>
          <w:lang w:val="sl"/>
        </w:rPr>
        <w:t xml:space="preserve"> zgoraj). Pritožnika sta v domačih postopkih trdila, da terjatev M. B. ne obstaja in da v </w:t>
      </w:r>
      <w:r w:rsidR="004D07F2">
        <w:rPr>
          <w:lang w:val="sl"/>
        </w:rPr>
        <w:t>družbi</w:t>
      </w:r>
      <w:r>
        <w:rPr>
          <w:lang w:val="sl"/>
        </w:rPr>
        <w:t xml:space="preserve"> ni bila zaposlena. Vendar v podporo svojih navedb nista predložila nobenih dokazov, zato so ostale neutemeljene. Poleg tega v spisu nič ne nakazuje na to, da bi se domača sodišča v svoji presoji motila. Sodišče v skladu s temi ugotovitvami soglaša, da je bila M. B. v obravnavanem obdobju zaposlena v </w:t>
      </w:r>
      <w:r w:rsidR="004D07F2">
        <w:rPr>
          <w:lang w:val="sl"/>
        </w:rPr>
        <w:t>družbi</w:t>
      </w:r>
      <w:r>
        <w:rPr>
          <w:lang w:val="sl"/>
        </w:rPr>
        <w:t>, ki ji v obdobju med januarjem 2013 in septembrom 2014 ni izplačeval</w:t>
      </w:r>
      <w:r w:rsidR="0074689E">
        <w:rPr>
          <w:lang w:val="sl"/>
        </w:rPr>
        <w:t>a</w:t>
      </w:r>
      <w:r>
        <w:rPr>
          <w:lang w:val="sl"/>
        </w:rPr>
        <w:t xml:space="preserve"> plače in prispevkov.</w:t>
      </w:r>
    </w:p>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47</w:t>
      </w:r>
      <w:r>
        <w:rPr>
          <w:lang w:val="sl"/>
        </w:rPr>
        <w:fldChar w:fldCharType="end"/>
      </w:r>
      <w:r>
        <w:rPr>
          <w:lang w:val="sl"/>
        </w:rPr>
        <w:t xml:space="preserve">.  Nazadnje Sodišče v zvezi z vprašanjem, ali je bil glede na finančno stanje </w:t>
      </w:r>
      <w:r w:rsidR="004D07F2">
        <w:rPr>
          <w:lang w:val="sl"/>
        </w:rPr>
        <w:t>družbe</w:t>
      </w:r>
      <w:r>
        <w:rPr>
          <w:lang w:val="sl"/>
        </w:rPr>
        <w:t xml:space="preserve"> začetek stečajnega postopka upravičen, ugotavlja, da so domača sodišča insolventnost </w:t>
      </w:r>
      <w:r w:rsidR="004D07F2">
        <w:rPr>
          <w:lang w:val="sl"/>
        </w:rPr>
        <w:t>družbe</w:t>
      </w:r>
      <w:r>
        <w:rPr>
          <w:lang w:val="sl"/>
        </w:rPr>
        <w:t xml:space="preserve"> ugotovila na podlagi neizpodbojne domneve o trajnejši nelikvidnosti v skladu s četrtim odstavkom 14. člena zakona o insolventnosti (glej odstavek </w:t>
      </w:r>
      <w:r>
        <w:rPr>
          <w:lang w:val="sl"/>
        </w:rPr>
        <w:fldChar w:fldCharType="begin"/>
      </w:r>
      <w:r>
        <w:rPr>
          <w:lang w:val="sl"/>
        </w:rPr>
        <w:instrText xml:space="preserve"> REF insolvencyact \h </w:instrText>
      </w:r>
      <w:r>
        <w:rPr>
          <w:lang w:val="sl"/>
        </w:rPr>
      </w:r>
      <w:r>
        <w:rPr>
          <w:lang w:val="sl"/>
        </w:rPr>
        <w:fldChar w:fldCharType="separate"/>
      </w:r>
      <w:r>
        <w:rPr>
          <w:noProof/>
          <w:lang w:val="sl"/>
        </w:rPr>
        <w:t>23</w:t>
      </w:r>
      <w:r>
        <w:rPr>
          <w:lang w:val="sl"/>
        </w:rPr>
        <w:fldChar w:fldCharType="end"/>
      </w:r>
      <w:r>
        <w:rPr>
          <w:lang w:val="sl"/>
        </w:rPr>
        <w:t xml:space="preserve"> zgoraj) in ne na podlagi vrednosti sredstev </w:t>
      </w:r>
      <w:r w:rsidR="004D07F2">
        <w:rPr>
          <w:lang w:val="sl"/>
        </w:rPr>
        <w:t>družbe</w:t>
      </w:r>
      <w:r>
        <w:rPr>
          <w:lang w:val="sl"/>
        </w:rPr>
        <w:t>. Kljub temu pa Sodišče ne more zanemariti dejstva, da je imel</w:t>
      </w:r>
      <w:r w:rsidR="004D07F2">
        <w:rPr>
          <w:lang w:val="sl"/>
        </w:rPr>
        <w:t>a družba</w:t>
      </w:r>
      <w:r>
        <w:rPr>
          <w:lang w:val="sl"/>
        </w:rPr>
        <w:t xml:space="preserve"> po otvoritveni bilanci stanja </w:t>
      </w:r>
      <w:r w:rsidR="004D07F2">
        <w:rPr>
          <w:lang w:val="sl"/>
        </w:rPr>
        <w:t>družbe</w:t>
      </w:r>
      <w:r>
        <w:rPr>
          <w:lang w:val="sl"/>
        </w:rPr>
        <w:t xml:space="preserve"> z 29. decembra 2014 veliko več obveznosti kot sredstev. Poleg tega je </w:t>
      </w:r>
      <w:r w:rsidR="004D07F2">
        <w:rPr>
          <w:lang w:val="sl"/>
        </w:rPr>
        <w:t>družba</w:t>
      </w:r>
      <w:r>
        <w:rPr>
          <w:lang w:val="sl"/>
        </w:rPr>
        <w:t xml:space="preserve"> z izgubo deloval</w:t>
      </w:r>
      <w:r w:rsidR="004D07F2">
        <w:rPr>
          <w:lang w:val="sl"/>
        </w:rPr>
        <w:t>a</w:t>
      </w:r>
      <w:r>
        <w:rPr>
          <w:lang w:val="sl"/>
        </w:rPr>
        <w:t xml:space="preserve"> že leto pred začetkom stečajnega postopka. Nje</w:t>
      </w:r>
      <w:r w:rsidR="004D07F2">
        <w:rPr>
          <w:lang w:val="sl"/>
        </w:rPr>
        <w:t>ni</w:t>
      </w:r>
      <w:r>
        <w:rPr>
          <w:lang w:val="sl"/>
        </w:rPr>
        <w:t xml:space="preserve"> bančni računi so bili zamrznjeni, glavni naložbeni projekt pa je bil predmet zastavne pravice. V spisu ni navedeno nič, kar bi nakazovalo na to, da bi lahko M. B. uspešno pridobila plačilo svojega dolga v okviru izvršilnih postopkov ali da bi lahko izkoristila kakršen koli drug primeren ali učinkovit ukrep (prim. in vzporejaj </w:t>
      </w:r>
      <w:r>
        <w:rPr>
          <w:i/>
          <w:iCs/>
          <w:lang w:val="sl"/>
        </w:rPr>
        <w:t>Vaskrsić proti Sloveniji</w:t>
      </w:r>
      <w:r>
        <w:rPr>
          <w:lang w:val="sl"/>
        </w:rPr>
        <w:t>, št. 31371/12, odstavki 81 in 83–86, 25. april 2017).</w:t>
      </w:r>
    </w:p>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48</w:t>
      </w:r>
      <w:r>
        <w:rPr>
          <w:lang w:val="sl"/>
        </w:rPr>
        <w:fldChar w:fldCharType="end"/>
      </w:r>
      <w:r>
        <w:rPr>
          <w:lang w:val="sl"/>
        </w:rPr>
        <w:t xml:space="preserve">.  Prav tako Sodišče ne more zanemariti dejstva, da sta pritožnika sama priznala, da </w:t>
      </w:r>
      <w:r w:rsidR="004D07F2">
        <w:rPr>
          <w:lang w:val="sl"/>
        </w:rPr>
        <w:t>družba</w:t>
      </w:r>
      <w:r>
        <w:rPr>
          <w:lang w:val="sl"/>
        </w:rPr>
        <w:t xml:space="preserve"> v tem obdobju ni bil</w:t>
      </w:r>
      <w:r w:rsidR="004D07F2">
        <w:rPr>
          <w:lang w:val="sl"/>
        </w:rPr>
        <w:t>a</w:t>
      </w:r>
      <w:r>
        <w:rPr>
          <w:lang w:val="sl"/>
        </w:rPr>
        <w:t xml:space="preserve"> sposobn</w:t>
      </w:r>
      <w:r w:rsidR="004D07F2">
        <w:rPr>
          <w:lang w:val="sl"/>
        </w:rPr>
        <w:t>a</w:t>
      </w:r>
      <w:r>
        <w:rPr>
          <w:lang w:val="sl"/>
        </w:rPr>
        <w:t xml:space="preserve"> poravnati terjatve M. B. (glej odstavek </w:t>
      </w:r>
      <w:r>
        <w:rPr>
          <w:lang w:val="sl"/>
        </w:rPr>
        <w:fldChar w:fldCharType="begin"/>
      </w:r>
      <w:r>
        <w:rPr>
          <w:lang w:val="sl"/>
        </w:rPr>
        <w:instrText xml:space="preserve"> REF APPilliquidityrestructuring \h </w:instrText>
      </w:r>
      <w:r>
        <w:rPr>
          <w:lang w:val="sl"/>
        </w:rPr>
      </w:r>
      <w:r>
        <w:rPr>
          <w:lang w:val="sl"/>
        </w:rPr>
        <w:fldChar w:fldCharType="separate"/>
      </w:r>
      <w:r>
        <w:rPr>
          <w:noProof/>
          <w:lang w:val="sl"/>
        </w:rPr>
        <w:t>40</w:t>
      </w:r>
      <w:r>
        <w:rPr>
          <w:lang w:val="sl"/>
        </w:rPr>
        <w:fldChar w:fldCharType="end"/>
      </w:r>
      <w:r>
        <w:rPr>
          <w:lang w:val="sl"/>
        </w:rPr>
        <w:t xml:space="preserve"> zgoraj) in da M. B. ni bila edina, ki je vložila predlog za začetek stečajnega postopka, saj je kmalu za njo tako ravnal tudi velik upnik (DUTB), katerega terjatve tudi niso bile poravnane (glej odstavek </w:t>
      </w:r>
      <w:r>
        <w:rPr>
          <w:lang w:val="sl"/>
        </w:rPr>
        <w:fldChar w:fldCharType="begin"/>
      </w:r>
      <w:r>
        <w:rPr>
          <w:lang w:val="sl"/>
        </w:rPr>
        <w:instrText xml:space="preserve"> REF BAMCapplication \h </w:instrText>
      </w:r>
      <w:r>
        <w:rPr>
          <w:lang w:val="sl"/>
        </w:rPr>
      </w:r>
      <w:r>
        <w:rPr>
          <w:lang w:val="sl"/>
        </w:rPr>
        <w:fldChar w:fldCharType="separate"/>
      </w:r>
      <w:r>
        <w:rPr>
          <w:noProof/>
          <w:lang w:val="sl"/>
        </w:rPr>
        <w:t>8</w:t>
      </w:r>
      <w:r>
        <w:rPr>
          <w:lang w:val="sl"/>
        </w:rPr>
        <w:fldChar w:fldCharType="end"/>
      </w:r>
      <w:r>
        <w:rPr>
          <w:lang w:val="sl"/>
        </w:rPr>
        <w:t xml:space="preserve"> zgoraj). Poleg tega Sodišče ugotavlja, da niti pritožnika niti </w:t>
      </w:r>
      <w:r w:rsidR="004D07F2">
        <w:rPr>
          <w:lang w:val="sl"/>
        </w:rPr>
        <w:t>družba</w:t>
      </w:r>
      <w:r>
        <w:rPr>
          <w:lang w:val="sl"/>
        </w:rPr>
        <w:t xml:space="preserve"> niso izkoristili možnosti za preprečitev stečajnega postopka, ki so jim bile na voljo, predvsem zahteve za odložitev odločanja, čeprav so bili z ustreznimi sklepi seznanjeni in pozvani, naj izkoristijo tovrstna sredstva (glej odstavek </w:t>
      </w:r>
      <w:r>
        <w:rPr>
          <w:lang w:val="sl"/>
        </w:rPr>
        <w:fldChar w:fldCharType="begin"/>
      </w:r>
      <w:r>
        <w:rPr>
          <w:lang w:val="sl"/>
        </w:rPr>
        <w:instrText xml:space="preserve"> REF notificationtodebtor \h </w:instrText>
      </w:r>
      <w:r>
        <w:rPr>
          <w:lang w:val="sl"/>
        </w:rPr>
      </w:r>
      <w:r>
        <w:rPr>
          <w:lang w:val="sl"/>
        </w:rPr>
        <w:fldChar w:fldCharType="separate"/>
      </w:r>
      <w:r>
        <w:rPr>
          <w:noProof/>
          <w:lang w:val="sl"/>
        </w:rPr>
        <w:t>7</w:t>
      </w:r>
      <w:r>
        <w:rPr>
          <w:lang w:val="sl"/>
        </w:rPr>
        <w:fldChar w:fldCharType="end"/>
      </w:r>
      <w:r>
        <w:rPr>
          <w:lang w:val="sl"/>
        </w:rPr>
        <w:t xml:space="preserve"> zgoraj). S tem v zvezi Sodišče ugotavlja, da so bile navedbe na Okrožnem sodišču v Novi Gorici o vrednosti sredstev </w:t>
      </w:r>
      <w:r w:rsidR="004D07F2">
        <w:rPr>
          <w:lang w:val="sl"/>
        </w:rPr>
        <w:t>družbe</w:t>
      </w:r>
      <w:r>
        <w:rPr>
          <w:lang w:val="sl"/>
        </w:rPr>
        <w:t xml:space="preserve"> in finančnih ukrepih podane prepozno in v vsakem primeru zavrnjene kot neutemeljene (glej odstavke </w:t>
      </w:r>
      <w:r>
        <w:rPr>
          <w:lang w:val="sl"/>
        </w:rPr>
        <w:fldChar w:fldCharType="begin"/>
      </w:r>
      <w:r>
        <w:rPr>
          <w:lang w:val="sl"/>
        </w:rPr>
        <w:instrText xml:space="preserve"> REF hearing \h </w:instrText>
      </w:r>
      <w:r>
        <w:rPr>
          <w:lang w:val="sl"/>
        </w:rPr>
      </w:r>
      <w:r>
        <w:rPr>
          <w:lang w:val="sl"/>
        </w:rPr>
        <w:fldChar w:fldCharType="separate"/>
      </w:r>
      <w:r>
        <w:rPr>
          <w:noProof/>
          <w:lang w:val="sl"/>
        </w:rPr>
        <w:t>10</w:t>
      </w:r>
      <w:r>
        <w:rPr>
          <w:lang w:val="sl"/>
        </w:rPr>
        <w:fldChar w:fldCharType="end"/>
      </w:r>
      <w:r>
        <w:rPr>
          <w:lang w:val="sl"/>
        </w:rPr>
        <w:t>–</w:t>
      </w:r>
      <w:r>
        <w:rPr>
          <w:lang w:val="sl"/>
        </w:rPr>
        <w:fldChar w:fldCharType="begin"/>
      </w:r>
      <w:r>
        <w:rPr>
          <w:lang w:val="sl"/>
        </w:rPr>
        <w:instrText xml:space="preserve"> REF NGcourtdecision2 \h </w:instrText>
      </w:r>
      <w:r>
        <w:rPr>
          <w:lang w:val="sl"/>
        </w:rPr>
      </w:r>
      <w:r>
        <w:rPr>
          <w:lang w:val="sl"/>
        </w:rPr>
        <w:fldChar w:fldCharType="separate"/>
      </w:r>
      <w:r>
        <w:rPr>
          <w:noProof/>
          <w:lang w:val="sl"/>
        </w:rPr>
        <w:t>12</w:t>
      </w:r>
      <w:r>
        <w:rPr>
          <w:lang w:val="sl"/>
        </w:rPr>
        <w:fldChar w:fldCharType="end"/>
      </w:r>
      <w:r>
        <w:rPr>
          <w:lang w:val="sl"/>
        </w:rPr>
        <w:t xml:space="preserve"> zgoraj). Trditev pritožnikov, da je bila vrednost sredstev </w:t>
      </w:r>
      <w:r>
        <w:rPr>
          <w:lang w:val="sl"/>
        </w:rPr>
        <w:lastRenderedPageBreak/>
        <w:t>podjetij večja od njegovih dolgov in da je bil izpodbijan ukrep nesorazmeren, je tako neutemeljena.</w:t>
      </w:r>
    </w:p>
    <w:p w:rsidR="00EA4390" w:rsidRPr="006636B4" w:rsidRDefault="00EA4390" w:rsidP="00F00C8E">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49</w:t>
      </w:r>
      <w:r>
        <w:rPr>
          <w:lang w:val="sl"/>
        </w:rPr>
        <w:fldChar w:fldCharType="end"/>
      </w:r>
      <w:r>
        <w:rPr>
          <w:lang w:val="sl"/>
        </w:rPr>
        <w:t xml:space="preserve">.  Ob upoštevanju vsega navedenega in poudarku, da uživajo državni organi na področju ekonomskih politik široko polje proste presoje (glej, smiselna uporaba, </w:t>
      </w:r>
      <w:r>
        <w:rPr>
          <w:i/>
          <w:iCs/>
          <w:lang w:val="sl"/>
        </w:rPr>
        <w:t>Acar in drugi proti Turčiji</w:t>
      </w:r>
      <w:r>
        <w:rPr>
          <w:lang w:val="sl"/>
        </w:rPr>
        <w:t xml:space="preserve"> (sklep), št. 26878/07 in 32446/07, odstavek 33, 12. december 2017), Sodišče ugotavlja, da sklep o začetku stečajnega postopka zoper </w:t>
      </w:r>
      <w:r w:rsidR="004D07F2">
        <w:rPr>
          <w:lang w:val="sl"/>
        </w:rPr>
        <w:t>družbo</w:t>
      </w:r>
      <w:r>
        <w:rPr>
          <w:lang w:val="sl"/>
        </w:rPr>
        <w:t xml:space="preserve"> ES za pritožnika ne pomeni individualnega in </w:t>
      </w:r>
      <w:r w:rsidR="008C3408">
        <w:rPr>
          <w:lang w:val="sl"/>
        </w:rPr>
        <w:t>prekomernega</w:t>
      </w:r>
      <w:r>
        <w:rPr>
          <w:lang w:val="sl"/>
        </w:rPr>
        <w:t xml:space="preserve"> bremena. Tako za sodišča ni mogoče trditi, da niso izpolnila svoje dolžnosti vzpostavljanja pravičnega ravno</w:t>
      </w:r>
      <w:r w:rsidR="0074689E">
        <w:rPr>
          <w:lang w:val="sl"/>
        </w:rPr>
        <w:t>vesja</w:t>
      </w:r>
      <w:r>
        <w:rPr>
          <w:lang w:val="sl"/>
        </w:rPr>
        <w:t xml:space="preserve"> med lastniškimi interesi pritožnikov in splošnimi interesi skupnosti.</w:t>
      </w:r>
    </w:p>
    <w:p w:rsidR="00EA4390" w:rsidRPr="006636B4" w:rsidRDefault="00EA4390" w:rsidP="00F00C8E">
      <w:pPr>
        <w:pStyle w:val="JuPara"/>
        <w:rPr>
          <w:lang w:val="sl"/>
        </w:rPr>
      </w:pPr>
      <w:r>
        <w:rPr>
          <w:lang w:val="sl"/>
        </w:rPr>
        <w:t>Torej je pritožba v smislu tretjega odstavka 35. člena konvencije očitno neutemeljena in jo je treba zavrniti v skladu s četrtim odstavkom 35. člena konvencije.</w:t>
      </w:r>
    </w:p>
    <w:p w:rsidR="00EA4390" w:rsidRPr="006636B4" w:rsidRDefault="00EA4390" w:rsidP="00F00C8E">
      <w:pPr>
        <w:pStyle w:val="JuParaLast"/>
        <w:rPr>
          <w:lang w:val="sl"/>
        </w:rPr>
      </w:pPr>
      <w:r>
        <w:rPr>
          <w:lang w:val="sl"/>
        </w:rPr>
        <w:t>Iz teh razlogov Sodišče soglasno</w:t>
      </w:r>
    </w:p>
    <w:p w:rsidR="00EA4390" w:rsidRPr="006636B4" w:rsidRDefault="00EA4390" w:rsidP="00F00C8E">
      <w:pPr>
        <w:pStyle w:val="DecList"/>
        <w:rPr>
          <w:lang w:val="sl"/>
        </w:rPr>
      </w:pPr>
      <w:r>
        <w:rPr>
          <w:i/>
          <w:iCs/>
          <w:lang w:val="sl"/>
        </w:rPr>
        <w:t>razglaša,</w:t>
      </w:r>
      <w:r>
        <w:rPr>
          <w:lang w:val="sl"/>
        </w:rPr>
        <w:t xml:space="preserve"> da je pritožba nesprejemljiva.</w:t>
      </w:r>
    </w:p>
    <w:p w:rsidR="00BD1692" w:rsidRPr="006636B4" w:rsidRDefault="006267D3" w:rsidP="00F00C8E">
      <w:pPr>
        <w:pStyle w:val="JuParaLast"/>
        <w:rPr>
          <w:sz w:val="14"/>
          <w:lang w:val="sl"/>
        </w:rPr>
      </w:pPr>
      <w:r>
        <w:rPr>
          <w:lang w:val="sl"/>
        </w:rPr>
        <w:t>Sestavljeno v angleškem jeziku in poslano v pisni obliki 26. novembra 2020.</w:t>
      </w:r>
    </w:p>
    <w:p w:rsidR="00616EFD" w:rsidRPr="006636B4" w:rsidRDefault="007907C0" w:rsidP="00F00C8E">
      <w:pPr>
        <w:pStyle w:val="JuSigned"/>
        <w:tabs>
          <w:tab w:val="clear" w:pos="851"/>
          <w:tab w:val="clear" w:pos="6407"/>
          <w:tab w:val="center" w:pos="1134"/>
          <w:tab w:val="center" w:pos="5812"/>
        </w:tabs>
        <w:rPr>
          <w:lang w:val="sl"/>
        </w:rPr>
      </w:pPr>
      <w:r>
        <w:rPr>
          <w:lang w:val="sl"/>
        </w:rPr>
        <w:tab/>
        <w:t>Hasan Bakırcı</w:t>
      </w:r>
      <w:r>
        <w:rPr>
          <w:lang w:val="sl"/>
        </w:rPr>
        <w:tab/>
        <w:t>Valeriu Griţco</w:t>
      </w:r>
      <w:r>
        <w:rPr>
          <w:lang w:val="sl"/>
        </w:rPr>
        <w:br/>
      </w:r>
      <w:r>
        <w:rPr>
          <w:lang w:val="sl"/>
        </w:rPr>
        <w:tab/>
        <w:t>namestnik sodnega tajnika</w:t>
      </w:r>
      <w:r>
        <w:rPr>
          <w:lang w:val="sl"/>
        </w:rPr>
        <w:tab/>
        <w:t>predsednik</w:t>
      </w:r>
    </w:p>
    <w:p w:rsidR="00616EFD" w:rsidRPr="006636B4" w:rsidRDefault="00616EFD" w:rsidP="00F00C8E">
      <w:pPr>
        <w:pStyle w:val="JuPara"/>
        <w:rPr>
          <w:lang w:val="sl"/>
        </w:rPr>
      </w:pPr>
    </w:p>
    <w:sectPr w:rsidR="00616EFD" w:rsidRPr="006636B4" w:rsidSect="00616EFD">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16EFD" w:rsidRPr="007907C0" w:rsidRDefault="00616EFD">
      <w:r>
        <w:separator/>
      </w:r>
    </w:p>
  </w:endnote>
  <w:endnote w:type="continuationSeparator" w:id="0">
    <w:p w:rsidR="00616EFD" w:rsidRPr="007907C0" w:rsidRDefault="00616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EFD" w:rsidRPr="007907C0" w:rsidRDefault="00616EFD"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Pr>
        <w:rStyle w:val="tevilkastrani"/>
        <w:noProof/>
        <w:lang w:val="sl"/>
      </w:rPr>
      <w:t>12</w:t>
    </w:r>
    <w:r>
      <w:rPr>
        <w:rStyle w:val="tevilkastrani"/>
        <w:lang w:val="s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EFD" w:rsidRPr="007907C0" w:rsidRDefault="00616EFD"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Pr>
        <w:rStyle w:val="tevilkastrani"/>
        <w:noProof/>
        <w:lang w:val="sl"/>
      </w:rPr>
      <w:t>13</w:t>
    </w:r>
    <w:r>
      <w:rPr>
        <w:rStyle w:val="tevilkastrani"/>
        <w:lang w:val="s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EFD" w:rsidRPr="00150BFA" w:rsidRDefault="00616EFD" w:rsidP="00616EFD">
    <w:pPr>
      <w:jc w:val="center"/>
    </w:pPr>
    <w:r>
      <w:rPr>
        <w:noProof/>
        <w:lang w:val="sl-SI" w:eastAsia="sl-SI"/>
      </w:rPr>
      <w:drawing>
        <wp:inline distT="0" distB="0" distL="0" distR="0" wp14:anchorId="7CA69BA0" wp14:editId="1EAD44D5">
          <wp:extent cx="771525" cy="619125"/>
          <wp:effectExtent l="0" t="0" r="9525" b="9525"/>
          <wp:docPr id="39" name="Picture 39"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616EFD" w:rsidRPr="007907C0" w:rsidRDefault="00616EFD" w:rsidP="00616EFD">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16EFD" w:rsidRPr="007907C0" w:rsidRDefault="00616EFD">
      <w:r>
        <w:separator/>
      </w:r>
    </w:p>
  </w:footnote>
  <w:footnote w:type="continuationSeparator" w:id="0">
    <w:p w:rsidR="00616EFD" w:rsidRPr="007907C0" w:rsidRDefault="00616E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EFD" w:rsidRPr="000907AD" w:rsidRDefault="00616EFD" w:rsidP="00616EFD">
    <w:pPr>
      <w:pStyle w:val="JuHeader"/>
      <w:rPr>
        <w:lang w:val="it-IT"/>
      </w:rPr>
    </w:pPr>
    <w:r>
      <w:rPr>
        <w:lang w:val="sl"/>
      </w:rPr>
      <w:t>ŽIGON IN KEBER proti SLOVENIJI, SKLEP</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EFD" w:rsidRPr="000907AD" w:rsidRDefault="00616EFD" w:rsidP="000D61E7">
    <w:pPr>
      <w:pStyle w:val="JuHeader"/>
      <w:rPr>
        <w:lang w:val="it-IT"/>
      </w:rPr>
    </w:pPr>
    <w:r>
      <w:rPr>
        <w:lang w:val="sl"/>
      </w:rPr>
      <w:t>ŽIGON IN KEBER proti SLOVENIJI, SKLEP</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EFD" w:rsidRPr="00A45145" w:rsidRDefault="00616EFD" w:rsidP="00616EFD">
    <w:pPr>
      <w:jc w:val="center"/>
    </w:pPr>
    <w:r>
      <w:rPr>
        <w:noProof/>
        <w:lang w:val="sl-SI" w:eastAsia="sl-SI"/>
      </w:rPr>
      <w:drawing>
        <wp:inline distT="0" distB="0" distL="0" distR="0" wp14:anchorId="0FDB5AF9" wp14:editId="6D3DC969">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616EFD" w:rsidRPr="007907C0" w:rsidRDefault="00616EFD" w:rsidP="00616EFD">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670191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Otevilenseznam"/>
      <w:lvlText w:val="%1."/>
      <w:lvlJc w:val="left"/>
      <w:pPr>
        <w:tabs>
          <w:tab w:val="num" w:pos="360"/>
        </w:tabs>
        <w:ind w:left="360" w:hanging="360"/>
      </w:pPr>
    </w:lvl>
  </w:abstractNum>
  <w:abstractNum w:abstractNumId="9" w15:restartNumberingAfterBreak="0">
    <w:nsid w:val="0C0F5BFC"/>
    <w:multiLevelType w:val="multilevel"/>
    <w:tmpl w:val="470E4448"/>
    <w:lvl w:ilvl="0">
      <w:start w:val="1"/>
      <w:numFmt w:val="none"/>
      <w:pStyle w:val="JuHHead"/>
      <w:suff w:val="nothing"/>
      <w:lvlText w:val="%1"/>
      <w:lvlJc w:val="left"/>
      <w:pPr>
        <w:ind w:left="0" w:firstLine="0"/>
      </w:pPr>
      <w:rPr>
        <w:rFonts w:hint="default"/>
      </w:rPr>
    </w:lvl>
    <w:lvl w:ilvl="1">
      <w:start w:val="1"/>
      <w:numFmt w:val="upperRoman"/>
      <w:pStyle w:val="JuHIRoman"/>
      <w:suff w:val="space"/>
      <w:lvlText w:val="%2."/>
      <w:lvlJc w:val="left"/>
      <w:pPr>
        <w:ind w:left="357" w:hanging="357"/>
      </w:pPr>
      <w:rPr>
        <w:rFonts w:hint="default"/>
      </w:rPr>
    </w:lvl>
    <w:lvl w:ilvl="2">
      <w:start w:val="1"/>
      <w:numFmt w:val="upperLetter"/>
      <w:pStyle w:val="JuHA"/>
      <w:lvlText w:val="%3."/>
      <w:lvlJc w:val="left"/>
      <w:pPr>
        <w:ind w:left="584" w:hanging="352"/>
      </w:pPr>
      <w:rPr>
        <w:rFonts w:hint="default"/>
      </w:rPr>
    </w:lvl>
    <w:lvl w:ilvl="3">
      <w:start w:val="1"/>
      <w:numFmt w:val="decimal"/>
      <w:pStyle w:val="JuH1"/>
      <w:lvlText w:val="%4."/>
      <w:lvlJc w:val="left"/>
      <w:pPr>
        <w:ind w:left="731" w:hanging="300"/>
      </w:pPr>
      <w:rPr>
        <w:rFonts w:hint="default"/>
      </w:rPr>
    </w:lvl>
    <w:lvl w:ilvl="4">
      <w:start w:val="1"/>
      <w:numFmt w:val="lowerLetter"/>
      <w:pStyle w:val="JuHa0"/>
      <w:lvlText w:val="(%5)"/>
      <w:lvlJc w:val="left"/>
      <w:pPr>
        <w:ind w:left="975" w:hanging="340"/>
      </w:pPr>
      <w:rPr>
        <w:rFonts w:hint="default"/>
      </w:rPr>
    </w:lvl>
    <w:lvl w:ilvl="5">
      <w:start w:val="1"/>
      <w:numFmt w:val="lowerRoman"/>
      <w:pStyle w:val="JuHi"/>
      <w:suff w:val="space"/>
      <w:lvlText w:val="(%6)"/>
      <w:lvlJc w:val="left"/>
      <w:pPr>
        <w:ind w:left="1191" w:hanging="358"/>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372" w:hanging="334"/>
      </w:pPr>
      <w:rPr>
        <w:rFonts w:asciiTheme="minorHAnsi" w:hAnsiTheme="minorHAnsi" w:hint="default"/>
        <w:b w:val="0"/>
        <w:i w:val="0"/>
      </w:rPr>
    </w:lvl>
    <w:lvl w:ilvl="7">
      <w:start w:val="1"/>
      <w:numFmt w:val="bullet"/>
      <w:pStyle w:val="JuH"/>
      <w:lvlText w:val="‒"/>
      <w:lvlJc w:val="left"/>
      <w:pPr>
        <w:ind w:left="1418" w:hanging="227"/>
      </w:pPr>
      <w:rPr>
        <w:rFonts w:ascii="Times New Roman" w:hAnsi="Times New Roman" w:cs="Times New Roman" w:hint="default"/>
        <w:color w:val="auto"/>
      </w:rPr>
    </w:lvl>
    <w:lvl w:ilvl="8">
      <w:start w:val="1"/>
      <w:numFmt w:val="bullet"/>
      <w:pStyle w:val="ECHRHeading9"/>
      <w:lvlText w:val="▪"/>
      <w:lvlJc w:val="left"/>
      <w:pPr>
        <w:ind w:left="1644" w:hanging="226"/>
      </w:pPr>
      <w:rPr>
        <w:rFonts w:ascii="Times New Roman" w:hAnsi="Times New Roman" w:cs="Times New Roman" w:hint="default"/>
        <w:color w:val="auto"/>
      </w:rPr>
    </w:lvl>
  </w:abstractNum>
  <w:abstractNum w:abstractNumId="10" w15:restartNumberingAfterBreak="0">
    <w:nsid w:val="1AA96CEA"/>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7D5546B"/>
    <w:multiLevelType w:val="multilevel"/>
    <w:tmpl w:val="C8FE6436"/>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5"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6"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num w:numId="1">
    <w:abstractNumId w:val="9"/>
  </w:num>
  <w:num w:numId="2">
    <w:abstractNumId w:val="9"/>
  </w:num>
  <w:num w:numId="3">
    <w:abstractNumId w:val="13"/>
  </w:num>
  <w:num w:numId="4">
    <w:abstractNumId w:val="11"/>
  </w:num>
  <w:num w:numId="5">
    <w:abstractNumId w:val="10"/>
  </w:num>
  <w:num w:numId="6">
    <w:abstractNumId w:val="14"/>
  </w:num>
  <w:num w:numId="7">
    <w:abstractNumId w:val="12"/>
  </w:num>
  <w:num w:numId="8">
    <w:abstractNumId w:val="15"/>
  </w:num>
  <w:num w:numId="9">
    <w:abstractNumId w:val="16"/>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hdrShapeDefaults>
    <o:shapedefaults v:ext="edit" spidmax="26625"/>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plicationsApp" w:val="1"/>
    <w:docVar w:name="EMM" w:val="0"/>
    <w:docVar w:name="NBEMMDOC" w:val="0"/>
  </w:docVars>
  <w:rsids>
    <w:rsidRoot w:val="00EA4390"/>
    <w:rsid w:val="000907AD"/>
    <w:rsid w:val="00095FD8"/>
    <w:rsid w:val="000B1FA9"/>
    <w:rsid w:val="000D61E7"/>
    <w:rsid w:val="000E3A89"/>
    <w:rsid w:val="001236CC"/>
    <w:rsid w:val="00132029"/>
    <w:rsid w:val="001D1233"/>
    <w:rsid w:val="001D7FDC"/>
    <w:rsid w:val="00223591"/>
    <w:rsid w:val="002A7443"/>
    <w:rsid w:val="003B50D7"/>
    <w:rsid w:val="003E3C60"/>
    <w:rsid w:val="004367EC"/>
    <w:rsid w:val="00452087"/>
    <w:rsid w:val="00464268"/>
    <w:rsid w:val="004A4C71"/>
    <w:rsid w:val="004B4E73"/>
    <w:rsid w:val="004D07F2"/>
    <w:rsid w:val="005260BC"/>
    <w:rsid w:val="005E56C2"/>
    <w:rsid w:val="005F11CB"/>
    <w:rsid w:val="00616EFD"/>
    <w:rsid w:val="006267D3"/>
    <w:rsid w:val="00626D76"/>
    <w:rsid w:val="006300E9"/>
    <w:rsid w:val="00653EF4"/>
    <w:rsid w:val="00656B81"/>
    <w:rsid w:val="006636B4"/>
    <w:rsid w:val="006D4D63"/>
    <w:rsid w:val="006E123B"/>
    <w:rsid w:val="0074689E"/>
    <w:rsid w:val="007907C0"/>
    <w:rsid w:val="007A5FD3"/>
    <w:rsid w:val="007B2364"/>
    <w:rsid w:val="007E06BA"/>
    <w:rsid w:val="00812D10"/>
    <w:rsid w:val="008C3408"/>
    <w:rsid w:val="008D10E4"/>
    <w:rsid w:val="008F0A92"/>
    <w:rsid w:val="008F7189"/>
    <w:rsid w:val="00956B2A"/>
    <w:rsid w:val="0096293E"/>
    <w:rsid w:val="009656DE"/>
    <w:rsid w:val="009755E3"/>
    <w:rsid w:val="009B6F49"/>
    <w:rsid w:val="009C21E8"/>
    <w:rsid w:val="009E01FB"/>
    <w:rsid w:val="009F438D"/>
    <w:rsid w:val="00A35B03"/>
    <w:rsid w:val="00AA5AEE"/>
    <w:rsid w:val="00AC58E5"/>
    <w:rsid w:val="00B13C94"/>
    <w:rsid w:val="00B140D3"/>
    <w:rsid w:val="00BD1692"/>
    <w:rsid w:val="00BF7F46"/>
    <w:rsid w:val="00C42C12"/>
    <w:rsid w:val="00D415D6"/>
    <w:rsid w:val="00D84260"/>
    <w:rsid w:val="00DB6354"/>
    <w:rsid w:val="00E5464B"/>
    <w:rsid w:val="00EA4390"/>
    <w:rsid w:val="00EC48A5"/>
    <w:rsid w:val="00EE38CA"/>
    <w:rsid w:val="00EF767C"/>
    <w:rsid w:val="00F00C8E"/>
    <w:rsid w:val="00F24A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semiHidden/>
    <w:rsid w:val="00EC48A5"/>
    <w:rPr>
      <w:sz w:val="24"/>
      <w:szCs w:val="24"/>
      <w:lang w:val="en-GB"/>
    </w:rPr>
  </w:style>
  <w:style w:type="paragraph" w:styleId="Naslov1">
    <w:name w:val="heading 1"/>
    <w:basedOn w:val="Navaden"/>
    <w:next w:val="Navaden"/>
    <w:link w:val="Naslov1Znak"/>
    <w:uiPriority w:val="98"/>
    <w:semiHidden/>
    <w:rsid w:val="00EC48A5"/>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8"/>
    <w:semiHidden/>
    <w:rsid w:val="00EC48A5"/>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8"/>
    <w:semiHidden/>
    <w:rsid w:val="00EC48A5"/>
    <w:pPr>
      <w:spacing w:before="200" w:line="271" w:lineRule="auto"/>
      <w:outlineLvl w:val="2"/>
    </w:pPr>
    <w:rPr>
      <w:rFonts w:asciiTheme="majorHAnsi" w:eastAsiaTheme="majorEastAsia" w:hAnsiTheme="majorHAnsi" w:cstheme="majorBidi"/>
      <w:b/>
      <w:bCs/>
      <w:color w:val="5F5F5F"/>
      <w:sz w:val="22"/>
      <w:szCs w:val="22"/>
    </w:rPr>
  </w:style>
  <w:style w:type="paragraph" w:styleId="Naslov4">
    <w:name w:val="heading 4"/>
    <w:basedOn w:val="Navaden"/>
    <w:next w:val="Navaden"/>
    <w:link w:val="Naslov4Znak"/>
    <w:uiPriority w:val="98"/>
    <w:semiHidden/>
    <w:rsid w:val="00EC48A5"/>
    <w:pPr>
      <w:spacing w:before="200"/>
      <w:outlineLvl w:val="3"/>
    </w:pPr>
    <w:rPr>
      <w:rFonts w:asciiTheme="majorHAnsi" w:eastAsiaTheme="majorEastAsia" w:hAnsiTheme="majorHAnsi" w:cstheme="majorBidi"/>
      <w:b/>
      <w:bCs/>
      <w:i/>
      <w:iCs/>
      <w:color w:val="777777"/>
      <w:sz w:val="22"/>
      <w:szCs w:val="22"/>
    </w:rPr>
  </w:style>
  <w:style w:type="paragraph" w:styleId="Naslov5">
    <w:name w:val="heading 5"/>
    <w:basedOn w:val="Navaden"/>
    <w:next w:val="Navaden"/>
    <w:link w:val="Naslov5Znak"/>
    <w:uiPriority w:val="98"/>
    <w:semiHidden/>
    <w:qFormat/>
    <w:rsid w:val="00EC48A5"/>
    <w:pPr>
      <w:spacing w:before="200"/>
      <w:outlineLvl w:val="4"/>
    </w:pPr>
    <w:rPr>
      <w:rFonts w:asciiTheme="majorHAnsi" w:eastAsiaTheme="majorEastAsia" w:hAnsiTheme="majorHAnsi" w:cstheme="majorBidi"/>
      <w:b/>
      <w:bCs/>
      <w:color w:val="808080"/>
      <w:sz w:val="22"/>
      <w:szCs w:val="22"/>
    </w:rPr>
  </w:style>
  <w:style w:type="paragraph" w:styleId="Naslov6">
    <w:name w:val="heading 6"/>
    <w:basedOn w:val="Navaden"/>
    <w:next w:val="Navaden"/>
    <w:link w:val="Naslov6Znak"/>
    <w:uiPriority w:val="98"/>
    <w:semiHidden/>
    <w:rsid w:val="00EC48A5"/>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Naslov7">
    <w:name w:val="heading 7"/>
    <w:basedOn w:val="Navaden"/>
    <w:next w:val="Navaden"/>
    <w:link w:val="Naslov7Znak"/>
    <w:uiPriority w:val="98"/>
    <w:semiHidden/>
    <w:qFormat/>
    <w:rsid w:val="00EC48A5"/>
    <w:pPr>
      <w:outlineLvl w:val="6"/>
    </w:pPr>
    <w:rPr>
      <w:rFonts w:asciiTheme="majorHAnsi" w:eastAsiaTheme="majorEastAsia" w:hAnsiTheme="majorHAnsi" w:cstheme="majorBidi"/>
      <w:i/>
      <w:iCs/>
      <w:sz w:val="22"/>
      <w:szCs w:val="22"/>
      <w:lang w:bidi="en-US"/>
    </w:rPr>
  </w:style>
  <w:style w:type="paragraph" w:styleId="Naslov8">
    <w:name w:val="heading 8"/>
    <w:basedOn w:val="Navaden"/>
    <w:next w:val="Navaden"/>
    <w:link w:val="Naslov8Znak"/>
    <w:uiPriority w:val="98"/>
    <w:semiHidden/>
    <w:qFormat/>
    <w:rsid w:val="00EC48A5"/>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8"/>
    <w:semiHidden/>
    <w:qFormat/>
    <w:rsid w:val="00EC48A5"/>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aliases w:val="_Signature"/>
    <w:basedOn w:val="Navaden"/>
    <w:next w:val="JuPara"/>
    <w:uiPriority w:val="31"/>
    <w:qFormat/>
    <w:rsid w:val="00EC48A5"/>
    <w:pPr>
      <w:tabs>
        <w:tab w:val="center" w:pos="851"/>
        <w:tab w:val="center" w:pos="6407"/>
      </w:tabs>
      <w:spacing w:before="720"/>
    </w:pPr>
  </w:style>
  <w:style w:type="paragraph" w:customStyle="1" w:styleId="JuPara">
    <w:name w:val="Ju_Para"/>
    <w:aliases w:val="_Para"/>
    <w:basedOn w:val="NormalJustified"/>
    <w:link w:val="JuParaChar"/>
    <w:uiPriority w:val="4"/>
    <w:qFormat/>
    <w:rsid w:val="00EC48A5"/>
    <w:pPr>
      <w:ind w:firstLine="284"/>
    </w:pPr>
  </w:style>
  <w:style w:type="character" w:styleId="tevilkastrani">
    <w:name w:val="page number"/>
    <w:uiPriority w:val="98"/>
    <w:semiHidden/>
    <w:rsid w:val="00EC48A5"/>
    <w:rPr>
      <w:sz w:val="18"/>
    </w:rPr>
  </w:style>
  <w:style w:type="character" w:styleId="Pripombasklic">
    <w:name w:val="annotation reference"/>
    <w:basedOn w:val="Privzetapisavaodstavka"/>
    <w:uiPriority w:val="98"/>
    <w:semiHidden/>
    <w:rsid w:val="00EC48A5"/>
    <w:rPr>
      <w:sz w:val="16"/>
      <w:szCs w:val="16"/>
    </w:rPr>
  </w:style>
  <w:style w:type="paragraph" w:styleId="Pripombabesedilo">
    <w:name w:val="annotation text"/>
    <w:basedOn w:val="Navaden"/>
    <w:link w:val="PripombabesediloZnak"/>
    <w:uiPriority w:val="98"/>
    <w:semiHidden/>
    <w:rsid w:val="00EC48A5"/>
    <w:rPr>
      <w:sz w:val="20"/>
      <w:szCs w:val="20"/>
    </w:rPr>
  </w:style>
  <w:style w:type="character" w:customStyle="1" w:styleId="PripombabesediloZnak">
    <w:name w:val="Pripomba – besedilo Znak"/>
    <w:basedOn w:val="Privzetapisavaodstavka"/>
    <w:link w:val="Pripombabesedilo"/>
    <w:uiPriority w:val="98"/>
    <w:semiHidden/>
    <w:rsid w:val="00EC48A5"/>
    <w:rPr>
      <w:sz w:val="20"/>
      <w:szCs w:val="20"/>
      <w:lang w:val="en-GB"/>
    </w:rPr>
  </w:style>
  <w:style w:type="paragraph" w:customStyle="1" w:styleId="DecHTitle">
    <w:name w:val="Dec_H_Title"/>
    <w:aliases w:val="_Title_1"/>
    <w:basedOn w:val="JuPara"/>
    <w:next w:val="JuPara"/>
    <w:uiPriority w:val="38"/>
    <w:qFormat/>
    <w:rsid w:val="00EC48A5"/>
    <w:pPr>
      <w:keepNext/>
      <w:keepLines/>
      <w:spacing w:after="240"/>
      <w:ind w:firstLine="0"/>
      <w:jc w:val="center"/>
      <w:outlineLvl w:val="0"/>
    </w:pPr>
    <w:rPr>
      <w:rFonts w:asciiTheme="majorHAnsi" w:hAnsiTheme="majorHAnsi"/>
      <w:sz w:val="28"/>
    </w:rPr>
  </w:style>
  <w:style w:type="paragraph" w:customStyle="1" w:styleId="DecHCase">
    <w:name w:val="Dec_H_Case"/>
    <w:aliases w:val="_Title_3"/>
    <w:basedOn w:val="JuPara"/>
    <w:next w:val="JuPara"/>
    <w:uiPriority w:val="38"/>
    <w:qFormat/>
    <w:rsid w:val="00EC48A5"/>
    <w:pPr>
      <w:keepNext/>
      <w:keepLines/>
      <w:spacing w:after="280"/>
      <w:ind w:firstLine="0"/>
      <w:jc w:val="center"/>
    </w:pPr>
    <w:rPr>
      <w:rFonts w:asciiTheme="majorHAnsi" w:hAnsiTheme="majorHAnsi"/>
    </w:rPr>
  </w:style>
  <w:style w:type="paragraph" w:customStyle="1" w:styleId="JuTitle">
    <w:name w:val="Ju_Title"/>
    <w:aliases w:val="_Title_2"/>
    <w:basedOn w:val="Navaden"/>
    <w:next w:val="JuPara"/>
    <w:uiPriority w:val="38"/>
    <w:qFormat/>
    <w:rsid w:val="00EC48A5"/>
    <w:pPr>
      <w:keepNext/>
      <w:keepLines/>
      <w:spacing w:before="1320" w:after="280"/>
      <w:contextualSpacing/>
      <w:jc w:val="center"/>
    </w:pPr>
    <w:rPr>
      <w:b/>
    </w:rPr>
  </w:style>
  <w:style w:type="paragraph" w:customStyle="1" w:styleId="JuHeader">
    <w:name w:val="Ju_Header"/>
    <w:aliases w:val="_Header"/>
    <w:basedOn w:val="Glava"/>
    <w:uiPriority w:val="29"/>
    <w:qFormat/>
    <w:rsid w:val="00EC48A5"/>
    <w:pPr>
      <w:tabs>
        <w:tab w:val="clear" w:pos="4536"/>
        <w:tab w:val="clear" w:pos="9072"/>
      </w:tabs>
      <w:jc w:val="center"/>
    </w:pPr>
    <w:rPr>
      <w:sz w:val="18"/>
    </w:rPr>
  </w:style>
  <w:style w:type="paragraph" w:styleId="Glava">
    <w:name w:val="header"/>
    <w:basedOn w:val="Navaden"/>
    <w:link w:val="GlavaZnak"/>
    <w:uiPriority w:val="98"/>
    <w:semiHidden/>
    <w:rsid w:val="00EC48A5"/>
    <w:pPr>
      <w:tabs>
        <w:tab w:val="center" w:pos="4536"/>
        <w:tab w:val="right" w:pos="9072"/>
      </w:tabs>
    </w:pPr>
  </w:style>
  <w:style w:type="character" w:customStyle="1" w:styleId="GlavaZnak">
    <w:name w:val="Glava Znak"/>
    <w:basedOn w:val="Privzetapisavaodstavka"/>
    <w:link w:val="Glava"/>
    <w:uiPriority w:val="98"/>
    <w:semiHidden/>
    <w:rsid w:val="00EC48A5"/>
    <w:rPr>
      <w:sz w:val="24"/>
      <w:szCs w:val="24"/>
      <w:lang w:val="en-GB"/>
    </w:rPr>
  </w:style>
  <w:style w:type="paragraph" w:styleId="Besedilooblaka">
    <w:name w:val="Balloon Text"/>
    <w:basedOn w:val="Navaden"/>
    <w:link w:val="BesedilooblakaZnak"/>
    <w:uiPriority w:val="98"/>
    <w:semiHidden/>
    <w:rsid w:val="00EC48A5"/>
    <w:rPr>
      <w:rFonts w:ascii="Tahoma" w:hAnsi="Tahoma" w:cs="Tahoma"/>
      <w:sz w:val="16"/>
      <w:szCs w:val="16"/>
    </w:rPr>
  </w:style>
  <w:style w:type="character" w:customStyle="1" w:styleId="BesedilooblakaZnak">
    <w:name w:val="Besedilo oblačka Znak"/>
    <w:basedOn w:val="Privzetapisavaodstavka"/>
    <w:link w:val="Besedilooblaka"/>
    <w:uiPriority w:val="98"/>
    <w:semiHidden/>
    <w:rsid w:val="00EC48A5"/>
    <w:rPr>
      <w:rFonts w:ascii="Tahoma" w:hAnsi="Tahoma" w:cs="Tahoma"/>
      <w:sz w:val="16"/>
      <w:szCs w:val="16"/>
      <w:lang w:val="en-GB"/>
    </w:rPr>
  </w:style>
  <w:style w:type="paragraph" w:customStyle="1" w:styleId="DecList">
    <w:name w:val="Dec_List"/>
    <w:aliases w:val="_List"/>
    <w:basedOn w:val="JuList"/>
    <w:uiPriority w:val="22"/>
    <w:rsid w:val="00EC48A5"/>
    <w:pPr>
      <w:numPr>
        <w:numId w:val="0"/>
      </w:numPr>
      <w:ind w:left="284"/>
    </w:pPr>
  </w:style>
  <w:style w:type="paragraph" w:customStyle="1" w:styleId="NormalJustified">
    <w:name w:val="Normal_Justified"/>
    <w:basedOn w:val="Navaden"/>
    <w:semiHidden/>
    <w:rsid w:val="00EC48A5"/>
    <w:pPr>
      <w:jc w:val="both"/>
    </w:pPr>
  </w:style>
  <w:style w:type="paragraph" w:customStyle="1" w:styleId="JuQuot">
    <w:name w:val="Ju_Quot"/>
    <w:aliases w:val="_Quote"/>
    <w:basedOn w:val="NormalJustified"/>
    <w:uiPriority w:val="20"/>
    <w:qFormat/>
    <w:rsid w:val="00EC48A5"/>
    <w:pPr>
      <w:spacing w:before="120" w:after="120"/>
      <w:ind w:left="425" w:firstLine="142"/>
    </w:pPr>
    <w:rPr>
      <w:sz w:val="20"/>
    </w:rPr>
  </w:style>
  <w:style w:type="paragraph" w:customStyle="1" w:styleId="ECHRCoverTitle4">
    <w:name w:val="ECHR_Cover_Title_4"/>
    <w:aliases w:val="_Title_4"/>
    <w:basedOn w:val="JuPara"/>
    <w:next w:val="JuPara"/>
    <w:uiPriority w:val="38"/>
    <w:qFormat/>
    <w:rsid w:val="00EC48A5"/>
    <w:pPr>
      <w:keepNext/>
      <w:keepLines/>
      <w:tabs>
        <w:tab w:val="right" w:pos="7938"/>
      </w:tabs>
      <w:ind w:firstLine="0"/>
      <w:jc w:val="center"/>
    </w:pPr>
    <w:rPr>
      <w:i/>
    </w:rPr>
  </w:style>
  <w:style w:type="table" w:customStyle="1" w:styleId="ECHRDNTable">
    <w:name w:val="ECHR_DN_Table"/>
    <w:basedOn w:val="Navadnatabela"/>
    <w:uiPriority w:val="99"/>
    <w:rsid w:val="00EC48A5"/>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numbering" w:customStyle="1" w:styleId="ECHRA1StyleBulletedSquare">
    <w:name w:val="ECHR_A1_Style_Bulleted_Square"/>
    <w:basedOn w:val="Brezseznama"/>
    <w:rsid w:val="00EC48A5"/>
    <w:pPr>
      <w:numPr>
        <w:numId w:val="6"/>
      </w:numPr>
    </w:pPr>
  </w:style>
  <w:style w:type="numbering" w:customStyle="1" w:styleId="ECHRA1StyleList">
    <w:name w:val="ECHR_A1_Style_List"/>
    <w:basedOn w:val="Brezseznama"/>
    <w:uiPriority w:val="99"/>
    <w:rsid w:val="00EC48A5"/>
    <w:pPr>
      <w:numPr>
        <w:numId w:val="7"/>
      </w:numPr>
    </w:pPr>
  </w:style>
  <w:style w:type="paragraph" w:customStyle="1" w:styleId="JuHArticle">
    <w:name w:val="Ju_H_Article"/>
    <w:aliases w:val="_Title_Quote"/>
    <w:basedOn w:val="Navaden"/>
    <w:next w:val="JuQuot"/>
    <w:uiPriority w:val="19"/>
    <w:qFormat/>
    <w:rsid w:val="00EC48A5"/>
    <w:pPr>
      <w:keepNext/>
      <w:spacing w:before="100" w:beforeAutospacing="1" w:after="120"/>
      <w:contextualSpacing/>
      <w:jc w:val="center"/>
    </w:pPr>
    <w:rPr>
      <w:b/>
      <w:sz w:val="20"/>
    </w:rPr>
  </w:style>
  <w:style w:type="numbering" w:customStyle="1" w:styleId="ECHRA1StyleNumberedList">
    <w:name w:val="ECHR_A1_Style_Numbered_List"/>
    <w:basedOn w:val="Brezseznama"/>
    <w:rsid w:val="00EC48A5"/>
    <w:pPr>
      <w:numPr>
        <w:numId w:val="8"/>
      </w:numPr>
    </w:pPr>
  </w:style>
  <w:style w:type="table" w:customStyle="1" w:styleId="ECHRHeaderTable">
    <w:name w:val="ECHR_Header_Table"/>
    <w:basedOn w:val="Navadnatabela"/>
    <w:uiPriority w:val="99"/>
    <w:rsid w:val="00EC48A5"/>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customStyle="1" w:styleId="JuHHead">
    <w:name w:val="Ju_H_Head"/>
    <w:aliases w:val="_Head_1"/>
    <w:basedOn w:val="Naslov1"/>
    <w:next w:val="JuPara"/>
    <w:uiPriority w:val="17"/>
    <w:qFormat/>
    <w:rsid w:val="00EC48A5"/>
    <w:pPr>
      <w:keepNext/>
      <w:keepLines/>
      <w:numPr>
        <w:numId w:val="2"/>
      </w:numPr>
      <w:spacing w:before="100" w:beforeAutospacing="1" w:after="240"/>
      <w:contextualSpacing w:val="0"/>
    </w:pPr>
    <w:rPr>
      <w:b w:val="0"/>
      <w:caps/>
      <w:color w:val="auto"/>
    </w:rPr>
  </w:style>
  <w:style w:type="paragraph" w:customStyle="1" w:styleId="JuInitialled">
    <w:name w:val="Ju_Initialled"/>
    <w:aliases w:val="_Right"/>
    <w:basedOn w:val="Navaden"/>
    <w:uiPriority w:val="31"/>
    <w:qFormat/>
    <w:rsid w:val="00EC48A5"/>
    <w:pPr>
      <w:tabs>
        <w:tab w:val="center" w:pos="6407"/>
      </w:tabs>
      <w:spacing w:before="720"/>
      <w:jc w:val="right"/>
    </w:pPr>
  </w:style>
  <w:style w:type="table" w:customStyle="1" w:styleId="ECHRHeaderTableReduced">
    <w:name w:val="ECHR_Header_Table_Reduced"/>
    <w:basedOn w:val="Navadnatabela"/>
    <w:uiPriority w:val="99"/>
    <w:rsid w:val="00EC48A5"/>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character" w:customStyle="1" w:styleId="JUNAMES">
    <w:name w:val="JU_NAMES"/>
    <w:aliases w:val="_Ju_Names"/>
    <w:uiPriority w:val="33"/>
    <w:qFormat/>
    <w:rsid w:val="00EC48A5"/>
    <w:rPr>
      <w:caps w:val="0"/>
      <w:smallCaps/>
    </w:rPr>
  </w:style>
  <w:style w:type="character" w:customStyle="1" w:styleId="JuITMark">
    <w:name w:val="Ju_ITMark"/>
    <w:aliases w:val="_ITMark"/>
    <w:basedOn w:val="Privzetapisavaodstavka"/>
    <w:uiPriority w:val="43"/>
    <w:qFormat/>
    <w:rsid w:val="00EC48A5"/>
    <w:rPr>
      <w:vanish w:val="0"/>
      <w:color w:val="auto"/>
      <w:sz w:val="14"/>
      <w:bdr w:val="none" w:sz="0" w:space="0" w:color="auto"/>
      <w:shd w:val="clear" w:color="auto" w:fill="BEE5FF" w:themeFill="background1" w:themeFillTint="33"/>
    </w:rPr>
  </w:style>
  <w:style w:type="table" w:customStyle="1" w:styleId="ECHRTable2019">
    <w:name w:val="ECHR_Table_2019"/>
    <w:basedOn w:val="Navadnatabela"/>
    <w:uiPriority w:val="99"/>
    <w:rsid w:val="00EC48A5"/>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JuCourt">
    <w:name w:val="Ju_Court"/>
    <w:aliases w:val="_Court_Names"/>
    <w:basedOn w:val="Navaden"/>
    <w:next w:val="Navaden"/>
    <w:uiPriority w:val="32"/>
    <w:qFormat/>
    <w:rsid w:val="00EC48A5"/>
    <w:pPr>
      <w:tabs>
        <w:tab w:val="left" w:pos="907"/>
        <w:tab w:val="left" w:pos="1701"/>
        <w:tab w:val="right" w:pos="7371"/>
      </w:tabs>
      <w:spacing w:before="240"/>
      <w:ind w:left="397" w:hanging="397"/>
    </w:pPr>
    <w:rPr>
      <w:lang w:bidi="en-US"/>
    </w:rPr>
  </w:style>
  <w:style w:type="paragraph" w:customStyle="1" w:styleId="JuHIRoman">
    <w:name w:val="Ju_H_I_Roman"/>
    <w:aliases w:val="_Head_2"/>
    <w:basedOn w:val="Naslov2"/>
    <w:next w:val="JuPara"/>
    <w:uiPriority w:val="17"/>
    <w:qFormat/>
    <w:rsid w:val="00EC48A5"/>
    <w:pPr>
      <w:keepNext/>
      <w:keepLines/>
      <w:numPr>
        <w:ilvl w:val="1"/>
        <w:numId w:val="2"/>
      </w:numPr>
      <w:spacing w:before="100" w:beforeAutospacing="1" w:after="240"/>
    </w:pPr>
    <w:rPr>
      <w:b w:val="0"/>
      <w:caps/>
      <w:color w:val="auto"/>
      <w:sz w:val="24"/>
    </w:rPr>
  </w:style>
  <w:style w:type="character" w:customStyle="1" w:styleId="Naslov1Znak">
    <w:name w:val="Naslov 1 Znak"/>
    <w:basedOn w:val="Privzetapisavaodstavka"/>
    <w:link w:val="Naslov1"/>
    <w:uiPriority w:val="98"/>
    <w:semiHidden/>
    <w:rsid w:val="00EC48A5"/>
    <w:rPr>
      <w:rFonts w:asciiTheme="majorHAnsi" w:eastAsiaTheme="majorEastAsia" w:hAnsiTheme="majorHAnsi" w:cstheme="majorBidi"/>
      <w:b/>
      <w:bCs/>
      <w:color w:val="333333"/>
      <w:sz w:val="28"/>
      <w:szCs w:val="28"/>
      <w:lang w:val="en-GB"/>
    </w:rPr>
  </w:style>
  <w:style w:type="paragraph" w:customStyle="1" w:styleId="JuHA">
    <w:name w:val="Ju_H_A"/>
    <w:aliases w:val="_Head_3"/>
    <w:basedOn w:val="Naslov3"/>
    <w:next w:val="JuPara"/>
    <w:uiPriority w:val="17"/>
    <w:qFormat/>
    <w:rsid w:val="00EC48A5"/>
    <w:pPr>
      <w:keepNext/>
      <w:keepLines/>
      <w:numPr>
        <w:ilvl w:val="2"/>
        <w:numId w:val="2"/>
      </w:numPr>
      <w:spacing w:before="100" w:beforeAutospacing="1" w:after="240" w:line="240" w:lineRule="auto"/>
    </w:pPr>
    <w:rPr>
      <w:color w:val="auto"/>
      <w:sz w:val="24"/>
    </w:rPr>
  </w:style>
  <w:style w:type="character" w:customStyle="1" w:styleId="Naslov2Znak">
    <w:name w:val="Naslov 2 Znak"/>
    <w:basedOn w:val="Privzetapisavaodstavka"/>
    <w:link w:val="Naslov2"/>
    <w:uiPriority w:val="98"/>
    <w:semiHidden/>
    <w:rsid w:val="00EC48A5"/>
    <w:rPr>
      <w:rFonts w:asciiTheme="majorHAnsi" w:eastAsiaTheme="majorEastAsia" w:hAnsiTheme="majorHAnsi" w:cstheme="majorBidi"/>
      <w:b/>
      <w:bCs/>
      <w:color w:val="4D4D4D"/>
      <w:sz w:val="26"/>
      <w:szCs w:val="26"/>
      <w:lang w:val="en-GB"/>
    </w:rPr>
  </w:style>
  <w:style w:type="paragraph" w:customStyle="1" w:styleId="JuH1">
    <w:name w:val="Ju_H_1."/>
    <w:aliases w:val="_Head_4"/>
    <w:basedOn w:val="Naslov4"/>
    <w:next w:val="JuPara"/>
    <w:uiPriority w:val="17"/>
    <w:rsid w:val="00EC48A5"/>
    <w:pPr>
      <w:keepNext/>
      <w:keepLines/>
      <w:numPr>
        <w:ilvl w:val="3"/>
        <w:numId w:val="2"/>
      </w:numPr>
      <w:spacing w:before="100" w:beforeAutospacing="1" w:after="120"/>
    </w:pPr>
    <w:rPr>
      <w:b w:val="0"/>
      <w:color w:val="auto"/>
      <w:sz w:val="24"/>
    </w:rPr>
  </w:style>
  <w:style w:type="character" w:customStyle="1" w:styleId="Naslov3Znak">
    <w:name w:val="Naslov 3 Znak"/>
    <w:basedOn w:val="Privzetapisavaodstavka"/>
    <w:link w:val="Naslov3"/>
    <w:uiPriority w:val="98"/>
    <w:semiHidden/>
    <w:rsid w:val="00EC48A5"/>
    <w:rPr>
      <w:rFonts w:asciiTheme="majorHAnsi" w:eastAsiaTheme="majorEastAsia" w:hAnsiTheme="majorHAnsi" w:cstheme="majorBidi"/>
      <w:b/>
      <w:bCs/>
      <w:color w:val="5F5F5F"/>
      <w:lang w:val="en-GB"/>
    </w:rPr>
  </w:style>
  <w:style w:type="paragraph" w:customStyle="1" w:styleId="JuHa0">
    <w:name w:val="Ju_H_a"/>
    <w:aliases w:val="_Head_5"/>
    <w:basedOn w:val="Naslov5"/>
    <w:next w:val="JuPara"/>
    <w:uiPriority w:val="17"/>
    <w:rsid w:val="00EC48A5"/>
    <w:pPr>
      <w:keepNext/>
      <w:keepLines/>
      <w:numPr>
        <w:ilvl w:val="4"/>
        <w:numId w:val="2"/>
      </w:numPr>
      <w:spacing w:before="100" w:beforeAutospacing="1" w:after="120"/>
    </w:pPr>
    <w:rPr>
      <w:color w:val="auto"/>
      <w:sz w:val="20"/>
    </w:rPr>
  </w:style>
  <w:style w:type="character" w:customStyle="1" w:styleId="Naslov4Znak">
    <w:name w:val="Naslov 4 Znak"/>
    <w:basedOn w:val="Privzetapisavaodstavka"/>
    <w:link w:val="Naslov4"/>
    <w:uiPriority w:val="98"/>
    <w:semiHidden/>
    <w:rsid w:val="00EC48A5"/>
    <w:rPr>
      <w:rFonts w:asciiTheme="majorHAnsi" w:eastAsiaTheme="majorEastAsia" w:hAnsiTheme="majorHAnsi" w:cstheme="majorBidi"/>
      <w:b/>
      <w:bCs/>
      <w:i/>
      <w:iCs/>
      <w:color w:val="777777"/>
      <w:lang w:val="en-GB"/>
    </w:rPr>
  </w:style>
  <w:style w:type="paragraph" w:customStyle="1" w:styleId="JuHi">
    <w:name w:val="Ju_H_i"/>
    <w:aliases w:val="_Head_6"/>
    <w:basedOn w:val="Naslov6"/>
    <w:next w:val="JuPara"/>
    <w:uiPriority w:val="17"/>
    <w:rsid w:val="00EC48A5"/>
    <w:pPr>
      <w:keepNext/>
      <w:keepLines/>
      <w:numPr>
        <w:ilvl w:val="5"/>
        <w:numId w:val="2"/>
      </w:numPr>
      <w:spacing w:before="100" w:beforeAutospacing="1" w:after="120"/>
    </w:pPr>
    <w:rPr>
      <w:b w:val="0"/>
      <w:color w:val="auto"/>
      <w:sz w:val="20"/>
    </w:rPr>
  </w:style>
  <w:style w:type="character" w:customStyle="1" w:styleId="Naslov5Znak">
    <w:name w:val="Naslov 5 Znak"/>
    <w:basedOn w:val="Privzetapisavaodstavka"/>
    <w:link w:val="Naslov5"/>
    <w:uiPriority w:val="98"/>
    <w:semiHidden/>
    <w:rsid w:val="00EC48A5"/>
    <w:rPr>
      <w:rFonts w:asciiTheme="majorHAnsi" w:eastAsiaTheme="majorEastAsia" w:hAnsiTheme="majorHAnsi" w:cstheme="majorBidi"/>
      <w:b/>
      <w:bCs/>
      <w:color w:val="808080"/>
      <w:lang w:val="en-GB"/>
    </w:rPr>
  </w:style>
  <w:style w:type="paragraph" w:customStyle="1" w:styleId="JuHalpha">
    <w:name w:val="Ju_H_alpha"/>
    <w:aliases w:val="_Head_7"/>
    <w:basedOn w:val="Naslov7"/>
    <w:next w:val="JuPara"/>
    <w:uiPriority w:val="17"/>
    <w:rsid w:val="00EC48A5"/>
    <w:pPr>
      <w:keepNext/>
      <w:keepLines/>
      <w:numPr>
        <w:ilvl w:val="6"/>
        <w:numId w:val="2"/>
      </w:numPr>
      <w:spacing w:before="100" w:beforeAutospacing="1" w:after="120"/>
    </w:pPr>
    <w:rPr>
      <w:i w:val="0"/>
      <w:sz w:val="20"/>
    </w:rPr>
  </w:style>
  <w:style w:type="character" w:customStyle="1" w:styleId="Naslov6Znak">
    <w:name w:val="Naslov 6 Znak"/>
    <w:basedOn w:val="Privzetapisavaodstavka"/>
    <w:link w:val="Naslov6"/>
    <w:uiPriority w:val="98"/>
    <w:semiHidden/>
    <w:rsid w:val="00EC48A5"/>
    <w:rPr>
      <w:rFonts w:asciiTheme="majorHAnsi" w:eastAsiaTheme="majorEastAsia" w:hAnsiTheme="majorHAnsi" w:cstheme="majorBidi"/>
      <w:b/>
      <w:bCs/>
      <w:i/>
      <w:iCs/>
      <w:color w:val="7F7F7F" w:themeColor="text1" w:themeTint="80"/>
      <w:lang w:val="en-GB" w:bidi="en-US"/>
    </w:rPr>
  </w:style>
  <w:style w:type="paragraph" w:customStyle="1" w:styleId="JuH">
    <w:name w:val="Ju_H_–"/>
    <w:aliases w:val="_Head_8"/>
    <w:basedOn w:val="Naslov8"/>
    <w:next w:val="JuPara"/>
    <w:uiPriority w:val="17"/>
    <w:rsid w:val="00EC48A5"/>
    <w:pPr>
      <w:keepNext/>
      <w:keepLines/>
      <w:numPr>
        <w:ilvl w:val="7"/>
        <w:numId w:val="2"/>
      </w:numPr>
      <w:spacing w:before="100" w:beforeAutospacing="1" w:after="120"/>
    </w:pPr>
    <w:rPr>
      <w:i/>
    </w:rPr>
  </w:style>
  <w:style w:type="character" w:customStyle="1" w:styleId="Naslov7Znak">
    <w:name w:val="Naslov 7 Znak"/>
    <w:basedOn w:val="Privzetapisavaodstavka"/>
    <w:link w:val="Naslov7"/>
    <w:uiPriority w:val="98"/>
    <w:semiHidden/>
    <w:rsid w:val="00EC48A5"/>
    <w:rPr>
      <w:rFonts w:asciiTheme="majorHAnsi" w:eastAsiaTheme="majorEastAsia" w:hAnsiTheme="majorHAnsi" w:cstheme="majorBidi"/>
      <w:i/>
      <w:iCs/>
      <w:lang w:val="en-GB" w:bidi="en-US"/>
    </w:rPr>
  </w:style>
  <w:style w:type="paragraph" w:customStyle="1" w:styleId="JuParaLast">
    <w:name w:val="Ju_Para_Last"/>
    <w:aliases w:val="_Para_Spaced"/>
    <w:basedOn w:val="NormalJustified"/>
    <w:uiPriority w:val="5"/>
    <w:qFormat/>
    <w:rsid w:val="00EC48A5"/>
    <w:pPr>
      <w:keepNext/>
      <w:keepLines/>
      <w:spacing w:before="240" w:after="240"/>
      <w:ind w:firstLine="284"/>
    </w:pPr>
  </w:style>
  <w:style w:type="table" w:customStyle="1" w:styleId="ECHRTableBoxHeader">
    <w:name w:val="ECHR_Table_Box_Header"/>
    <w:basedOn w:val="Navadnatabela"/>
    <w:rsid w:val="00EC48A5"/>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JuJudges">
    <w:name w:val="Ju_Judges"/>
    <w:aliases w:val="_Judges"/>
    <w:basedOn w:val="Navaden"/>
    <w:uiPriority w:val="32"/>
    <w:qFormat/>
    <w:rsid w:val="00EC48A5"/>
    <w:pPr>
      <w:tabs>
        <w:tab w:val="left" w:pos="567"/>
        <w:tab w:val="left" w:pos="1134"/>
      </w:tabs>
    </w:pPr>
  </w:style>
  <w:style w:type="paragraph" w:customStyle="1" w:styleId="JuList">
    <w:name w:val="Ju_List"/>
    <w:aliases w:val="_List_1"/>
    <w:basedOn w:val="NormalJustified"/>
    <w:uiPriority w:val="23"/>
    <w:qFormat/>
    <w:rsid w:val="00EC48A5"/>
    <w:pPr>
      <w:numPr>
        <w:numId w:val="7"/>
      </w:numPr>
      <w:spacing w:before="280" w:after="60"/>
    </w:pPr>
  </w:style>
  <w:style w:type="paragraph" w:customStyle="1" w:styleId="JuLista">
    <w:name w:val="Ju_List_a"/>
    <w:aliases w:val="_List_2"/>
    <w:basedOn w:val="NormalJustified"/>
    <w:uiPriority w:val="23"/>
    <w:rsid w:val="00EC48A5"/>
    <w:pPr>
      <w:numPr>
        <w:ilvl w:val="1"/>
        <w:numId w:val="7"/>
      </w:numPr>
    </w:pPr>
  </w:style>
  <w:style w:type="paragraph" w:customStyle="1" w:styleId="JuListi">
    <w:name w:val="Ju_List_i"/>
    <w:aliases w:val="_List_3"/>
    <w:basedOn w:val="NormalJustified"/>
    <w:uiPriority w:val="23"/>
    <w:rsid w:val="00EC48A5"/>
    <w:pPr>
      <w:numPr>
        <w:ilvl w:val="2"/>
        <w:numId w:val="7"/>
      </w:numPr>
    </w:pPr>
  </w:style>
  <w:style w:type="table" w:customStyle="1" w:styleId="ECHRTableFax">
    <w:name w:val="ECHR_Table_Fax"/>
    <w:basedOn w:val="Navadnatabela"/>
    <w:uiPriority w:val="99"/>
    <w:rsid w:val="00EC48A5"/>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ForInternalUse">
    <w:name w:val="ECHR_Table_For_Internal_Use"/>
    <w:basedOn w:val="Navadnatabela"/>
    <w:uiPriority w:val="99"/>
    <w:rsid w:val="00EC48A5"/>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TableMemo">
    <w:name w:val="ECHR_Table_Memo"/>
    <w:basedOn w:val="Navadnatabela"/>
    <w:uiPriority w:val="99"/>
    <w:rsid w:val="00EC48A5"/>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character" w:customStyle="1" w:styleId="Naslov8Znak">
    <w:name w:val="Naslov 8 Znak"/>
    <w:basedOn w:val="Privzetapisavaodstavka"/>
    <w:link w:val="Naslov8"/>
    <w:uiPriority w:val="98"/>
    <w:semiHidden/>
    <w:rsid w:val="00EC48A5"/>
    <w:rPr>
      <w:rFonts w:asciiTheme="majorHAnsi" w:eastAsiaTheme="majorEastAsia" w:hAnsiTheme="majorHAnsi" w:cstheme="majorBidi"/>
      <w:sz w:val="20"/>
      <w:szCs w:val="20"/>
      <w:lang w:val="en-GB" w:bidi="en-US"/>
    </w:rPr>
  </w:style>
  <w:style w:type="character" w:customStyle="1" w:styleId="Naslov9Znak">
    <w:name w:val="Naslov 9 Znak"/>
    <w:basedOn w:val="Privzetapisavaodstavka"/>
    <w:link w:val="Naslov9"/>
    <w:uiPriority w:val="98"/>
    <w:semiHidden/>
    <w:rsid w:val="00EC48A5"/>
    <w:rPr>
      <w:rFonts w:asciiTheme="majorHAnsi" w:eastAsiaTheme="majorEastAsia" w:hAnsiTheme="majorHAnsi" w:cstheme="majorBidi"/>
      <w:i/>
      <w:iCs/>
      <w:spacing w:val="5"/>
      <w:sz w:val="20"/>
      <w:szCs w:val="20"/>
      <w:lang w:val="en-GB" w:bidi="en-US"/>
    </w:rPr>
  </w:style>
  <w:style w:type="paragraph" w:styleId="Naslov">
    <w:name w:val="Title"/>
    <w:basedOn w:val="Navaden"/>
    <w:next w:val="Navaden"/>
    <w:link w:val="NaslovZnak"/>
    <w:uiPriority w:val="98"/>
    <w:semiHidden/>
    <w:qFormat/>
    <w:rsid w:val="00EC48A5"/>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8"/>
    <w:semiHidden/>
    <w:rsid w:val="00EC48A5"/>
    <w:rPr>
      <w:rFonts w:asciiTheme="majorHAnsi" w:eastAsiaTheme="majorEastAsia" w:hAnsiTheme="majorHAnsi" w:cstheme="majorBidi"/>
      <w:spacing w:val="5"/>
      <w:sz w:val="52"/>
      <w:szCs w:val="52"/>
      <w:lang w:val="en-GB" w:bidi="en-US"/>
    </w:rPr>
  </w:style>
  <w:style w:type="paragraph" w:styleId="Podnaslov">
    <w:name w:val="Subtitle"/>
    <w:basedOn w:val="Navaden"/>
    <w:next w:val="Navaden"/>
    <w:link w:val="PodnaslovZnak"/>
    <w:uiPriority w:val="98"/>
    <w:semiHidden/>
    <w:qFormat/>
    <w:rsid w:val="00EC48A5"/>
    <w:pPr>
      <w:spacing w:after="600"/>
    </w:pPr>
    <w:rPr>
      <w:rFonts w:asciiTheme="majorHAnsi" w:eastAsiaTheme="majorEastAsia" w:hAnsiTheme="majorHAnsi" w:cstheme="majorBidi"/>
      <w:i/>
      <w:iCs/>
      <w:spacing w:val="13"/>
      <w:lang w:bidi="en-US"/>
    </w:rPr>
  </w:style>
  <w:style w:type="character" w:customStyle="1" w:styleId="PodnaslovZnak">
    <w:name w:val="Podnaslov Znak"/>
    <w:basedOn w:val="Privzetapisavaodstavka"/>
    <w:link w:val="Podnaslov"/>
    <w:uiPriority w:val="98"/>
    <w:semiHidden/>
    <w:rsid w:val="00EC48A5"/>
    <w:rPr>
      <w:rFonts w:asciiTheme="majorHAnsi" w:eastAsiaTheme="majorEastAsia" w:hAnsiTheme="majorHAnsi" w:cstheme="majorBidi"/>
      <w:i/>
      <w:iCs/>
      <w:spacing w:val="13"/>
      <w:sz w:val="24"/>
      <w:szCs w:val="24"/>
      <w:lang w:val="en-GB" w:bidi="en-US"/>
    </w:rPr>
  </w:style>
  <w:style w:type="character" w:styleId="Krepko">
    <w:name w:val="Strong"/>
    <w:uiPriority w:val="98"/>
    <w:semiHidden/>
    <w:qFormat/>
    <w:rsid w:val="00EC48A5"/>
    <w:rPr>
      <w:b/>
      <w:bCs/>
    </w:rPr>
  </w:style>
  <w:style w:type="character" w:styleId="Poudarek">
    <w:name w:val="Emphasis"/>
    <w:uiPriority w:val="98"/>
    <w:semiHidden/>
    <w:qFormat/>
    <w:rsid w:val="00EC48A5"/>
    <w:rPr>
      <w:b/>
      <w:bCs/>
      <w:i/>
      <w:iCs/>
      <w:spacing w:val="10"/>
      <w:bdr w:val="none" w:sz="0" w:space="0" w:color="auto"/>
      <w:shd w:val="clear" w:color="auto" w:fill="auto"/>
    </w:rPr>
  </w:style>
  <w:style w:type="paragraph" w:styleId="Brezrazmikov">
    <w:name w:val="No Spacing"/>
    <w:basedOn w:val="Navaden"/>
    <w:link w:val="BrezrazmikovZnak"/>
    <w:uiPriority w:val="98"/>
    <w:semiHidden/>
    <w:qFormat/>
    <w:rsid w:val="00EC48A5"/>
  </w:style>
  <w:style w:type="character" w:customStyle="1" w:styleId="BrezrazmikovZnak">
    <w:name w:val="Brez razmikov Znak"/>
    <w:basedOn w:val="Privzetapisavaodstavka"/>
    <w:link w:val="Brezrazmikov"/>
    <w:uiPriority w:val="98"/>
    <w:semiHidden/>
    <w:rsid w:val="00EC48A5"/>
    <w:rPr>
      <w:sz w:val="24"/>
      <w:szCs w:val="24"/>
      <w:lang w:val="en-GB"/>
    </w:rPr>
  </w:style>
  <w:style w:type="paragraph" w:styleId="Odstavekseznama">
    <w:name w:val="List Paragraph"/>
    <w:basedOn w:val="Navaden"/>
    <w:uiPriority w:val="98"/>
    <w:semiHidden/>
    <w:qFormat/>
    <w:rsid w:val="00EC48A5"/>
    <w:pPr>
      <w:ind w:left="720"/>
      <w:contextualSpacing/>
    </w:pPr>
  </w:style>
  <w:style w:type="paragraph" w:styleId="Citat">
    <w:name w:val="Quote"/>
    <w:basedOn w:val="Navaden"/>
    <w:next w:val="Navaden"/>
    <w:link w:val="CitatZnak"/>
    <w:uiPriority w:val="98"/>
    <w:semiHidden/>
    <w:qFormat/>
    <w:rsid w:val="00EC48A5"/>
    <w:pPr>
      <w:spacing w:before="200"/>
      <w:ind w:left="360" w:right="360"/>
    </w:pPr>
    <w:rPr>
      <w:i/>
      <w:iCs/>
      <w:lang w:bidi="en-US"/>
    </w:rPr>
  </w:style>
  <w:style w:type="character" w:customStyle="1" w:styleId="CitatZnak">
    <w:name w:val="Citat Znak"/>
    <w:basedOn w:val="Privzetapisavaodstavka"/>
    <w:link w:val="Citat"/>
    <w:uiPriority w:val="98"/>
    <w:semiHidden/>
    <w:rsid w:val="00EC48A5"/>
    <w:rPr>
      <w:i/>
      <w:iCs/>
      <w:sz w:val="24"/>
      <w:szCs w:val="24"/>
      <w:lang w:val="en-GB" w:bidi="en-US"/>
    </w:rPr>
  </w:style>
  <w:style w:type="paragraph" w:styleId="Intenzivencitat">
    <w:name w:val="Intense Quote"/>
    <w:basedOn w:val="Navaden"/>
    <w:next w:val="Navaden"/>
    <w:link w:val="IntenzivencitatZnak"/>
    <w:uiPriority w:val="98"/>
    <w:semiHidden/>
    <w:qFormat/>
    <w:rsid w:val="00EC48A5"/>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8"/>
    <w:semiHidden/>
    <w:rsid w:val="00EC48A5"/>
    <w:rPr>
      <w:b/>
      <w:bCs/>
      <w:i/>
      <w:iCs/>
      <w:sz w:val="24"/>
      <w:szCs w:val="24"/>
      <w:lang w:val="en-GB" w:bidi="en-US"/>
    </w:rPr>
  </w:style>
  <w:style w:type="character" w:styleId="Neenpoudarek">
    <w:name w:val="Subtle Emphasis"/>
    <w:uiPriority w:val="98"/>
    <w:semiHidden/>
    <w:qFormat/>
    <w:rsid w:val="00EC48A5"/>
    <w:rPr>
      <w:i/>
      <w:iCs/>
    </w:rPr>
  </w:style>
  <w:style w:type="character" w:styleId="Intenzivenpoudarek">
    <w:name w:val="Intense Emphasis"/>
    <w:uiPriority w:val="98"/>
    <w:semiHidden/>
    <w:qFormat/>
    <w:rsid w:val="00EC48A5"/>
    <w:rPr>
      <w:b/>
      <w:bCs/>
    </w:rPr>
  </w:style>
  <w:style w:type="character" w:styleId="Neensklic">
    <w:name w:val="Subtle Reference"/>
    <w:uiPriority w:val="98"/>
    <w:semiHidden/>
    <w:qFormat/>
    <w:rsid w:val="00EC48A5"/>
    <w:rPr>
      <w:smallCaps/>
    </w:rPr>
  </w:style>
  <w:style w:type="character" w:styleId="Intenzivensklic">
    <w:name w:val="Intense Reference"/>
    <w:uiPriority w:val="98"/>
    <w:semiHidden/>
    <w:qFormat/>
    <w:rsid w:val="00EC48A5"/>
    <w:rPr>
      <w:smallCaps/>
      <w:spacing w:val="5"/>
      <w:u w:val="single"/>
    </w:rPr>
  </w:style>
  <w:style w:type="character" w:styleId="Naslovknjige">
    <w:name w:val="Book Title"/>
    <w:uiPriority w:val="98"/>
    <w:semiHidden/>
    <w:qFormat/>
    <w:rsid w:val="00EC48A5"/>
    <w:rPr>
      <w:i/>
      <w:iCs/>
      <w:smallCaps/>
      <w:spacing w:val="5"/>
    </w:rPr>
  </w:style>
  <w:style w:type="paragraph" w:styleId="NaslovTOC">
    <w:name w:val="TOC Heading"/>
    <w:basedOn w:val="Navaden"/>
    <w:next w:val="Navaden"/>
    <w:uiPriority w:val="98"/>
    <w:semiHidden/>
    <w:qFormat/>
    <w:rsid w:val="00EC48A5"/>
    <w:pPr>
      <w:keepNext/>
      <w:keepLines/>
      <w:spacing w:before="240"/>
      <w:contextualSpacing/>
      <w:jc w:val="center"/>
    </w:pPr>
    <w:rPr>
      <w:rFonts w:asciiTheme="majorHAnsi" w:hAnsiTheme="majorHAnsi"/>
      <w:b/>
      <w:color w:val="474747" w:themeColor="accent3" w:themeShade="BF"/>
      <w:sz w:val="28"/>
    </w:rPr>
  </w:style>
  <w:style w:type="numbering" w:styleId="111111">
    <w:name w:val="Outline List 2"/>
    <w:basedOn w:val="Brezseznama"/>
    <w:uiPriority w:val="99"/>
    <w:semiHidden/>
    <w:unhideWhenUsed/>
    <w:rsid w:val="00EC48A5"/>
    <w:pPr>
      <w:numPr>
        <w:numId w:val="3"/>
      </w:numPr>
    </w:pPr>
  </w:style>
  <w:style w:type="numbering" w:styleId="1ai">
    <w:name w:val="Outline List 1"/>
    <w:basedOn w:val="Brezseznama"/>
    <w:uiPriority w:val="99"/>
    <w:semiHidden/>
    <w:unhideWhenUsed/>
    <w:rsid w:val="00EC48A5"/>
    <w:pPr>
      <w:numPr>
        <w:numId w:val="4"/>
      </w:numPr>
    </w:pPr>
  </w:style>
  <w:style w:type="numbering" w:styleId="lenOdsek">
    <w:name w:val="Outline List 3"/>
    <w:basedOn w:val="Brezseznama"/>
    <w:uiPriority w:val="99"/>
    <w:semiHidden/>
    <w:unhideWhenUsed/>
    <w:rsid w:val="00EC48A5"/>
    <w:pPr>
      <w:numPr>
        <w:numId w:val="5"/>
      </w:numPr>
    </w:pPr>
  </w:style>
  <w:style w:type="paragraph" w:styleId="Bibliografija">
    <w:name w:val="Bibliography"/>
    <w:basedOn w:val="Navaden"/>
    <w:next w:val="Navaden"/>
    <w:uiPriority w:val="98"/>
    <w:semiHidden/>
    <w:rsid w:val="00EC48A5"/>
  </w:style>
  <w:style w:type="paragraph" w:styleId="Blokbesedila">
    <w:name w:val="Block Text"/>
    <w:basedOn w:val="Navaden"/>
    <w:uiPriority w:val="98"/>
    <w:semiHidden/>
    <w:rsid w:val="00EC48A5"/>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8"/>
    <w:semiHidden/>
    <w:rsid w:val="00EC48A5"/>
    <w:pPr>
      <w:spacing w:after="120"/>
    </w:pPr>
  </w:style>
  <w:style w:type="character" w:customStyle="1" w:styleId="TelobesedilaZnak">
    <w:name w:val="Telo besedila Znak"/>
    <w:basedOn w:val="Privzetapisavaodstavka"/>
    <w:link w:val="Telobesedila"/>
    <w:uiPriority w:val="98"/>
    <w:semiHidden/>
    <w:rsid w:val="00EC48A5"/>
    <w:rPr>
      <w:sz w:val="24"/>
      <w:szCs w:val="24"/>
      <w:lang w:val="en-GB"/>
    </w:rPr>
  </w:style>
  <w:style w:type="paragraph" w:styleId="Telobesedila2">
    <w:name w:val="Body Text 2"/>
    <w:basedOn w:val="Navaden"/>
    <w:link w:val="Telobesedila2Znak"/>
    <w:uiPriority w:val="98"/>
    <w:semiHidden/>
    <w:rsid w:val="00EC48A5"/>
    <w:pPr>
      <w:spacing w:after="120" w:line="480" w:lineRule="auto"/>
    </w:pPr>
  </w:style>
  <w:style w:type="character" w:customStyle="1" w:styleId="Telobesedila2Znak">
    <w:name w:val="Telo besedila 2 Znak"/>
    <w:basedOn w:val="Privzetapisavaodstavka"/>
    <w:link w:val="Telobesedila2"/>
    <w:uiPriority w:val="98"/>
    <w:semiHidden/>
    <w:rsid w:val="00EC48A5"/>
    <w:rPr>
      <w:sz w:val="24"/>
      <w:szCs w:val="24"/>
      <w:lang w:val="en-GB"/>
    </w:rPr>
  </w:style>
  <w:style w:type="paragraph" w:styleId="Telobesedila3">
    <w:name w:val="Body Text 3"/>
    <w:basedOn w:val="Navaden"/>
    <w:link w:val="Telobesedila3Znak"/>
    <w:uiPriority w:val="98"/>
    <w:semiHidden/>
    <w:rsid w:val="00EC48A5"/>
    <w:pPr>
      <w:spacing w:after="120"/>
    </w:pPr>
    <w:rPr>
      <w:sz w:val="16"/>
      <w:szCs w:val="16"/>
    </w:rPr>
  </w:style>
  <w:style w:type="character" w:customStyle="1" w:styleId="Telobesedila3Znak">
    <w:name w:val="Telo besedila 3 Znak"/>
    <w:basedOn w:val="Privzetapisavaodstavka"/>
    <w:link w:val="Telobesedila3"/>
    <w:uiPriority w:val="98"/>
    <w:semiHidden/>
    <w:rsid w:val="00EC48A5"/>
    <w:rPr>
      <w:sz w:val="16"/>
      <w:szCs w:val="16"/>
      <w:lang w:val="en-GB"/>
    </w:rPr>
  </w:style>
  <w:style w:type="paragraph" w:styleId="Telobesedila-prvizamik">
    <w:name w:val="Body Text First Indent"/>
    <w:basedOn w:val="Telobesedila"/>
    <w:link w:val="Telobesedila-prvizamikZnak"/>
    <w:uiPriority w:val="98"/>
    <w:semiHidden/>
    <w:rsid w:val="00EC48A5"/>
    <w:pPr>
      <w:spacing w:after="0"/>
      <w:ind w:firstLine="360"/>
    </w:pPr>
  </w:style>
  <w:style w:type="character" w:customStyle="1" w:styleId="Telobesedila-prvizamikZnak">
    <w:name w:val="Telo besedila - prvi zamik Znak"/>
    <w:basedOn w:val="TelobesedilaZnak"/>
    <w:link w:val="Telobesedila-prvizamik"/>
    <w:uiPriority w:val="98"/>
    <w:semiHidden/>
    <w:rsid w:val="00EC48A5"/>
    <w:rPr>
      <w:sz w:val="24"/>
      <w:szCs w:val="24"/>
      <w:lang w:val="en-GB"/>
    </w:rPr>
  </w:style>
  <w:style w:type="paragraph" w:styleId="Telobesedila-zamik">
    <w:name w:val="Body Text Indent"/>
    <w:basedOn w:val="Navaden"/>
    <w:link w:val="Telobesedila-zamikZnak"/>
    <w:uiPriority w:val="98"/>
    <w:semiHidden/>
    <w:rsid w:val="00EC48A5"/>
    <w:pPr>
      <w:spacing w:after="120"/>
      <w:ind w:left="283"/>
    </w:pPr>
  </w:style>
  <w:style w:type="character" w:customStyle="1" w:styleId="Telobesedila-zamikZnak">
    <w:name w:val="Telo besedila - zamik Znak"/>
    <w:basedOn w:val="Privzetapisavaodstavka"/>
    <w:link w:val="Telobesedila-zamik"/>
    <w:uiPriority w:val="98"/>
    <w:semiHidden/>
    <w:rsid w:val="00EC48A5"/>
    <w:rPr>
      <w:sz w:val="24"/>
      <w:szCs w:val="24"/>
      <w:lang w:val="en-GB"/>
    </w:rPr>
  </w:style>
  <w:style w:type="paragraph" w:styleId="Telobesedila-prvizamik2">
    <w:name w:val="Body Text First Indent 2"/>
    <w:basedOn w:val="Telobesedila-zamik"/>
    <w:link w:val="Telobesedila-prvizamik2Znak"/>
    <w:uiPriority w:val="98"/>
    <w:semiHidden/>
    <w:rsid w:val="00EC48A5"/>
    <w:pPr>
      <w:spacing w:after="0"/>
      <w:ind w:left="360" w:firstLine="360"/>
    </w:pPr>
  </w:style>
  <w:style w:type="character" w:customStyle="1" w:styleId="Telobesedila-prvizamik2Znak">
    <w:name w:val="Telo besedila - prvi zamik 2 Znak"/>
    <w:basedOn w:val="Telobesedila-zamikZnak"/>
    <w:link w:val="Telobesedila-prvizamik2"/>
    <w:uiPriority w:val="98"/>
    <w:semiHidden/>
    <w:rsid w:val="00EC48A5"/>
    <w:rPr>
      <w:sz w:val="24"/>
      <w:szCs w:val="24"/>
      <w:lang w:val="en-GB"/>
    </w:rPr>
  </w:style>
  <w:style w:type="paragraph" w:styleId="Telobesedila-zamik2">
    <w:name w:val="Body Text Indent 2"/>
    <w:basedOn w:val="Navaden"/>
    <w:link w:val="Telobesedila-zamik2Znak"/>
    <w:uiPriority w:val="98"/>
    <w:semiHidden/>
    <w:rsid w:val="00EC48A5"/>
    <w:pPr>
      <w:spacing w:after="120" w:line="480" w:lineRule="auto"/>
      <w:ind w:left="283"/>
    </w:pPr>
  </w:style>
  <w:style w:type="character" w:customStyle="1" w:styleId="Telobesedila-zamik2Znak">
    <w:name w:val="Telo besedila - zamik 2 Znak"/>
    <w:basedOn w:val="Privzetapisavaodstavka"/>
    <w:link w:val="Telobesedila-zamik2"/>
    <w:uiPriority w:val="98"/>
    <w:semiHidden/>
    <w:rsid w:val="00EC48A5"/>
    <w:rPr>
      <w:sz w:val="24"/>
      <w:szCs w:val="24"/>
      <w:lang w:val="en-GB"/>
    </w:rPr>
  </w:style>
  <w:style w:type="paragraph" w:styleId="Telobesedila-zamik3">
    <w:name w:val="Body Text Indent 3"/>
    <w:basedOn w:val="Navaden"/>
    <w:link w:val="Telobesedila-zamik3Znak"/>
    <w:uiPriority w:val="98"/>
    <w:semiHidden/>
    <w:rsid w:val="00EC48A5"/>
    <w:pPr>
      <w:spacing w:after="120"/>
      <w:ind w:left="283"/>
    </w:pPr>
    <w:rPr>
      <w:sz w:val="16"/>
      <w:szCs w:val="16"/>
    </w:rPr>
  </w:style>
  <w:style w:type="character" w:customStyle="1" w:styleId="Telobesedila-zamik3Znak">
    <w:name w:val="Telo besedila - zamik 3 Znak"/>
    <w:basedOn w:val="Privzetapisavaodstavka"/>
    <w:link w:val="Telobesedila-zamik3"/>
    <w:uiPriority w:val="98"/>
    <w:semiHidden/>
    <w:rsid w:val="00EC48A5"/>
    <w:rPr>
      <w:sz w:val="16"/>
      <w:szCs w:val="16"/>
      <w:lang w:val="en-GB"/>
    </w:rPr>
  </w:style>
  <w:style w:type="paragraph" w:styleId="Napis">
    <w:name w:val="caption"/>
    <w:basedOn w:val="Navaden"/>
    <w:next w:val="Navaden"/>
    <w:uiPriority w:val="98"/>
    <w:semiHidden/>
    <w:qFormat/>
    <w:rsid w:val="00EC48A5"/>
    <w:pPr>
      <w:spacing w:after="200"/>
    </w:pPr>
    <w:rPr>
      <w:b/>
      <w:bCs/>
      <w:color w:val="0072BC" w:themeColor="accent1"/>
      <w:sz w:val="18"/>
      <w:szCs w:val="18"/>
    </w:rPr>
  </w:style>
  <w:style w:type="paragraph" w:styleId="Zakljunipozdrav">
    <w:name w:val="Closing"/>
    <w:basedOn w:val="Navaden"/>
    <w:link w:val="ZakljunipozdravZnak"/>
    <w:uiPriority w:val="98"/>
    <w:semiHidden/>
    <w:rsid w:val="00EC48A5"/>
    <w:pPr>
      <w:ind w:left="4252"/>
    </w:pPr>
  </w:style>
  <w:style w:type="character" w:customStyle="1" w:styleId="ZakljunipozdravZnak">
    <w:name w:val="Zaključni pozdrav Znak"/>
    <w:basedOn w:val="Privzetapisavaodstavka"/>
    <w:link w:val="Zakljunipozdrav"/>
    <w:uiPriority w:val="98"/>
    <w:semiHidden/>
    <w:rsid w:val="00EC48A5"/>
    <w:rPr>
      <w:sz w:val="24"/>
      <w:szCs w:val="24"/>
      <w:lang w:val="en-GB"/>
    </w:rPr>
  </w:style>
  <w:style w:type="table" w:styleId="Barvnamrea">
    <w:name w:val="Colorful Grid"/>
    <w:basedOn w:val="Navadnatabela"/>
    <w:uiPriority w:val="73"/>
    <w:semiHidden/>
    <w:rsid w:val="00EC48A5"/>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EC48A5"/>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EC48A5"/>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EC48A5"/>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EC48A5"/>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EC48A5"/>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EC48A5"/>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EC48A5"/>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EC48A5"/>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EC48A5"/>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EC48A5"/>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EC48A5"/>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EC48A5"/>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EC48A5"/>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EC48A5"/>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EC48A5"/>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EC48A5"/>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EC48A5"/>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EC48A5"/>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EC48A5"/>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EC48A5"/>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8"/>
    <w:semiHidden/>
    <w:rsid w:val="00EC48A5"/>
    <w:rPr>
      <w:b/>
      <w:bCs/>
    </w:rPr>
  </w:style>
  <w:style w:type="character" w:customStyle="1" w:styleId="ZadevapripombeZnak">
    <w:name w:val="Zadeva pripombe Znak"/>
    <w:basedOn w:val="PripombabesediloZnak"/>
    <w:link w:val="Zadevapripombe"/>
    <w:uiPriority w:val="98"/>
    <w:semiHidden/>
    <w:rsid w:val="00EC48A5"/>
    <w:rPr>
      <w:b/>
      <w:bCs/>
      <w:sz w:val="20"/>
      <w:szCs w:val="20"/>
      <w:lang w:val="en-GB"/>
    </w:rPr>
  </w:style>
  <w:style w:type="table" w:styleId="Temenseznam">
    <w:name w:val="Dark List"/>
    <w:basedOn w:val="Navadnatabela"/>
    <w:uiPriority w:val="70"/>
    <w:semiHidden/>
    <w:rsid w:val="00EC48A5"/>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EC48A5"/>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EC48A5"/>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EC48A5"/>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EC48A5"/>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EC48A5"/>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EC48A5"/>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8"/>
    <w:semiHidden/>
    <w:rsid w:val="00EC48A5"/>
  </w:style>
  <w:style w:type="character" w:customStyle="1" w:styleId="DatumZnak">
    <w:name w:val="Datum Znak"/>
    <w:basedOn w:val="Privzetapisavaodstavka"/>
    <w:link w:val="Datum"/>
    <w:uiPriority w:val="98"/>
    <w:semiHidden/>
    <w:rsid w:val="00EC48A5"/>
    <w:rPr>
      <w:sz w:val="24"/>
      <w:szCs w:val="24"/>
      <w:lang w:val="en-GB"/>
    </w:rPr>
  </w:style>
  <w:style w:type="paragraph" w:styleId="Zgradbadokumenta">
    <w:name w:val="Document Map"/>
    <w:basedOn w:val="Navaden"/>
    <w:link w:val="ZgradbadokumentaZnak"/>
    <w:uiPriority w:val="98"/>
    <w:semiHidden/>
    <w:rsid w:val="00EC48A5"/>
    <w:rPr>
      <w:rFonts w:ascii="Tahoma" w:hAnsi="Tahoma" w:cs="Tahoma"/>
      <w:sz w:val="16"/>
      <w:szCs w:val="16"/>
    </w:rPr>
  </w:style>
  <w:style w:type="character" w:customStyle="1" w:styleId="ZgradbadokumentaZnak">
    <w:name w:val="Zgradba dokumenta Znak"/>
    <w:basedOn w:val="Privzetapisavaodstavka"/>
    <w:link w:val="Zgradbadokumenta"/>
    <w:uiPriority w:val="98"/>
    <w:semiHidden/>
    <w:rsid w:val="00EC48A5"/>
    <w:rPr>
      <w:rFonts w:ascii="Tahoma" w:hAnsi="Tahoma" w:cs="Tahoma"/>
      <w:sz w:val="16"/>
      <w:szCs w:val="16"/>
      <w:lang w:val="en-GB"/>
    </w:rPr>
  </w:style>
  <w:style w:type="paragraph" w:styleId="E-potnipodpis">
    <w:name w:val="E-mail Signature"/>
    <w:basedOn w:val="Navaden"/>
    <w:link w:val="E-potnipodpisZnak"/>
    <w:uiPriority w:val="98"/>
    <w:semiHidden/>
    <w:rsid w:val="00EC48A5"/>
  </w:style>
  <w:style w:type="character" w:customStyle="1" w:styleId="E-potnipodpisZnak">
    <w:name w:val="E-poštni podpis Znak"/>
    <w:basedOn w:val="Privzetapisavaodstavka"/>
    <w:link w:val="E-potnipodpis"/>
    <w:uiPriority w:val="98"/>
    <w:semiHidden/>
    <w:rsid w:val="00EC48A5"/>
    <w:rPr>
      <w:sz w:val="24"/>
      <w:szCs w:val="24"/>
      <w:lang w:val="en-GB"/>
    </w:rPr>
  </w:style>
  <w:style w:type="character" w:styleId="Konnaopomba-sklic">
    <w:name w:val="endnote reference"/>
    <w:basedOn w:val="Privzetapisavaodstavka"/>
    <w:uiPriority w:val="98"/>
    <w:semiHidden/>
    <w:rsid w:val="00EC48A5"/>
    <w:rPr>
      <w:vertAlign w:val="superscript"/>
    </w:rPr>
  </w:style>
  <w:style w:type="paragraph" w:styleId="Konnaopomba-besedilo">
    <w:name w:val="endnote text"/>
    <w:basedOn w:val="Navaden"/>
    <w:link w:val="Konnaopomba-besediloZnak"/>
    <w:uiPriority w:val="98"/>
    <w:semiHidden/>
    <w:rsid w:val="00EC48A5"/>
    <w:rPr>
      <w:sz w:val="20"/>
      <w:szCs w:val="20"/>
    </w:rPr>
  </w:style>
  <w:style w:type="character" w:customStyle="1" w:styleId="Konnaopomba-besediloZnak">
    <w:name w:val="Končna opomba - besedilo Znak"/>
    <w:basedOn w:val="Privzetapisavaodstavka"/>
    <w:link w:val="Konnaopomba-besedilo"/>
    <w:uiPriority w:val="98"/>
    <w:semiHidden/>
    <w:rsid w:val="00EC48A5"/>
    <w:rPr>
      <w:sz w:val="20"/>
      <w:szCs w:val="20"/>
      <w:lang w:val="en-GB"/>
    </w:rPr>
  </w:style>
  <w:style w:type="paragraph" w:styleId="Naslovnaslovnika">
    <w:name w:val="envelope address"/>
    <w:basedOn w:val="Navaden"/>
    <w:uiPriority w:val="98"/>
    <w:semiHidden/>
    <w:rsid w:val="00EC48A5"/>
    <w:pPr>
      <w:framePr w:w="7938" w:h="1985" w:hRule="exact" w:hSpace="141" w:wrap="auto" w:hAnchor="page" w:xAlign="center" w:yAlign="bottom"/>
      <w:ind w:left="2835"/>
    </w:pPr>
    <w:rPr>
      <w:rFonts w:asciiTheme="majorHAnsi" w:eastAsiaTheme="majorEastAsia" w:hAnsiTheme="majorHAnsi" w:cstheme="majorBidi"/>
    </w:rPr>
  </w:style>
  <w:style w:type="paragraph" w:styleId="Naslovpoiljatelja">
    <w:name w:val="envelope return"/>
    <w:basedOn w:val="Navaden"/>
    <w:uiPriority w:val="98"/>
    <w:semiHidden/>
    <w:rsid w:val="00EC48A5"/>
    <w:rPr>
      <w:rFonts w:asciiTheme="majorHAnsi" w:eastAsiaTheme="majorEastAsia" w:hAnsiTheme="majorHAnsi" w:cstheme="majorBidi"/>
      <w:sz w:val="20"/>
      <w:szCs w:val="20"/>
    </w:rPr>
  </w:style>
  <w:style w:type="character" w:styleId="SledenaHiperpovezava">
    <w:name w:val="FollowedHyperlink"/>
    <w:basedOn w:val="Privzetapisavaodstavka"/>
    <w:uiPriority w:val="98"/>
    <w:semiHidden/>
    <w:rsid w:val="00EC48A5"/>
    <w:rPr>
      <w:color w:val="7030A0" w:themeColor="followedHyperlink"/>
      <w:u w:val="single"/>
    </w:rPr>
  </w:style>
  <w:style w:type="character" w:styleId="Sprotnaopomba-sklic">
    <w:name w:val="footnote reference"/>
    <w:basedOn w:val="Privzetapisavaodstavka"/>
    <w:uiPriority w:val="98"/>
    <w:semiHidden/>
    <w:rsid w:val="00EC48A5"/>
    <w:rPr>
      <w:vertAlign w:val="superscript"/>
    </w:rPr>
  </w:style>
  <w:style w:type="paragraph" w:styleId="Sprotnaopomba-besedilo">
    <w:name w:val="footnote text"/>
    <w:basedOn w:val="Navaden"/>
    <w:link w:val="Sprotnaopomba-besediloZnak"/>
    <w:uiPriority w:val="98"/>
    <w:semiHidden/>
    <w:rsid w:val="00EC48A5"/>
    <w:rPr>
      <w:sz w:val="20"/>
      <w:szCs w:val="20"/>
    </w:rPr>
  </w:style>
  <w:style w:type="character" w:customStyle="1" w:styleId="Sprotnaopomba-besediloZnak">
    <w:name w:val="Sprotna opomba - besedilo Znak"/>
    <w:basedOn w:val="Privzetapisavaodstavka"/>
    <w:link w:val="Sprotnaopomba-besedilo"/>
    <w:uiPriority w:val="98"/>
    <w:semiHidden/>
    <w:rsid w:val="00EC48A5"/>
    <w:rPr>
      <w:sz w:val="20"/>
      <w:szCs w:val="20"/>
      <w:lang w:val="en-GB"/>
    </w:rPr>
  </w:style>
  <w:style w:type="character" w:styleId="HTML-kratica">
    <w:name w:val="HTML Acronym"/>
    <w:basedOn w:val="Privzetapisavaodstavka"/>
    <w:uiPriority w:val="98"/>
    <w:semiHidden/>
    <w:rsid w:val="00EC48A5"/>
  </w:style>
  <w:style w:type="paragraph" w:styleId="HTMLnaslov">
    <w:name w:val="HTML Address"/>
    <w:basedOn w:val="Navaden"/>
    <w:link w:val="HTMLnaslovZnak"/>
    <w:uiPriority w:val="98"/>
    <w:semiHidden/>
    <w:rsid w:val="00EC48A5"/>
    <w:rPr>
      <w:i/>
      <w:iCs/>
    </w:rPr>
  </w:style>
  <w:style w:type="character" w:customStyle="1" w:styleId="HTMLnaslovZnak">
    <w:name w:val="HTML naslov Znak"/>
    <w:basedOn w:val="Privzetapisavaodstavka"/>
    <w:link w:val="HTMLnaslov"/>
    <w:uiPriority w:val="98"/>
    <w:semiHidden/>
    <w:rsid w:val="00EC48A5"/>
    <w:rPr>
      <w:i/>
      <w:iCs/>
      <w:sz w:val="24"/>
      <w:szCs w:val="24"/>
      <w:lang w:val="en-GB"/>
    </w:rPr>
  </w:style>
  <w:style w:type="character" w:styleId="HTML-citat">
    <w:name w:val="HTML Cite"/>
    <w:basedOn w:val="Privzetapisavaodstavka"/>
    <w:uiPriority w:val="98"/>
    <w:semiHidden/>
    <w:rsid w:val="00EC48A5"/>
    <w:rPr>
      <w:i/>
      <w:iCs/>
    </w:rPr>
  </w:style>
  <w:style w:type="character" w:styleId="KodaHTML">
    <w:name w:val="HTML Code"/>
    <w:basedOn w:val="Privzetapisavaodstavka"/>
    <w:uiPriority w:val="98"/>
    <w:semiHidden/>
    <w:rsid w:val="00EC48A5"/>
    <w:rPr>
      <w:rFonts w:ascii="Consolas" w:hAnsi="Consolas" w:cs="Consolas"/>
      <w:sz w:val="20"/>
      <w:szCs w:val="20"/>
    </w:rPr>
  </w:style>
  <w:style w:type="character" w:styleId="DefinicijaHTML">
    <w:name w:val="HTML Definition"/>
    <w:basedOn w:val="Privzetapisavaodstavka"/>
    <w:uiPriority w:val="98"/>
    <w:semiHidden/>
    <w:rsid w:val="00EC48A5"/>
    <w:rPr>
      <w:i/>
      <w:iCs/>
    </w:rPr>
  </w:style>
  <w:style w:type="character" w:styleId="HTML-tipkovnica">
    <w:name w:val="HTML Keyboard"/>
    <w:basedOn w:val="Privzetapisavaodstavka"/>
    <w:uiPriority w:val="98"/>
    <w:semiHidden/>
    <w:rsid w:val="00EC48A5"/>
    <w:rPr>
      <w:rFonts w:ascii="Consolas" w:hAnsi="Consolas" w:cs="Consolas"/>
      <w:sz w:val="20"/>
      <w:szCs w:val="20"/>
    </w:rPr>
  </w:style>
  <w:style w:type="paragraph" w:styleId="HTML-oblikovano">
    <w:name w:val="HTML Preformatted"/>
    <w:basedOn w:val="Navaden"/>
    <w:link w:val="HTML-oblikovanoZnak"/>
    <w:uiPriority w:val="98"/>
    <w:semiHidden/>
    <w:rsid w:val="00EC48A5"/>
    <w:rPr>
      <w:rFonts w:ascii="Consolas" w:hAnsi="Consolas" w:cs="Consolas"/>
      <w:sz w:val="20"/>
      <w:szCs w:val="20"/>
    </w:rPr>
  </w:style>
  <w:style w:type="character" w:customStyle="1" w:styleId="HTML-oblikovanoZnak">
    <w:name w:val="HTML-oblikovano Znak"/>
    <w:basedOn w:val="Privzetapisavaodstavka"/>
    <w:link w:val="HTML-oblikovano"/>
    <w:uiPriority w:val="98"/>
    <w:semiHidden/>
    <w:rsid w:val="00EC48A5"/>
    <w:rPr>
      <w:rFonts w:ascii="Consolas" w:hAnsi="Consolas" w:cs="Consolas"/>
      <w:sz w:val="20"/>
      <w:szCs w:val="20"/>
      <w:lang w:val="en-GB"/>
    </w:rPr>
  </w:style>
  <w:style w:type="character" w:styleId="HTMLvzorec">
    <w:name w:val="HTML Sample"/>
    <w:basedOn w:val="Privzetapisavaodstavka"/>
    <w:uiPriority w:val="98"/>
    <w:semiHidden/>
    <w:rsid w:val="00EC48A5"/>
    <w:rPr>
      <w:rFonts w:ascii="Consolas" w:hAnsi="Consolas" w:cs="Consolas"/>
      <w:sz w:val="24"/>
      <w:szCs w:val="24"/>
    </w:rPr>
  </w:style>
  <w:style w:type="character" w:styleId="HTMLpisalnistroj">
    <w:name w:val="HTML Typewriter"/>
    <w:basedOn w:val="Privzetapisavaodstavka"/>
    <w:uiPriority w:val="98"/>
    <w:semiHidden/>
    <w:rsid w:val="00EC48A5"/>
    <w:rPr>
      <w:rFonts w:ascii="Consolas" w:hAnsi="Consolas" w:cs="Consolas"/>
      <w:sz w:val="20"/>
      <w:szCs w:val="20"/>
    </w:rPr>
  </w:style>
  <w:style w:type="character" w:styleId="HTMLspremenljivka">
    <w:name w:val="HTML Variable"/>
    <w:basedOn w:val="Privzetapisavaodstavka"/>
    <w:uiPriority w:val="98"/>
    <w:semiHidden/>
    <w:rsid w:val="00EC48A5"/>
    <w:rPr>
      <w:i/>
      <w:iCs/>
    </w:rPr>
  </w:style>
  <w:style w:type="character" w:styleId="Hiperpovezava">
    <w:name w:val="Hyperlink"/>
    <w:basedOn w:val="Privzetapisavaodstavka"/>
    <w:uiPriority w:val="98"/>
    <w:semiHidden/>
    <w:rsid w:val="00EC48A5"/>
    <w:rPr>
      <w:color w:val="0072BC" w:themeColor="hyperlink"/>
      <w:u w:val="single"/>
    </w:rPr>
  </w:style>
  <w:style w:type="paragraph" w:styleId="Stvarnokazalo1">
    <w:name w:val="index 1"/>
    <w:basedOn w:val="Navaden"/>
    <w:next w:val="Navaden"/>
    <w:autoRedefine/>
    <w:uiPriority w:val="98"/>
    <w:semiHidden/>
    <w:rsid w:val="00EC48A5"/>
    <w:pPr>
      <w:ind w:left="240" w:hanging="240"/>
    </w:pPr>
  </w:style>
  <w:style w:type="paragraph" w:styleId="Stvarnokazalo2">
    <w:name w:val="index 2"/>
    <w:basedOn w:val="Navaden"/>
    <w:next w:val="Navaden"/>
    <w:autoRedefine/>
    <w:uiPriority w:val="98"/>
    <w:semiHidden/>
    <w:rsid w:val="00EC48A5"/>
    <w:pPr>
      <w:ind w:left="480" w:hanging="240"/>
    </w:pPr>
  </w:style>
  <w:style w:type="paragraph" w:styleId="Stvarnokazalo3">
    <w:name w:val="index 3"/>
    <w:basedOn w:val="Navaden"/>
    <w:next w:val="Navaden"/>
    <w:autoRedefine/>
    <w:uiPriority w:val="98"/>
    <w:semiHidden/>
    <w:rsid w:val="00EC48A5"/>
    <w:pPr>
      <w:ind w:left="720" w:hanging="240"/>
    </w:pPr>
  </w:style>
  <w:style w:type="paragraph" w:styleId="Stvarnokazalo4">
    <w:name w:val="index 4"/>
    <w:basedOn w:val="Navaden"/>
    <w:next w:val="Navaden"/>
    <w:autoRedefine/>
    <w:uiPriority w:val="98"/>
    <w:semiHidden/>
    <w:rsid w:val="00EC48A5"/>
    <w:pPr>
      <w:ind w:left="960" w:hanging="240"/>
    </w:pPr>
  </w:style>
  <w:style w:type="paragraph" w:styleId="Stvarnokazalo5">
    <w:name w:val="index 5"/>
    <w:basedOn w:val="Navaden"/>
    <w:next w:val="Navaden"/>
    <w:autoRedefine/>
    <w:uiPriority w:val="98"/>
    <w:semiHidden/>
    <w:rsid w:val="00EC48A5"/>
    <w:pPr>
      <w:ind w:left="1200" w:hanging="240"/>
    </w:pPr>
  </w:style>
  <w:style w:type="paragraph" w:styleId="Stvarnokazalo6">
    <w:name w:val="index 6"/>
    <w:basedOn w:val="Navaden"/>
    <w:next w:val="Navaden"/>
    <w:autoRedefine/>
    <w:uiPriority w:val="98"/>
    <w:semiHidden/>
    <w:rsid w:val="00EC48A5"/>
    <w:pPr>
      <w:ind w:left="1440" w:hanging="240"/>
    </w:pPr>
  </w:style>
  <w:style w:type="paragraph" w:styleId="Stvarnokazalo7">
    <w:name w:val="index 7"/>
    <w:basedOn w:val="Navaden"/>
    <w:next w:val="Navaden"/>
    <w:autoRedefine/>
    <w:uiPriority w:val="98"/>
    <w:semiHidden/>
    <w:rsid w:val="00EC48A5"/>
    <w:pPr>
      <w:ind w:left="1680" w:hanging="240"/>
    </w:pPr>
  </w:style>
  <w:style w:type="paragraph" w:styleId="Stvarnokazalo8">
    <w:name w:val="index 8"/>
    <w:basedOn w:val="Navaden"/>
    <w:next w:val="Navaden"/>
    <w:autoRedefine/>
    <w:uiPriority w:val="98"/>
    <w:semiHidden/>
    <w:rsid w:val="00EC48A5"/>
    <w:pPr>
      <w:ind w:left="1920" w:hanging="240"/>
    </w:pPr>
  </w:style>
  <w:style w:type="paragraph" w:styleId="Stvarnokazalo9">
    <w:name w:val="index 9"/>
    <w:basedOn w:val="Navaden"/>
    <w:next w:val="Navaden"/>
    <w:autoRedefine/>
    <w:uiPriority w:val="98"/>
    <w:semiHidden/>
    <w:rsid w:val="00EC48A5"/>
    <w:pPr>
      <w:ind w:left="2160" w:hanging="240"/>
    </w:pPr>
  </w:style>
  <w:style w:type="paragraph" w:styleId="Stvarnokazalo-naslov">
    <w:name w:val="index heading"/>
    <w:basedOn w:val="Navaden"/>
    <w:next w:val="Stvarnokazalo1"/>
    <w:uiPriority w:val="98"/>
    <w:semiHidden/>
    <w:rsid w:val="00EC48A5"/>
    <w:rPr>
      <w:rFonts w:asciiTheme="majorHAnsi" w:eastAsiaTheme="majorEastAsia" w:hAnsiTheme="majorHAnsi" w:cstheme="majorBidi"/>
      <w:b/>
      <w:bCs/>
    </w:rPr>
  </w:style>
  <w:style w:type="table" w:styleId="Svetlamrea">
    <w:name w:val="Light Grid"/>
    <w:basedOn w:val="Navadnatabela"/>
    <w:uiPriority w:val="62"/>
    <w:semiHidden/>
    <w:rsid w:val="00EC48A5"/>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EC48A5"/>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EC48A5"/>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EC48A5"/>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EC48A5"/>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EC48A5"/>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EC48A5"/>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EC48A5"/>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EC48A5"/>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EC48A5"/>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EC48A5"/>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EC48A5"/>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EC48A5"/>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EC48A5"/>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EC48A5"/>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EC48A5"/>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EC48A5"/>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EC48A5"/>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EC48A5"/>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EC48A5"/>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EC48A5"/>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8"/>
    <w:semiHidden/>
    <w:rsid w:val="00EC48A5"/>
  </w:style>
  <w:style w:type="paragraph" w:styleId="Seznam">
    <w:name w:val="List"/>
    <w:basedOn w:val="Navaden"/>
    <w:uiPriority w:val="98"/>
    <w:semiHidden/>
    <w:rsid w:val="00EC48A5"/>
    <w:pPr>
      <w:ind w:left="283" w:hanging="283"/>
      <w:contextualSpacing/>
    </w:pPr>
  </w:style>
  <w:style w:type="paragraph" w:styleId="Seznam2">
    <w:name w:val="List 2"/>
    <w:basedOn w:val="Navaden"/>
    <w:uiPriority w:val="98"/>
    <w:semiHidden/>
    <w:rsid w:val="00EC48A5"/>
    <w:pPr>
      <w:ind w:left="566" w:hanging="283"/>
      <w:contextualSpacing/>
    </w:pPr>
  </w:style>
  <w:style w:type="paragraph" w:styleId="Seznam3">
    <w:name w:val="List 3"/>
    <w:basedOn w:val="Navaden"/>
    <w:uiPriority w:val="98"/>
    <w:semiHidden/>
    <w:rsid w:val="00EC48A5"/>
    <w:pPr>
      <w:ind w:left="849" w:hanging="283"/>
      <w:contextualSpacing/>
    </w:pPr>
  </w:style>
  <w:style w:type="paragraph" w:styleId="Seznam4">
    <w:name w:val="List 4"/>
    <w:basedOn w:val="Navaden"/>
    <w:uiPriority w:val="98"/>
    <w:semiHidden/>
    <w:rsid w:val="00EC48A5"/>
    <w:pPr>
      <w:ind w:left="1132" w:hanging="283"/>
      <w:contextualSpacing/>
    </w:pPr>
  </w:style>
  <w:style w:type="paragraph" w:styleId="Seznam5">
    <w:name w:val="List 5"/>
    <w:basedOn w:val="Navaden"/>
    <w:uiPriority w:val="98"/>
    <w:semiHidden/>
    <w:rsid w:val="00EC48A5"/>
    <w:pPr>
      <w:ind w:left="1415" w:hanging="283"/>
      <w:contextualSpacing/>
    </w:pPr>
  </w:style>
  <w:style w:type="paragraph" w:styleId="Oznaenseznam">
    <w:name w:val="List Bullet"/>
    <w:basedOn w:val="Navaden"/>
    <w:uiPriority w:val="98"/>
    <w:semiHidden/>
    <w:rsid w:val="00EC48A5"/>
    <w:pPr>
      <w:numPr>
        <w:numId w:val="9"/>
      </w:numPr>
    </w:pPr>
  </w:style>
  <w:style w:type="paragraph" w:styleId="Oznaenseznam2">
    <w:name w:val="List Bullet 2"/>
    <w:basedOn w:val="Navaden"/>
    <w:uiPriority w:val="98"/>
    <w:semiHidden/>
    <w:rsid w:val="00EC48A5"/>
    <w:pPr>
      <w:numPr>
        <w:numId w:val="10"/>
      </w:numPr>
      <w:contextualSpacing/>
    </w:pPr>
  </w:style>
  <w:style w:type="paragraph" w:styleId="Oznaenseznam3">
    <w:name w:val="List Bullet 3"/>
    <w:basedOn w:val="Navaden"/>
    <w:uiPriority w:val="98"/>
    <w:semiHidden/>
    <w:rsid w:val="00EC48A5"/>
    <w:pPr>
      <w:numPr>
        <w:numId w:val="11"/>
      </w:numPr>
      <w:contextualSpacing/>
    </w:pPr>
  </w:style>
  <w:style w:type="paragraph" w:styleId="Oznaenseznam4">
    <w:name w:val="List Bullet 4"/>
    <w:basedOn w:val="Navaden"/>
    <w:uiPriority w:val="98"/>
    <w:semiHidden/>
    <w:rsid w:val="00EC48A5"/>
    <w:pPr>
      <w:numPr>
        <w:numId w:val="12"/>
      </w:numPr>
      <w:contextualSpacing/>
    </w:pPr>
  </w:style>
  <w:style w:type="paragraph" w:styleId="Oznaenseznam5">
    <w:name w:val="List Bullet 5"/>
    <w:basedOn w:val="Navaden"/>
    <w:uiPriority w:val="98"/>
    <w:semiHidden/>
    <w:rsid w:val="00EC48A5"/>
    <w:pPr>
      <w:numPr>
        <w:numId w:val="13"/>
      </w:numPr>
      <w:contextualSpacing/>
    </w:pPr>
  </w:style>
  <w:style w:type="paragraph" w:styleId="Seznam-nadaljevanje">
    <w:name w:val="List Continue"/>
    <w:basedOn w:val="Navaden"/>
    <w:uiPriority w:val="98"/>
    <w:semiHidden/>
    <w:rsid w:val="00EC48A5"/>
    <w:pPr>
      <w:spacing w:after="120"/>
      <w:ind w:left="283"/>
      <w:contextualSpacing/>
    </w:pPr>
  </w:style>
  <w:style w:type="paragraph" w:styleId="Seznam-nadaljevanje2">
    <w:name w:val="List Continue 2"/>
    <w:basedOn w:val="Navaden"/>
    <w:uiPriority w:val="98"/>
    <w:semiHidden/>
    <w:rsid w:val="00EC48A5"/>
    <w:pPr>
      <w:spacing w:after="120"/>
      <w:ind w:left="566"/>
      <w:contextualSpacing/>
    </w:pPr>
  </w:style>
  <w:style w:type="paragraph" w:styleId="Seznam-nadaljevanje3">
    <w:name w:val="List Continue 3"/>
    <w:basedOn w:val="Navaden"/>
    <w:uiPriority w:val="98"/>
    <w:semiHidden/>
    <w:rsid w:val="00EC48A5"/>
    <w:pPr>
      <w:spacing w:after="120"/>
      <w:ind w:left="849"/>
      <w:contextualSpacing/>
    </w:pPr>
  </w:style>
  <w:style w:type="paragraph" w:styleId="Seznam-nadaljevanje4">
    <w:name w:val="List Continue 4"/>
    <w:basedOn w:val="Navaden"/>
    <w:uiPriority w:val="98"/>
    <w:semiHidden/>
    <w:rsid w:val="00EC48A5"/>
    <w:pPr>
      <w:spacing w:after="120"/>
      <w:ind w:left="1132"/>
      <w:contextualSpacing/>
    </w:pPr>
  </w:style>
  <w:style w:type="paragraph" w:styleId="Seznam-nadaljevanje5">
    <w:name w:val="List Continue 5"/>
    <w:basedOn w:val="Navaden"/>
    <w:uiPriority w:val="98"/>
    <w:semiHidden/>
    <w:rsid w:val="00EC48A5"/>
    <w:pPr>
      <w:spacing w:after="120"/>
      <w:ind w:left="1415"/>
      <w:contextualSpacing/>
    </w:pPr>
  </w:style>
  <w:style w:type="paragraph" w:styleId="Otevilenseznam">
    <w:name w:val="List Number"/>
    <w:basedOn w:val="Navaden"/>
    <w:uiPriority w:val="98"/>
    <w:semiHidden/>
    <w:rsid w:val="00EC48A5"/>
    <w:pPr>
      <w:numPr>
        <w:numId w:val="14"/>
      </w:numPr>
      <w:contextualSpacing/>
    </w:pPr>
  </w:style>
  <w:style w:type="paragraph" w:styleId="Otevilenseznam2">
    <w:name w:val="List Number 2"/>
    <w:basedOn w:val="Navaden"/>
    <w:uiPriority w:val="98"/>
    <w:semiHidden/>
    <w:rsid w:val="00EC48A5"/>
    <w:pPr>
      <w:numPr>
        <w:numId w:val="15"/>
      </w:numPr>
      <w:contextualSpacing/>
    </w:pPr>
  </w:style>
  <w:style w:type="paragraph" w:styleId="Otevilenseznam3">
    <w:name w:val="List Number 3"/>
    <w:basedOn w:val="Navaden"/>
    <w:uiPriority w:val="98"/>
    <w:semiHidden/>
    <w:rsid w:val="00EC48A5"/>
    <w:pPr>
      <w:numPr>
        <w:numId w:val="16"/>
      </w:numPr>
      <w:contextualSpacing/>
    </w:pPr>
  </w:style>
  <w:style w:type="paragraph" w:styleId="Otevilenseznam4">
    <w:name w:val="List Number 4"/>
    <w:basedOn w:val="Navaden"/>
    <w:uiPriority w:val="98"/>
    <w:semiHidden/>
    <w:rsid w:val="00EC48A5"/>
    <w:pPr>
      <w:numPr>
        <w:numId w:val="17"/>
      </w:numPr>
      <w:contextualSpacing/>
    </w:pPr>
  </w:style>
  <w:style w:type="paragraph" w:styleId="Otevilenseznam5">
    <w:name w:val="List Number 5"/>
    <w:basedOn w:val="Navaden"/>
    <w:uiPriority w:val="98"/>
    <w:semiHidden/>
    <w:rsid w:val="00EC48A5"/>
    <w:pPr>
      <w:numPr>
        <w:numId w:val="18"/>
      </w:numPr>
      <w:contextualSpacing/>
    </w:pPr>
  </w:style>
  <w:style w:type="paragraph" w:styleId="Makrobesedilo">
    <w:name w:val="macro"/>
    <w:link w:val="MakrobesediloZnak"/>
    <w:uiPriority w:val="98"/>
    <w:semiHidden/>
    <w:rsid w:val="00EC48A5"/>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8"/>
    <w:semiHidden/>
    <w:rsid w:val="00EC48A5"/>
    <w:rPr>
      <w:rFonts w:ascii="Consolas" w:eastAsiaTheme="minorEastAsia" w:hAnsi="Consolas" w:cs="Consolas"/>
      <w:sz w:val="20"/>
      <w:szCs w:val="20"/>
    </w:rPr>
  </w:style>
  <w:style w:type="table" w:styleId="Srednjamrea1">
    <w:name w:val="Medium Grid 1"/>
    <w:basedOn w:val="Navadnatabela"/>
    <w:uiPriority w:val="67"/>
    <w:semiHidden/>
    <w:rsid w:val="00EC48A5"/>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EC48A5"/>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EC48A5"/>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EC48A5"/>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EC48A5"/>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EC48A5"/>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EC48A5"/>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EC48A5"/>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EC48A5"/>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EC48A5"/>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EC48A5"/>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EC48A5"/>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EC48A5"/>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EC48A5"/>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EC48A5"/>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EC48A5"/>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EC48A5"/>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EC48A5"/>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EC48A5"/>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EC48A5"/>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EC48A5"/>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EC48A5"/>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EC48A5"/>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EC48A5"/>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EC48A5"/>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EC48A5"/>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EC48A5"/>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EC48A5"/>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EC48A5"/>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EC48A5"/>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EC48A5"/>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EC48A5"/>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EC48A5"/>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EC48A5"/>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EC48A5"/>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EC48A5"/>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8"/>
    <w:semiHidden/>
    <w:rsid w:val="00EC48A5"/>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GlavasporoilaZnak">
    <w:name w:val="Glava sporočila Znak"/>
    <w:basedOn w:val="Privzetapisavaodstavka"/>
    <w:link w:val="Glavasporoila"/>
    <w:uiPriority w:val="98"/>
    <w:semiHidden/>
    <w:rsid w:val="00EC48A5"/>
    <w:rPr>
      <w:rFonts w:asciiTheme="majorHAnsi" w:eastAsiaTheme="majorEastAsia" w:hAnsiTheme="majorHAnsi" w:cstheme="majorBidi"/>
      <w:sz w:val="24"/>
      <w:szCs w:val="24"/>
      <w:shd w:val="pct20" w:color="auto" w:fill="auto"/>
      <w:lang w:val="en-GB"/>
    </w:rPr>
  </w:style>
  <w:style w:type="paragraph" w:styleId="Navadensplet">
    <w:name w:val="Normal (Web)"/>
    <w:basedOn w:val="Navaden"/>
    <w:uiPriority w:val="98"/>
    <w:semiHidden/>
    <w:rsid w:val="00EC48A5"/>
    <w:rPr>
      <w:rFonts w:ascii="Times New Roman" w:hAnsi="Times New Roman" w:cs="Times New Roman"/>
    </w:rPr>
  </w:style>
  <w:style w:type="paragraph" w:styleId="Navaden-zamik">
    <w:name w:val="Normal Indent"/>
    <w:basedOn w:val="Navaden"/>
    <w:uiPriority w:val="98"/>
    <w:semiHidden/>
    <w:rsid w:val="00EC48A5"/>
    <w:pPr>
      <w:ind w:left="720"/>
    </w:pPr>
  </w:style>
  <w:style w:type="table" w:customStyle="1" w:styleId="ECHRTableNoLines">
    <w:name w:val="ECHR_Table_No_Lines"/>
    <w:basedOn w:val="Navadnatabela"/>
    <w:uiPriority w:val="99"/>
    <w:rsid w:val="00EC48A5"/>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SimpleBox">
    <w:name w:val="ECHR_Table_Simple_Box"/>
    <w:basedOn w:val="Navadnatabela"/>
    <w:uiPriority w:val="99"/>
    <w:rsid w:val="00EC48A5"/>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character" w:styleId="Besedilooznabemesta">
    <w:name w:val="Placeholder Text"/>
    <w:basedOn w:val="Privzetapisavaodstavka"/>
    <w:uiPriority w:val="98"/>
    <w:semiHidden/>
    <w:rsid w:val="00EC48A5"/>
    <w:rPr>
      <w:color w:val="auto"/>
      <w:bdr w:val="none" w:sz="0" w:space="0" w:color="auto"/>
      <w:shd w:val="clear" w:color="auto" w:fill="DFDFDF" w:themeFill="background2" w:themeFillShade="E6"/>
    </w:rPr>
  </w:style>
  <w:style w:type="paragraph" w:styleId="Golobesedilo">
    <w:name w:val="Plain Text"/>
    <w:basedOn w:val="Navaden"/>
    <w:link w:val="GolobesediloZnak"/>
    <w:uiPriority w:val="98"/>
    <w:semiHidden/>
    <w:rsid w:val="00EC48A5"/>
    <w:rPr>
      <w:rFonts w:ascii="Consolas" w:hAnsi="Consolas" w:cs="Consolas"/>
      <w:sz w:val="21"/>
      <w:szCs w:val="21"/>
    </w:rPr>
  </w:style>
  <w:style w:type="character" w:customStyle="1" w:styleId="GolobesediloZnak">
    <w:name w:val="Golo besedilo Znak"/>
    <w:basedOn w:val="Privzetapisavaodstavka"/>
    <w:link w:val="Golobesedilo"/>
    <w:uiPriority w:val="98"/>
    <w:semiHidden/>
    <w:rsid w:val="00EC48A5"/>
    <w:rPr>
      <w:rFonts w:ascii="Consolas" w:hAnsi="Consolas" w:cs="Consolas"/>
      <w:sz w:val="21"/>
      <w:szCs w:val="21"/>
      <w:lang w:val="en-GB"/>
    </w:rPr>
  </w:style>
  <w:style w:type="paragraph" w:styleId="Uvodnipozdrav">
    <w:name w:val="Salutation"/>
    <w:basedOn w:val="Navaden"/>
    <w:next w:val="Navaden"/>
    <w:link w:val="UvodnipozdravZnak"/>
    <w:uiPriority w:val="98"/>
    <w:semiHidden/>
    <w:rsid w:val="00EC48A5"/>
  </w:style>
  <w:style w:type="character" w:customStyle="1" w:styleId="UvodnipozdravZnak">
    <w:name w:val="Uvodni pozdrav Znak"/>
    <w:basedOn w:val="Privzetapisavaodstavka"/>
    <w:link w:val="Uvodnipozdrav"/>
    <w:uiPriority w:val="98"/>
    <w:semiHidden/>
    <w:rsid w:val="00EC48A5"/>
    <w:rPr>
      <w:sz w:val="24"/>
      <w:szCs w:val="24"/>
      <w:lang w:val="en-GB"/>
    </w:rPr>
  </w:style>
  <w:style w:type="paragraph" w:styleId="Podpis">
    <w:name w:val="Signature"/>
    <w:basedOn w:val="Navaden"/>
    <w:link w:val="PodpisZnak"/>
    <w:uiPriority w:val="98"/>
    <w:semiHidden/>
    <w:rsid w:val="00EC48A5"/>
    <w:pPr>
      <w:ind w:left="4252"/>
    </w:pPr>
  </w:style>
  <w:style w:type="character" w:customStyle="1" w:styleId="PodpisZnak">
    <w:name w:val="Podpis Znak"/>
    <w:basedOn w:val="Privzetapisavaodstavka"/>
    <w:link w:val="Podpis"/>
    <w:uiPriority w:val="98"/>
    <w:semiHidden/>
    <w:rsid w:val="00EC48A5"/>
    <w:rPr>
      <w:sz w:val="24"/>
      <w:szCs w:val="24"/>
      <w:lang w:val="en-GB"/>
    </w:rPr>
  </w:style>
  <w:style w:type="table" w:styleId="Tabela3-Duinki1">
    <w:name w:val="Table 3D effects 1"/>
    <w:basedOn w:val="Navadnatabela"/>
    <w:uiPriority w:val="99"/>
    <w:semiHidden/>
    <w:unhideWhenUsed/>
    <w:rsid w:val="00EC48A5"/>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C48A5"/>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C48A5"/>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C48A5"/>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C48A5"/>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C48A5"/>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C48A5"/>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C48A5"/>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C48A5"/>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C48A5"/>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C48A5"/>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C48A5"/>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C48A5"/>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C48A5"/>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C48A5"/>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C48A5"/>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C48A5"/>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EC48A5"/>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C48A5"/>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C48A5"/>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C48A5"/>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C48A5"/>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C48A5"/>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C48A5"/>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C48A5"/>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C48A5"/>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C48A5"/>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C48A5"/>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C48A5"/>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C48A5"/>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C48A5"/>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C48A5"/>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C48A5"/>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C48A5"/>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8"/>
    <w:semiHidden/>
    <w:rsid w:val="00EC48A5"/>
    <w:pPr>
      <w:ind w:left="240" w:hanging="240"/>
    </w:pPr>
  </w:style>
  <w:style w:type="paragraph" w:styleId="Kazaloslik">
    <w:name w:val="table of figures"/>
    <w:basedOn w:val="Navaden"/>
    <w:next w:val="Navaden"/>
    <w:uiPriority w:val="98"/>
    <w:semiHidden/>
    <w:rsid w:val="00EC48A5"/>
  </w:style>
  <w:style w:type="table" w:styleId="Tabelaprofesionalna">
    <w:name w:val="Table Professional"/>
    <w:basedOn w:val="Navadnatabela"/>
    <w:uiPriority w:val="99"/>
    <w:semiHidden/>
    <w:unhideWhenUsed/>
    <w:rsid w:val="00EC48A5"/>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C48A5"/>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C48A5"/>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C48A5"/>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C48A5"/>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C48A5"/>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C48A5"/>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C48A5"/>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C48A5"/>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C48A5"/>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8"/>
    <w:semiHidden/>
    <w:rsid w:val="00EC48A5"/>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Kazalovsebine1">
    <w:name w:val="toc 1"/>
    <w:basedOn w:val="Navaden"/>
    <w:next w:val="Navaden"/>
    <w:autoRedefine/>
    <w:uiPriority w:val="98"/>
    <w:semiHidden/>
    <w:rsid w:val="00EC48A5"/>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8"/>
    <w:semiHidden/>
    <w:rsid w:val="00EC48A5"/>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8"/>
    <w:semiHidden/>
    <w:rsid w:val="00EC48A5"/>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8"/>
    <w:semiHidden/>
    <w:rsid w:val="00EC48A5"/>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8"/>
    <w:semiHidden/>
    <w:rsid w:val="00EC48A5"/>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8"/>
    <w:semiHidden/>
    <w:rsid w:val="00EC48A5"/>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8"/>
    <w:semiHidden/>
    <w:rsid w:val="00EC48A5"/>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8"/>
    <w:semiHidden/>
    <w:rsid w:val="00EC48A5"/>
    <w:pPr>
      <w:spacing w:after="100"/>
      <w:ind w:left="1680"/>
    </w:pPr>
  </w:style>
  <w:style w:type="paragraph" w:styleId="Kazalovsebine9">
    <w:name w:val="toc 9"/>
    <w:basedOn w:val="Navaden"/>
    <w:next w:val="Navaden"/>
    <w:autoRedefine/>
    <w:uiPriority w:val="98"/>
    <w:semiHidden/>
    <w:rsid w:val="00EC48A5"/>
    <w:pPr>
      <w:spacing w:after="100"/>
      <w:ind w:left="1920"/>
    </w:pPr>
  </w:style>
  <w:style w:type="paragraph" w:customStyle="1" w:styleId="ECHRFooter">
    <w:name w:val="ECHR_Footer"/>
    <w:aliases w:val="Footer_ECHR"/>
    <w:basedOn w:val="Noga"/>
    <w:uiPriority w:val="57"/>
    <w:semiHidden/>
    <w:rsid w:val="00987A64"/>
    <w:rPr>
      <w:sz w:val="8"/>
    </w:rPr>
  </w:style>
  <w:style w:type="paragraph" w:customStyle="1" w:styleId="Footer">
    <w:name w:val="_Footer"/>
    <w:aliases w:val="Footer_"/>
    <w:basedOn w:val="Noga"/>
    <w:uiPriority w:val="57"/>
    <w:semiHidden/>
    <w:rsid w:val="00EC48A5"/>
    <w:rPr>
      <w:sz w:val="8"/>
    </w:rPr>
  </w:style>
  <w:style w:type="paragraph" w:styleId="Noga">
    <w:name w:val="footer"/>
    <w:basedOn w:val="Navaden"/>
    <w:link w:val="NogaZnak"/>
    <w:uiPriority w:val="98"/>
    <w:semiHidden/>
    <w:rsid w:val="00EC48A5"/>
    <w:pPr>
      <w:tabs>
        <w:tab w:val="center" w:pos="3686"/>
        <w:tab w:val="right" w:pos="7371"/>
      </w:tabs>
    </w:pPr>
  </w:style>
  <w:style w:type="character" w:customStyle="1" w:styleId="NogaZnak">
    <w:name w:val="Noga Znak"/>
    <w:basedOn w:val="Privzetapisavaodstavka"/>
    <w:link w:val="Noga"/>
    <w:uiPriority w:val="98"/>
    <w:semiHidden/>
    <w:rsid w:val="00EC48A5"/>
    <w:rPr>
      <w:sz w:val="24"/>
      <w:szCs w:val="24"/>
      <w:lang w:val="en-GB"/>
    </w:rPr>
  </w:style>
  <w:style w:type="paragraph" w:customStyle="1" w:styleId="FooterLine">
    <w:name w:val="_Footer_Line"/>
    <w:aliases w:val="Footer_Line"/>
    <w:basedOn w:val="Navaden"/>
    <w:next w:val="Footer"/>
    <w:uiPriority w:val="57"/>
    <w:semiHidden/>
    <w:rsid w:val="00EC48A5"/>
    <w:pPr>
      <w:pBdr>
        <w:top w:val="single" w:sz="6" w:space="1" w:color="5F5F5F"/>
      </w:pBdr>
      <w:tabs>
        <w:tab w:val="center" w:pos="3686"/>
        <w:tab w:val="right" w:pos="7371"/>
      </w:tabs>
      <w:ind w:left="-1474" w:right="-1474"/>
    </w:pPr>
    <w:rPr>
      <w:color w:val="5F5F5F"/>
    </w:rPr>
  </w:style>
  <w:style w:type="table" w:customStyle="1" w:styleId="ECHRListTable">
    <w:name w:val="ECHR_List_Table"/>
    <w:basedOn w:val="Navadnatabela"/>
    <w:uiPriority w:val="99"/>
    <w:rsid w:val="00EC48A5"/>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Case">
    <w:name w:val="Ju_Case"/>
    <w:aliases w:val="_Case_Name"/>
    <w:basedOn w:val="Navaden"/>
    <w:next w:val="JuPara"/>
    <w:uiPriority w:val="32"/>
    <w:rsid w:val="00EC48A5"/>
    <w:pPr>
      <w:ind w:firstLine="284"/>
    </w:pPr>
    <w:rPr>
      <w:b/>
    </w:rPr>
  </w:style>
  <w:style w:type="paragraph" w:styleId="Opomba-naslov">
    <w:name w:val="Note Heading"/>
    <w:basedOn w:val="Navaden"/>
    <w:next w:val="Navaden"/>
    <w:link w:val="Opomba-naslovZnak"/>
    <w:uiPriority w:val="98"/>
    <w:semiHidden/>
    <w:rsid w:val="00EC48A5"/>
  </w:style>
  <w:style w:type="character" w:customStyle="1" w:styleId="Opomba-naslovZnak">
    <w:name w:val="Opomba - naslov Znak"/>
    <w:basedOn w:val="Privzetapisavaodstavka"/>
    <w:link w:val="Opomba-naslov"/>
    <w:uiPriority w:val="98"/>
    <w:semiHidden/>
    <w:rsid w:val="00EC48A5"/>
    <w:rPr>
      <w:sz w:val="24"/>
      <w:szCs w:val="24"/>
      <w:lang w:val="en-GB"/>
    </w:rPr>
  </w:style>
  <w:style w:type="paragraph" w:customStyle="1" w:styleId="DummyStyle">
    <w:name w:val="Dummy_Style"/>
    <w:aliases w:val="_Dummy"/>
    <w:basedOn w:val="Navaden"/>
    <w:semiHidden/>
    <w:qFormat/>
    <w:rsid w:val="00EC48A5"/>
    <w:rPr>
      <w:color w:val="00B050"/>
      <w:sz w:val="22"/>
    </w:rPr>
  </w:style>
  <w:style w:type="paragraph" w:customStyle="1" w:styleId="ECHRBullet1">
    <w:name w:val="ECHR_Bullet_1"/>
    <w:aliases w:val="_Bul_1"/>
    <w:basedOn w:val="NormalJustified"/>
    <w:uiPriority w:val="23"/>
    <w:semiHidden/>
    <w:qFormat/>
    <w:rsid w:val="00EC48A5"/>
    <w:pPr>
      <w:numPr>
        <w:numId w:val="6"/>
      </w:numPr>
      <w:spacing w:before="60" w:after="60"/>
    </w:pPr>
  </w:style>
  <w:style w:type="paragraph" w:customStyle="1" w:styleId="ECHRBullet2">
    <w:name w:val="ECHR_Bullet_2"/>
    <w:aliases w:val="_Bul_2"/>
    <w:basedOn w:val="ECHRBullet1"/>
    <w:uiPriority w:val="23"/>
    <w:semiHidden/>
    <w:rsid w:val="00EC48A5"/>
    <w:pPr>
      <w:numPr>
        <w:ilvl w:val="1"/>
      </w:numPr>
    </w:pPr>
  </w:style>
  <w:style w:type="paragraph" w:customStyle="1" w:styleId="ECHRBullet3">
    <w:name w:val="ECHR_Bullet_3"/>
    <w:aliases w:val="_Bul_3"/>
    <w:basedOn w:val="ECHRBullet2"/>
    <w:uiPriority w:val="23"/>
    <w:semiHidden/>
    <w:rsid w:val="00EC48A5"/>
    <w:pPr>
      <w:numPr>
        <w:ilvl w:val="2"/>
      </w:numPr>
    </w:pPr>
  </w:style>
  <w:style w:type="paragraph" w:customStyle="1" w:styleId="ECHRBullet4">
    <w:name w:val="ECHR_Bullet_4"/>
    <w:aliases w:val="_Bul_4"/>
    <w:basedOn w:val="ECHRBullet3"/>
    <w:uiPriority w:val="23"/>
    <w:semiHidden/>
    <w:rsid w:val="00EC48A5"/>
    <w:pPr>
      <w:numPr>
        <w:ilvl w:val="3"/>
      </w:numPr>
    </w:pPr>
  </w:style>
  <w:style w:type="paragraph" w:customStyle="1" w:styleId="ECHRConfidential">
    <w:name w:val="ECHR_Confidential"/>
    <w:aliases w:val="_Confidential"/>
    <w:basedOn w:val="Navaden"/>
    <w:next w:val="Navaden"/>
    <w:uiPriority w:val="42"/>
    <w:semiHidden/>
    <w:qFormat/>
    <w:rsid w:val="00EC48A5"/>
    <w:pPr>
      <w:jc w:val="right"/>
    </w:pPr>
    <w:rPr>
      <w:color w:val="C00000"/>
      <w:sz w:val="20"/>
    </w:rPr>
  </w:style>
  <w:style w:type="paragraph" w:customStyle="1" w:styleId="ECHRDecisionBody">
    <w:name w:val="ECHR_Decision_Body"/>
    <w:aliases w:val="_Decision_Body"/>
    <w:basedOn w:val="NormalJustified"/>
    <w:uiPriority w:val="54"/>
    <w:semiHidden/>
    <w:rsid w:val="00EC48A5"/>
    <w:pPr>
      <w:tabs>
        <w:tab w:val="left" w:pos="567"/>
        <w:tab w:val="left" w:pos="1134"/>
      </w:tabs>
      <w:spacing w:line="240" w:lineRule="exact"/>
      <w:jc w:val="left"/>
    </w:pPr>
  </w:style>
  <w:style w:type="paragraph" w:customStyle="1" w:styleId="ECHRDivisionName">
    <w:name w:val="ECHR_DivisionName"/>
    <w:aliases w:val="_Div_Name"/>
    <w:basedOn w:val="Navaden"/>
    <w:link w:val="ECHRDivisionNameChar"/>
    <w:uiPriority w:val="41"/>
    <w:semiHidden/>
    <w:qFormat/>
    <w:rsid w:val="00EC48A5"/>
    <w:pPr>
      <w:contextualSpacing/>
      <w:jc w:val="center"/>
    </w:pPr>
    <w:rPr>
      <w:rFonts w:ascii="Arial" w:hAnsi="Arial"/>
      <w:i/>
      <w:color w:val="002856"/>
      <w:sz w:val="32"/>
    </w:rPr>
  </w:style>
  <w:style w:type="character" w:customStyle="1" w:styleId="ECHRDivisionNameChar">
    <w:name w:val="ECHR_DivisionName Char"/>
    <w:aliases w:val="_Div_Name Char"/>
    <w:basedOn w:val="Privzetapisavaodstavka"/>
    <w:link w:val="ECHRDivisionName"/>
    <w:uiPriority w:val="41"/>
    <w:semiHidden/>
    <w:rsid w:val="00EC48A5"/>
    <w:rPr>
      <w:rFonts w:ascii="Arial" w:hAnsi="Arial"/>
      <w:i/>
      <w:color w:val="002856"/>
      <w:sz w:val="32"/>
      <w:szCs w:val="24"/>
      <w:lang w:val="en-GB"/>
    </w:rPr>
  </w:style>
  <w:style w:type="paragraph" w:customStyle="1" w:styleId="ECHRFooterLineLandscape">
    <w:name w:val="ECHR_Footer_Line_Landscape"/>
    <w:aliases w:val="_Footer_Line_Landscape"/>
    <w:basedOn w:val="Navaden"/>
    <w:uiPriority w:val="30"/>
    <w:semiHidden/>
    <w:rsid w:val="00EC48A5"/>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avaden"/>
    <w:uiPriority w:val="44"/>
    <w:semiHidden/>
    <w:qFormat/>
    <w:rsid w:val="00EC48A5"/>
    <w:pPr>
      <w:jc w:val="right"/>
    </w:pPr>
    <w:rPr>
      <w:sz w:val="20"/>
    </w:rPr>
  </w:style>
  <w:style w:type="paragraph" w:customStyle="1" w:styleId="ECHRHeaderRefIt">
    <w:name w:val="ECHR_Header_Ref_It"/>
    <w:aliases w:val="_Ref_Ital"/>
    <w:basedOn w:val="Navaden"/>
    <w:next w:val="ECHRHeaderDate"/>
    <w:uiPriority w:val="43"/>
    <w:semiHidden/>
    <w:qFormat/>
    <w:rsid w:val="00EC48A5"/>
    <w:pPr>
      <w:jc w:val="right"/>
    </w:pPr>
    <w:rPr>
      <w:i/>
      <w:sz w:val="20"/>
    </w:rPr>
  </w:style>
  <w:style w:type="paragraph" w:customStyle="1" w:styleId="ECHRHeading9">
    <w:name w:val="ECHR_Heading_9"/>
    <w:aliases w:val="_Head_9"/>
    <w:basedOn w:val="Naslov9"/>
    <w:uiPriority w:val="17"/>
    <w:semiHidden/>
    <w:rsid w:val="00EC48A5"/>
    <w:pPr>
      <w:keepNext/>
      <w:keepLines/>
      <w:numPr>
        <w:ilvl w:val="8"/>
        <w:numId w:val="2"/>
      </w:numPr>
      <w:spacing w:before="100" w:beforeAutospacing="1"/>
      <w:contextualSpacing/>
    </w:pPr>
    <w:rPr>
      <w:i w:val="0"/>
      <w:sz w:val="18"/>
    </w:rPr>
  </w:style>
  <w:style w:type="paragraph" w:customStyle="1" w:styleId="ECHRLine">
    <w:name w:val="ECHR_Line"/>
    <w:aliases w:val="_Line"/>
    <w:basedOn w:val="NormalJustified"/>
    <w:next w:val="Navaden"/>
    <w:uiPriority w:val="46"/>
    <w:semiHidden/>
    <w:rsid w:val="00EC48A5"/>
    <w:pPr>
      <w:pBdr>
        <w:bottom w:val="single" w:sz="12" w:space="1" w:color="949494" w:themeColor="text2" w:themeShade="BF"/>
      </w:pBdr>
      <w:spacing w:after="120"/>
    </w:pPr>
    <w:rPr>
      <w:sz w:val="12"/>
    </w:rPr>
  </w:style>
  <w:style w:type="paragraph" w:customStyle="1" w:styleId="ECHRNumberedList1">
    <w:name w:val="ECHR_Numbered_List_1"/>
    <w:aliases w:val="_Num_1"/>
    <w:basedOn w:val="Navaden"/>
    <w:uiPriority w:val="23"/>
    <w:semiHidden/>
    <w:qFormat/>
    <w:rsid w:val="00EC48A5"/>
    <w:pPr>
      <w:numPr>
        <w:numId w:val="8"/>
      </w:numPr>
      <w:spacing w:before="60" w:after="60"/>
    </w:pPr>
  </w:style>
  <w:style w:type="paragraph" w:customStyle="1" w:styleId="ECHRNumberedList2">
    <w:name w:val="ECHR_Numbered_List_2"/>
    <w:aliases w:val="_Num_2"/>
    <w:basedOn w:val="ECHRNumberedList1"/>
    <w:uiPriority w:val="23"/>
    <w:semiHidden/>
    <w:rsid w:val="00EC48A5"/>
    <w:pPr>
      <w:numPr>
        <w:ilvl w:val="1"/>
      </w:numPr>
    </w:pPr>
  </w:style>
  <w:style w:type="paragraph" w:customStyle="1" w:styleId="ECHRNumberedList3">
    <w:name w:val="ECHR_Numbered_List_3"/>
    <w:aliases w:val="_Num_3"/>
    <w:basedOn w:val="ECHRNumberedList2"/>
    <w:uiPriority w:val="23"/>
    <w:semiHidden/>
    <w:rsid w:val="00EC48A5"/>
    <w:pPr>
      <w:numPr>
        <w:ilvl w:val="2"/>
      </w:numPr>
    </w:pPr>
  </w:style>
  <w:style w:type="paragraph" w:customStyle="1" w:styleId="ECHRParaHanging">
    <w:name w:val="ECHR_Para_Hanging"/>
    <w:aliases w:val="_Hanging"/>
    <w:basedOn w:val="Navaden"/>
    <w:uiPriority w:val="8"/>
    <w:semiHidden/>
    <w:qFormat/>
    <w:rsid w:val="00EC48A5"/>
    <w:pPr>
      <w:ind w:left="567" w:hanging="567"/>
      <w:jc w:val="both"/>
    </w:pPr>
  </w:style>
  <w:style w:type="paragraph" w:customStyle="1" w:styleId="ECHRParaIndent">
    <w:name w:val="ECHR_Para_Indent"/>
    <w:aliases w:val="_Indent"/>
    <w:basedOn w:val="Navaden"/>
    <w:uiPriority w:val="7"/>
    <w:semiHidden/>
    <w:qFormat/>
    <w:rsid w:val="00EC48A5"/>
    <w:pPr>
      <w:spacing w:before="120" w:after="120"/>
      <w:ind w:left="284"/>
      <w:jc w:val="both"/>
    </w:pPr>
  </w:style>
  <w:style w:type="character" w:customStyle="1" w:styleId="ECHRRed">
    <w:name w:val="ECHR_Red"/>
    <w:aliases w:val="_Red"/>
    <w:basedOn w:val="Privzetapisavaodstavka"/>
    <w:uiPriority w:val="15"/>
    <w:semiHidden/>
    <w:qFormat/>
    <w:rsid w:val="00EC48A5"/>
    <w:rPr>
      <w:color w:val="C00000" w:themeColor="accent2"/>
    </w:rPr>
  </w:style>
  <w:style w:type="paragraph" w:customStyle="1" w:styleId="ECHRSpacer">
    <w:name w:val="ECHR_Spacer"/>
    <w:aliases w:val="_Spacer"/>
    <w:basedOn w:val="Navaden"/>
    <w:uiPriority w:val="45"/>
    <w:semiHidden/>
    <w:rsid w:val="00EC48A5"/>
    <w:rPr>
      <w:sz w:val="4"/>
    </w:rPr>
  </w:style>
  <w:style w:type="table" w:customStyle="1" w:styleId="ECHRTable">
    <w:name w:val="ECHR_Table"/>
    <w:basedOn w:val="Navadnatabela"/>
    <w:rsid w:val="00EC48A5"/>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2">
    <w:name w:val="ECHR_Table_2"/>
    <w:basedOn w:val="Navadnatabela"/>
    <w:uiPriority w:val="99"/>
    <w:rsid w:val="00EC48A5"/>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avadnatabela"/>
    <w:uiPriority w:val="99"/>
    <w:rsid w:val="00EC48A5"/>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avaden"/>
    <w:next w:val="Navaden"/>
    <w:uiPriority w:val="28"/>
    <w:semiHidden/>
    <w:qFormat/>
    <w:rsid w:val="00EC48A5"/>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avaden"/>
    <w:next w:val="Navaden"/>
    <w:uiPriority w:val="28"/>
    <w:semiHidden/>
    <w:qFormat/>
    <w:rsid w:val="00EC48A5"/>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avaden"/>
    <w:next w:val="Navaden"/>
    <w:uiPriority w:val="28"/>
    <w:semiHidden/>
    <w:qFormat/>
    <w:rsid w:val="00EC48A5"/>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avaden"/>
    <w:next w:val="Navaden"/>
    <w:uiPriority w:val="26"/>
    <w:semiHidden/>
    <w:qFormat/>
    <w:rsid w:val="00EC48A5"/>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avaden"/>
    <w:next w:val="Navaden"/>
    <w:uiPriority w:val="26"/>
    <w:semiHidden/>
    <w:qFormat/>
    <w:rsid w:val="00EC48A5"/>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avaden"/>
    <w:next w:val="Navaden"/>
    <w:uiPriority w:val="26"/>
    <w:semiHidden/>
    <w:qFormat/>
    <w:rsid w:val="00EC48A5"/>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avaden"/>
    <w:uiPriority w:val="25"/>
    <w:semiHidden/>
    <w:qFormat/>
    <w:rsid w:val="00EC48A5"/>
    <w:pPr>
      <w:outlineLvl w:val="0"/>
    </w:pPr>
  </w:style>
  <w:style w:type="paragraph" w:customStyle="1" w:styleId="ECHRTitleTOC1">
    <w:name w:val="ECHR_Title_TOC_1"/>
    <w:aliases w:val="_Title_L_TOC"/>
    <w:basedOn w:val="ECHRTitle1"/>
    <w:next w:val="Navaden"/>
    <w:uiPriority w:val="27"/>
    <w:semiHidden/>
    <w:qFormat/>
    <w:rsid w:val="00EC48A5"/>
    <w:pPr>
      <w:outlineLvl w:val="0"/>
    </w:pPr>
  </w:style>
  <w:style w:type="table" w:customStyle="1" w:styleId="LtrTableAddress">
    <w:name w:val="Ltr_Table_Address"/>
    <w:aliases w:val="ECHR_Ltr_Table_Address"/>
    <w:basedOn w:val="Navadnatabela"/>
    <w:uiPriority w:val="99"/>
    <w:rsid w:val="00EC48A5"/>
    <w:rPr>
      <w:sz w:val="24"/>
      <w:szCs w:val="24"/>
    </w:rPr>
    <w:tblPr>
      <w:tblInd w:w="5103" w:type="dxa"/>
    </w:tblPr>
  </w:style>
  <w:style w:type="table" w:customStyle="1" w:styleId="PCFTableStyle">
    <w:name w:val="PCF_Table_Style"/>
    <w:aliases w:val="ECHR_PCF_Table_Style"/>
    <w:basedOn w:val="Navadnatabela"/>
    <w:uiPriority w:val="99"/>
    <w:rsid w:val="00EC48A5"/>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UGTable">
    <w:name w:val="UG_Table"/>
    <w:aliases w:val="ECHR_UG_Table"/>
    <w:basedOn w:val="Navadnatabela"/>
    <w:uiPriority w:val="99"/>
    <w:rsid w:val="00EC48A5"/>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avadnatabela"/>
    <w:uiPriority w:val="99"/>
    <w:rsid w:val="00EC48A5"/>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ECHRTableOddBanded">
    <w:name w:val="ECHR_Table_Odd_Banded"/>
    <w:basedOn w:val="Navadnatabela"/>
    <w:uiPriority w:val="99"/>
    <w:rsid w:val="00EA4390"/>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character" w:customStyle="1" w:styleId="JuParaChar">
    <w:name w:val="Ju_Para Char"/>
    <w:aliases w:val="_Para Char"/>
    <w:link w:val="JuPara"/>
    <w:uiPriority w:val="4"/>
    <w:rsid w:val="00EA4390"/>
    <w:rPr>
      <w:sz w:val="24"/>
      <w:szCs w:val="24"/>
      <w:lang w:val="en-GB"/>
    </w:rPr>
  </w:style>
  <w:style w:type="paragraph" w:styleId="Revizija">
    <w:name w:val="Revision"/>
    <w:hidden/>
    <w:uiPriority w:val="99"/>
    <w:semiHidden/>
    <w:rsid w:val="00EA4390"/>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238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B3C788-558E-4E38-A14A-E0F03576968E}">
  <ds:schemaRefs>
    <ds:schemaRef ds:uri="http://purl.org/dc/elements/1.1/"/>
    <ds:schemaRef ds:uri="http://schemas.microsoft.com/office/2006/metadata/properties"/>
    <ds:schemaRef ds:uri="http://purl.org/dc/terms/"/>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0C83E670-43EE-481B-9617-CCC209F9F8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AC4897C6-29CE-4CD1-AF47-8277F1A189F1}">
  <ds:schemaRefs>
    <ds:schemaRef ds:uri="http://schemas.microsoft.com/sharepoint/v3/contenttype/forms"/>
  </ds:schemaRefs>
</ds:datastoreItem>
</file>

<file path=customXml/itemProps4.xml><?xml version="1.0" encoding="utf-8"?>
<ds:datastoreItem xmlns:ds="http://schemas.openxmlformats.org/officeDocument/2006/customXml" ds:itemID="{E4FF5AEB-B9DC-4840-BFC4-41DC0D25AB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5139</Words>
  <Characters>29294</Characters>
  <Application>Microsoft Office Word</Application>
  <DocSecurity>4</DocSecurity>
  <Lines>244</Lines>
  <Paragraphs>68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Decision</vt:lpstr>
    </vt:vector>
  </TitlesOfParts>
  <Manager/>
  <Company/>
  <LinksUpToDate>false</LinksUpToDate>
  <CharactersWithSpaces>34365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2021-01-04T07:49:00Z</dcterms:created>
  <dcterms:modified xsi:type="dcterms:W3CDTF">2021-01-04T07:49:00Z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847/17</vt:lpwstr>
  </property>
  <property fmtid="{D5CDD505-2E9C-101B-9397-08002B2CF9AE}" pid="4" name="CASEID">
    <vt:lpwstr>1273947</vt:lpwstr>
  </property>
  <property fmtid="{D5CDD505-2E9C-101B-9397-08002B2CF9AE}" pid="5" name="ContentTypeId">
    <vt:lpwstr>0x010100558EB02BDB9E204AB350EDD385B68E10</vt:lpwstr>
  </property>
</Properties>
</file>