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A2A" w:rsidRDefault="00392A2A" w:rsidP="00DE61E0">
      <w:pPr>
        <w:jc w:val="center"/>
      </w:pPr>
    </w:p>
    <w:p w:rsidR="00392A2A" w:rsidRDefault="00392A2A" w:rsidP="00DE61E0">
      <w:pPr>
        <w:jc w:val="center"/>
      </w:pPr>
    </w:p>
    <w:p w:rsidR="00392A2A" w:rsidRPr="006D028D" w:rsidRDefault="00392A2A" w:rsidP="00DE61E0">
      <w:pPr>
        <w:jc w:val="center"/>
      </w:pPr>
    </w:p>
    <w:p w:rsidR="00392A2A" w:rsidRPr="006D028D" w:rsidRDefault="00392A2A" w:rsidP="00DE61E0">
      <w:pPr>
        <w:jc w:val="center"/>
      </w:pPr>
      <w:r>
        <w:t>PETI ODDELEK</w:t>
      </w:r>
    </w:p>
    <w:p w:rsidR="00392A2A" w:rsidRDefault="00392A2A" w:rsidP="00DE61E0">
      <w:pPr>
        <w:jc w:val="center"/>
      </w:pPr>
    </w:p>
    <w:p w:rsidR="00392A2A" w:rsidRDefault="00392A2A" w:rsidP="00DE61E0">
      <w:pPr>
        <w:jc w:val="center"/>
      </w:pPr>
    </w:p>
    <w:p w:rsidR="00392A2A" w:rsidRDefault="00392A2A" w:rsidP="00DE61E0">
      <w:pPr>
        <w:jc w:val="center"/>
      </w:pPr>
    </w:p>
    <w:p w:rsidR="00392A2A" w:rsidRDefault="00392A2A" w:rsidP="00DE61E0">
      <w:pPr>
        <w:jc w:val="center"/>
      </w:pPr>
    </w:p>
    <w:p w:rsidR="00392A2A" w:rsidRDefault="00392A2A" w:rsidP="00DE61E0">
      <w:pPr>
        <w:jc w:val="center"/>
      </w:pPr>
    </w:p>
    <w:p w:rsidR="00392A2A" w:rsidRPr="006D028D" w:rsidRDefault="00392A2A" w:rsidP="00DE61E0">
      <w:pPr>
        <w:jc w:val="center"/>
      </w:pPr>
    </w:p>
    <w:p w:rsidR="00392A2A" w:rsidRPr="006D028D" w:rsidRDefault="00392A2A" w:rsidP="00DE61E0">
      <w:pPr>
        <w:jc w:val="center"/>
        <w:rPr>
          <w:b/>
        </w:rPr>
      </w:pPr>
      <w:bookmarkStart w:id="0" w:name="To"/>
      <w:r>
        <w:rPr>
          <w:b/>
          <w:bCs/>
        </w:rPr>
        <w:t xml:space="preserve">ZADEVA </w:t>
      </w:r>
      <w:bookmarkEnd w:id="0"/>
      <w:r>
        <w:rPr>
          <w:b/>
          <w:bCs/>
        </w:rPr>
        <w:t>STIBILJ proti</w:t>
      </w:r>
      <w:r>
        <w:t xml:space="preserve"> </w:t>
      </w:r>
      <w:r>
        <w:rPr>
          <w:b/>
          <w:bCs/>
        </w:rPr>
        <w:t>SLOVENIJI</w:t>
      </w:r>
    </w:p>
    <w:p w:rsidR="00392A2A" w:rsidRPr="006D028D" w:rsidRDefault="00392A2A" w:rsidP="00DE61E0">
      <w:pPr>
        <w:jc w:val="center"/>
      </w:pPr>
    </w:p>
    <w:p w:rsidR="00392A2A" w:rsidRPr="00C5343F" w:rsidRDefault="00392A2A" w:rsidP="00DE61E0">
      <w:pPr>
        <w:jc w:val="center"/>
        <w:rPr>
          <w:i/>
        </w:rPr>
      </w:pPr>
      <w:r>
        <w:rPr>
          <w:i/>
          <w:iCs/>
        </w:rPr>
        <w:t xml:space="preserve">(Pritožbi št. </w:t>
      </w:r>
      <w:r>
        <w:t xml:space="preserve"> </w:t>
      </w:r>
      <w:r>
        <w:rPr>
          <w:i/>
          <w:iCs/>
        </w:rPr>
        <w:t>1446/07 in 5667/07)</w:t>
      </w:r>
    </w:p>
    <w:p w:rsidR="00392A2A" w:rsidRPr="00C5343F" w:rsidRDefault="00392A2A" w:rsidP="00DE61E0">
      <w:pPr>
        <w:jc w:val="center"/>
      </w:pPr>
    </w:p>
    <w:p w:rsidR="00392A2A" w:rsidRPr="00C5343F" w:rsidRDefault="00392A2A" w:rsidP="00DE61E0">
      <w:pPr>
        <w:jc w:val="center"/>
        <w:rPr>
          <w:szCs w:val="24"/>
        </w:rPr>
      </w:pPr>
    </w:p>
    <w:p w:rsidR="00392A2A" w:rsidRPr="00C5343F" w:rsidRDefault="00392A2A" w:rsidP="00DE61E0">
      <w:pPr>
        <w:jc w:val="center"/>
        <w:rPr>
          <w:szCs w:val="24"/>
        </w:rPr>
      </w:pPr>
    </w:p>
    <w:p w:rsidR="00392A2A" w:rsidRPr="00C5343F" w:rsidRDefault="00392A2A" w:rsidP="00DE61E0">
      <w:pPr>
        <w:jc w:val="center"/>
        <w:rPr>
          <w:szCs w:val="24"/>
        </w:rPr>
      </w:pPr>
    </w:p>
    <w:p w:rsidR="00392A2A" w:rsidRPr="00C5343F" w:rsidRDefault="00392A2A" w:rsidP="00DE61E0">
      <w:pPr>
        <w:jc w:val="center"/>
        <w:rPr>
          <w:szCs w:val="24"/>
        </w:rPr>
      </w:pPr>
    </w:p>
    <w:p w:rsidR="00392A2A" w:rsidRPr="00C5343F" w:rsidRDefault="00392A2A" w:rsidP="00DE61E0">
      <w:pPr>
        <w:jc w:val="center"/>
        <w:rPr>
          <w:szCs w:val="24"/>
        </w:rPr>
      </w:pPr>
    </w:p>
    <w:p w:rsidR="00392A2A" w:rsidRPr="00C5343F" w:rsidRDefault="00392A2A" w:rsidP="00DE61E0">
      <w:pPr>
        <w:jc w:val="center"/>
        <w:rPr>
          <w:szCs w:val="24"/>
        </w:rPr>
      </w:pPr>
    </w:p>
    <w:p w:rsidR="00392A2A" w:rsidRPr="00C5343F" w:rsidRDefault="00392A2A" w:rsidP="00DE61E0">
      <w:pPr>
        <w:jc w:val="center"/>
        <w:rPr>
          <w:szCs w:val="24"/>
        </w:rPr>
      </w:pPr>
    </w:p>
    <w:p w:rsidR="00392A2A" w:rsidRPr="00C5343F" w:rsidRDefault="00392A2A" w:rsidP="00F17304">
      <w:pPr>
        <w:jc w:val="center"/>
        <w:rPr>
          <w:szCs w:val="24"/>
        </w:rPr>
      </w:pPr>
      <w:r>
        <w:rPr>
          <w:szCs w:val="24"/>
        </w:rPr>
        <w:t>SODBA</w:t>
      </w:r>
    </w:p>
    <w:p w:rsidR="00392A2A" w:rsidRPr="00C5343F" w:rsidRDefault="00392A2A" w:rsidP="009E0FDA">
      <w:pPr>
        <w:jc w:val="center"/>
        <w:rPr>
          <w:szCs w:val="24"/>
        </w:rPr>
      </w:pPr>
    </w:p>
    <w:p w:rsidR="00392A2A" w:rsidRPr="00C5343F" w:rsidRDefault="00392A2A" w:rsidP="009E0FDA">
      <w:pPr>
        <w:jc w:val="center"/>
        <w:rPr>
          <w:szCs w:val="24"/>
        </w:rPr>
      </w:pPr>
    </w:p>
    <w:p w:rsidR="00392A2A" w:rsidRPr="00C5343F" w:rsidRDefault="00392A2A" w:rsidP="009E0FDA">
      <w:pPr>
        <w:jc w:val="center"/>
        <w:rPr>
          <w:szCs w:val="24"/>
        </w:rPr>
      </w:pPr>
    </w:p>
    <w:p w:rsidR="00392A2A" w:rsidRPr="00C5343F" w:rsidRDefault="00392A2A" w:rsidP="009E0FDA">
      <w:pPr>
        <w:jc w:val="center"/>
        <w:rPr>
          <w:szCs w:val="24"/>
        </w:rPr>
      </w:pPr>
    </w:p>
    <w:p w:rsidR="00392A2A" w:rsidRPr="00C5343F" w:rsidRDefault="00392A2A" w:rsidP="009E0FDA">
      <w:pPr>
        <w:jc w:val="center"/>
        <w:rPr>
          <w:szCs w:val="24"/>
        </w:rPr>
      </w:pPr>
      <w:smartTag w:uri="urn:schemas-microsoft-com:office:smarttags" w:element="place">
        <w:smartTag w:uri="urn:schemas-microsoft-com:office:smarttags" w:element="City">
          <w:r>
            <w:rPr>
              <w:szCs w:val="24"/>
            </w:rPr>
            <w:t>STRASBOURG</w:t>
          </w:r>
        </w:smartTag>
      </w:smartTag>
      <w:r>
        <w:rPr>
          <w:szCs w:val="24"/>
        </w:rPr>
        <w:t>,</w:t>
      </w:r>
    </w:p>
    <w:p w:rsidR="00392A2A" w:rsidRPr="00C5343F" w:rsidRDefault="00392A2A" w:rsidP="009E0FDA">
      <w:pPr>
        <w:jc w:val="center"/>
        <w:rPr>
          <w:szCs w:val="24"/>
        </w:rPr>
      </w:pPr>
    </w:p>
    <w:p w:rsidR="00392A2A" w:rsidRPr="00C5343F" w:rsidRDefault="00392A2A" w:rsidP="009E0FDA">
      <w:pPr>
        <w:jc w:val="center"/>
        <w:rPr>
          <w:szCs w:val="24"/>
        </w:rPr>
      </w:pPr>
      <w:r>
        <w:rPr>
          <w:szCs w:val="24"/>
        </w:rPr>
        <w:t>6. oktober 2015</w:t>
      </w:r>
    </w:p>
    <w:p w:rsidR="00392A2A" w:rsidRPr="00C5343F" w:rsidRDefault="00392A2A" w:rsidP="009E0FDA">
      <w:pPr>
        <w:jc w:val="center"/>
        <w:rPr>
          <w:szCs w:val="24"/>
        </w:rPr>
      </w:pPr>
    </w:p>
    <w:p w:rsidR="00392A2A" w:rsidRPr="00C5343F" w:rsidRDefault="00392A2A" w:rsidP="009E0FDA">
      <w:pPr>
        <w:jc w:val="center"/>
        <w:rPr>
          <w:szCs w:val="24"/>
        </w:rPr>
      </w:pPr>
    </w:p>
    <w:p w:rsidR="00392A2A" w:rsidRPr="00EF366F" w:rsidRDefault="00392A2A" w:rsidP="009E0FDA">
      <w:pPr>
        <w:jc w:val="left"/>
        <w:rPr>
          <w:i/>
          <w:szCs w:val="24"/>
        </w:rPr>
      </w:pPr>
      <w:r>
        <w:rPr>
          <w:i/>
          <w:iCs/>
          <w:szCs w:val="24"/>
        </w:rPr>
        <w:t>Ta sodba bo postala dokončna v okoliščinah, navedenih v drugem odstavku 44. člena konvencije.</w:t>
      </w:r>
      <w:r>
        <w:rPr>
          <w:szCs w:val="24"/>
        </w:rPr>
        <w:t xml:space="preserve"> </w:t>
      </w:r>
      <w:r>
        <w:rPr>
          <w:i/>
          <w:iCs/>
          <w:szCs w:val="24"/>
        </w:rPr>
        <w:t>Mogoči so uredniški popravki.</w:t>
      </w:r>
    </w:p>
    <w:p w:rsidR="00392A2A" w:rsidRPr="00EF366F" w:rsidRDefault="00392A2A" w:rsidP="009E0FDA">
      <w:pPr>
        <w:pStyle w:val="ECHRPara"/>
        <w:sectPr w:rsidR="00392A2A" w:rsidRPr="00EF366F" w:rsidSect="00F17304">
          <w:headerReference w:type="default" r:id="rId7"/>
          <w:headerReference w:type="first" r:id="rId8"/>
          <w:footerReference w:type="first" r:id="rId9"/>
          <w:footnotePr>
            <w:numRestart w:val="eachPage"/>
          </w:footnotePr>
          <w:pgSz w:w="11906" w:h="16838" w:code="9"/>
          <w:pgMar w:top="2274" w:right="2274" w:bottom="2274" w:left="2274" w:header="1701" w:footer="708" w:gutter="0"/>
          <w:pgNumType w:start="1"/>
          <w:cols w:space="708"/>
          <w:titlePg/>
          <w:docGrid w:linePitch="326"/>
        </w:sectPr>
      </w:pPr>
    </w:p>
    <w:p w:rsidR="00392A2A" w:rsidRPr="00EF366F" w:rsidRDefault="00392A2A" w:rsidP="00DE61E0">
      <w:pPr>
        <w:pStyle w:val="JuCase"/>
        <w:rPr>
          <w:b w:val="0"/>
          <w:bCs/>
        </w:rPr>
      </w:pPr>
      <w:r>
        <w:rPr>
          <w:bCs/>
        </w:rPr>
        <w:t xml:space="preserve">V zadevi Stibilj proti </w:t>
      </w:r>
      <w:r>
        <w:rPr>
          <w:b w:val="0"/>
        </w:rPr>
        <w:t xml:space="preserve"> </w:t>
      </w:r>
      <w:r>
        <w:rPr>
          <w:bCs/>
        </w:rPr>
        <w:t>Sloveniji</w:t>
      </w:r>
    </w:p>
    <w:p w:rsidR="00392A2A" w:rsidRPr="00EF366F" w:rsidRDefault="00392A2A" w:rsidP="00F0049F">
      <w:pPr>
        <w:pStyle w:val="ECHRPara"/>
        <w:rPr>
          <w:b/>
        </w:rPr>
      </w:pPr>
      <w:r>
        <w:t>Evropsko sodišče za človekove pravice (peti oddelek) kot senat v sestavi:</w:t>
      </w:r>
    </w:p>
    <w:p w:rsidR="00392A2A" w:rsidRPr="00EF366F" w:rsidRDefault="00392A2A" w:rsidP="00F17304">
      <w:pPr>
        <w:pStyle w:val="ECHRDecisionBody"/>
      </w:pPr>
      <w:r>
        <w:tab/>
        <w:t>Josep Casadevall,</w:t>
      </w:r>
      <w:r>
        <w:rPr>
          <w:i/>
          <w:iCs/>
        </w:rPr>
        <w:t xml:space="preserve"> predsednik,</w:t>
      </w:r>
      <w:r>
        <w:br/>
      </w:r>
      <w:r>
        <w:tab/>
        <w:t>Angelika Nußberger,</w:t>
      </w:r>
      <w:r>
        <w:br/>
      </w:r>
      <w:r>
        <w:tab/>
        <w:t>Boštjan M. Zupančič,</w:t>
      </w:r>
      <w:r>
        <w:br/>
      </w:r>
      <w:r>
        <w:tab/>
        <w:t>Ganna Yudkivska,</w:t>
      </w:r>
      <w:r>
        <w:br/>
      </w:r>
      <w:r>
        <w:tab/>
        <w:t>Helena Jäderblom,</w:t>
      </w:r>
      <w:r>
        <w:br/>
      </w:r>
      <w:r>
        <w:tab/>
        <w:t>Aleš Pejchal,</w:t>
      </w:r>
      <w:r>
        <w:br/>
      </w:r>
      <w:r>
        <w:tab/>
        <w:t>Síofra O’Leary,</w:t>
      </w:r>
      <w:r>
        <w:rPr>
          <w:i/>
          <w:iCs/>
        </w:rPr>
        <w:t xml:space="preserve"> sodniki,</w:t>
      </w:r>
    </w:p>
    <w:p w:rsidR="00392A2A" w:rsidRPr="006D028D" w:rsidRDefault="00392A2A" w:rsidP="00C438F3">
      <w:pPr>
        <w:pStyle w:val="ECHRDecisionBody"/>
      </w:pPr>
      <w:r>
        <w:t xml:space="preserve">in Claudia Westerdiek, </w:t>
      </w:r>
      <w:r>
        <w:rPr>
          <w:i/>
          <w:iCs/>
        </w:rPr>
        <w:t>sodna tajnica oddelka,</w:t>
      </w:r>
    </w:p>
    <w:p w:rsidR="00392A2A" w:rsidRPr="00C5343F" w:rsidRDefault="00392A2A" w:rsidP="00BE29DB">
      <w:pPr>
        <w:pStyle w:val="ECHRPara"/>
        <w:rPr>
          <w:lang w:val="fr-FR"/>
        </w:rPr>
      </w:pPr>
      <w:r w:rsidRPr="00842DD4">
        <w:rPr>
          <w:lang w:val="fr-FR"/>
        </w:rPr>
        <w:t>po razpravi, zaprti za javnost, ki je bila 8. septembra 2015,</w:t>
      </w:r>
    </w:p>
    <w:p w:rsidR="00392A2A" w:rsidRPr="006D028D" w:rsidRDefault="00392A2A" w:rsidP="00BE29DB">
      <w:pPr>
        <w:pStyle w:val="ECHRPara"/>
      </w:pPr>
      <w:r>
        <w:t>izreka to sodbo, sprejeto navedenega dne:</w:t>
      </w:r>
    </w:p>
    <w:p w:rsidR="00392A2A" w:rsidRPr="006D028D" w:rsidRDefault="00392A2A" w:rsidP="00DE61E0">
      <w:pPr>
        <w:pStyle w:val="ECHRTitle1"/>
      </w:pPr>
      <w:r>
        <w:t>POSTOPEK</w:t>
      </w:r>
    </w:p>
    <w:p w:rsidR="00392A2A" w:rsidRPr="006D028D" w:rsidRDefault="00392A2A" w:rsidP="00BE29DB">
      <w:pPr>
        <w:pStyle w:val="ECHRPara"/>
      </w:pPr>
      <w:r>
        <w:fldChar w:fldCharType="begin"/>
      </w:r>
      <w:r>
        <w:instrText xml:space="preserve"> SEQ level0 \*arabic \r1</w:instrText>
      </w:r>
      <w:r>
        <w:fldChar w:fldCharType="begin"/>
      </w:r>
      <w:r>
        <w:instrText xml:space="preserve"> .  SEQ level0 \*arabic \r1</w:instrText>
      </w:r>
      <w:r>
        <w:fldChar w:fldCharType="begin"/>
      </w:r>
      <w:r>
        <w:instrText xml:space="preserve"> .  SEQ level0 \*arabic \r1</w:instrText>
      </w:r>
      <w:r>
        <w:fldChar w:fldCharType="begin"/>
      </w:r>
      <w:r>
        <w:instrText xml:space="preserve"> .  SEQ level0 \*arabic \r1</w:instrText>
      </w:r>
      <w:r>
        <w:fldChar w:fldCharType="begin"/>
      </w:r>
      <w:r>
        <w:instrText xml:space="preserve"> .  SEQ level0 \*arabic \r1</w:instrText>
      </w:r>
      <w:fldSimple w:instr=" .  SEQ level0 \*arabic ">
        <w:r>
          <w:rPr>
            <w:noProof/>
          </w:rPr>
          <w:instrText>1</w:instrText>
        </w:r>
      </w:fldSimple>
      <w:r>
        <w:instrText xml:space="preserve"> </w:instrText>
      </w:r>
      <w:r>
        <w:fldChar w:fldCharType="separate"/>
      </w:r>
      <w:r>
        <w:rPr>
          <w:noProof/>
        </w:rPr>
        <w:instrText>1</w:instrText>
      </w:r>
      <w:r>
        <w:fldChar w:fldCharType="end"/>
      </w:r>
      <w:r>
        <w:instrText xml:space="preserve"> </w:instrText>
      </w:r>
      <w:r>
        <w:fldChar w:fldCharType="separate"/>
      </w:r>
      <w:r>
        <w:rPr>
          <w:noProof/>
        </w:rPr>
        <w:instrText>1</w:instrText>
      </w:r>
      <w:r>
        <w:fldChar w:fldCharType="end"/>
      </w:r>
      <w:r>
        <w:instrText xml:space="preserve"> </w:instrText>
      </w:r>
      <w:r>
        <w:fldChar w:fldCharType="separate"/>
      </w:r>
      <w:r>
        <w:rPr>
          <w:noProof/>
        </w:rPr>
        <w:instrText>1</w:instrText>
      </w:r>
      <w:r>
        <w:fldChar w:fldCharType="end"/>
      </w:r>
      <w:r>
        <w:instrText xml:space="preserve"> </w:instrText>
      </w:r>
      <w:r>
        <w:fldChar w:fldCharType="separate"/>
      </w:r>
      <w:r>
        <w:rPr>
          <w:noProof/>
        </w:rPr>
        <w:instrText>1</w:instrText>
      </w:r>
      <w:r>
        <w:fldChar w:fldCharType="end"/>
      </w:r>
      <w:r>
        <w:instrText xml:space="preserve"> </w:instrText>
      </w:r>
      <w:r>
        <w:fldChar w:fldCharType="separate"/>
      </w:r>
      <w:r>
        <w:rPr>
          <w:noProof/>
        </w:rPr>
        <w:t>1</w:t>
      </w:r>
      <w:r>
        <w:fldChar w:fldCharType="end"/>
      </w:r>
      <w:r>
        <w:t>.  Zadeva se je začela z dvema pritožbama (št. 1446/07 in 5667/07) proti Republiki Sloveniji, ki sta ju po 34. členu Konvencije o varstvu človekovih pravic in temeljnih svoboščin (v nadaljnjem besedilu: konvencija) pri Sodišču 29. decembra 2006 vložili slovenski državljanki, Anamarija Stibilj (v nadaljnjem besedilu: prva pritožnica) in Ivanka Stibilj (v nadaljnjem besedilu: druga pritožnica).</w:t>
      </w:r>
    </w:p>
    <w:p w:rsidR="00392A2A" w:rsidRPr="00EF366F" w:rsidRDefault="00392A2A" w:rsidP="00BE29DB">
      <w:pPr>
        <w:pStyle w:val="ECHRPara"/>
      </w:pPr>
      <w:fldSimple w:instr=" SEQ level0 \*arabic ">
        <w:r>
          <w:rPr>
            <w:noProof/>
          </w:rPr>
          <w:t>2</w:t>
        </w:r>
      </w:fldSimple>
      <w:r>
        <w:t>.  Pritožnici je zastopala M. Končan Verstovšek, odvetnica iz Trzina.  Slovensko vlado (v nadaljnjem besedilu: vlada) je zastopal njen zastopnik Lucijan Bembič, državni pravobranilec.</w:t>
      </w:r>
    </w:p>
    <w:p w:rsidR="00392A2A" w:rsidRPr="00EF366F" w:rsidRDefault="00392A2A" w:rsidP="00BE29DB">
      <w:pPr>
        <w:pStyle w:val="ECHRPara"/>
        <w:rPr>
          <w:color w:val="000000"/>
        </w:rPr>
      </w:pPr>
      <w:fldSimple w:instr=" SEQ level0 \*arabic ">
        <w:r>
          <w:rPr>
            <w:noProof/>
          </w:rPr>
          <w:t>3</w:t>
        </w:r>
      </w:fldSimple>
      <w:r>
        <w:t>.  </w:t>
      </w:r>
      <w:r>
        <w:rPr>
          <w:color w:val="000000"/>
        </w:rPr>
        <w:t>Pritožnici sta zlasti na podlagi 6. člena konvencije trdili, da so postopki, v katerih sta bila stranki v postopku, trajali predolgo. Prav tako sta se pritožili, da ni bilo učinkovitega notranjepravnega sredstva v zvezi s predolgim trajanjem postopkov (13. člen konvencije).</w:t>
      </w:r>
    </w:p>
    <w:p w:rsidR="00392A2A" w:rsidRDefault="00392A2A" w:rsidP="00BE29DB">
      <w:pPr>
        <w:pStyle w:val="ECHRPara"/>
        <w:rPr>
          <w:color w:val="000000"/>
        </w:rPr>
      </w:pPr>
      <w:fldSimple w:instr=" SEQ level0 \*arabic ">
        <w:r>
          <w:rPr>
            <w:noProof/>
          </w:rPr>
          <w:t>4</w:t>
        </w:r>
      </w:fldSimple>
      <w:r>
        <w:t>.  </w:t>
      </w:r>
      <w:r>
        <w:rPr>
          <w:color w:val="000000"/>
        </w:rPr>
        <w:t>Vlada je bila o pritožbah obveščena 23. junija 2014.</w:t>
      </w:r>
    </w:p>
    <w:p w:rsidR="00392A2A" w:rsidRDefault="00392A2A" w:rsidP="00C5343F">
      <w:pPr>
        <w:pStyle w:val="ECHRPara"/>
        <w:ind w:firstLine="0"/>
        <w:rPr>
          <w:color w:val="000000"/>
        </w:rPr>
      </w:pPr>
    </w:p>
    <w:p w:rsidR="00392A2A" w:rsidRPr="00C5343F" w:rsidRDefault="00392A2A" w:rsidP="00DE61E0">
      <w:pPr>
        <w:pStyle w:val="ECHRTitle1"/>
      </w:pPr>
      <w:r>
        <w:t>DEJSTVA</w:t>
      </w:r>
    </w:p>
    <w:p w:rsidR="00392A2A" w:rsidRPr="00C5343F" w:rsidRDefault="00392A2A" w:rsidP="0017153F">
      <w:pPr>
        <w:pStyle w:val="ECHRHeading1"/>
      </w:pPr>
      <w:r>
        <w:rPr>
          <w:bCs w:val="0"/>
        </w:rPr>
        <w:t>I. OKOLIŠČINE ZADEVE</w:t>
      </w:r>
    </w:p>
    <w:p w:rsidR="00392A2A" w:rsidRPr="00EF366F" w:rsidRDefault="00392A2A" w:rsidP="009E0FDA">
      <w:pPr>
        <w:pStyle w:val="ECHRHeading2"/>
      </w:pPr>
      <w:r>
        <w:t>A.</w:t>
      </w:r>
      <w:r>
        <w:rPr>
          <w:b w:val="0"/>
          <w:bCs w:val="0"/>
        </w:rPr>
        <w:t>  </w:t>
      </w:r>
      <w:r>
        <w:t>Ozadje</w:t>
      </w:r>
    </w:p>
    <w:p w:rsidR="00392A2A" w:rsidRPr="00EF366F" w:rsidRDefault="00392A2A" w:rsidP="009E0FDA">
      <w:pPr>
        <w:pStyle w:val="ECHRPara"/>
        <w:keepNext/>
        <w:keepLines/>
      </w:pPr>
      <w:fldSimple w:instr=" SEQ level0 \*arabic ">
        <w:r>
          <w:rPr>
            <w:noProof/>
          </w:rPr>
          <w:t>5</w:t>
        </w:r>
      </w:fldSimple>
      <w:r>
        <w:t>.  Pritožnici, mati in hči, sta bili rojeni leta 1949 oziroma 1921 ter živita v Ajdovščini.</w:t>
      </w:r>
    </w:p>
    <w:p w:rsidR="00392A2A" w:rsidRPr="00EF366F" w:rsidRDefault="00392A2A" w:rsidP="009E0FDA">
      <w:pPr>
        <w:pStyle w:val="ECHRPara"/>
        <w:keepNext/>
        <w:keepLines/>
      </w:pPr>
      <w:fldSimple w:instr=" SEQ level0 \*arabic ">
        <w:r>
          <w:rPr>
            <w:noProof/>
          </w:rPr>
          <w:t>6</w:t>
        </w:r>
      </w:fldSimple>
      <w:r>
        <w:t>.  2. februarja 1989 je komisija za izvedbo komasacijskega postopka pri Občini Ajdovščina (v nadaljnjem besedilu: komisija) sprejela program komasacije zemljišč,</w:t>
      </w:r>
      <w:r>
        <w:rPr>
          <w:i/>
          <w:iCs/>
        </w:rPr>
        <w:t xml:space="preserve"> med drugim</w:t>
      </w:r>
      <w:r>
        <w:t xml:space="preserve"> tudi za zemljišče, ki je bilo v lasti pravnega prednika prve pritožnice, in za ločeno zemljišče, ki je bilo v lasti druge pritožnice. </w:t>
      </w:r>
    </w:p>
    <w:p w:rsidR="00392A2A" w:rsidRPr="00EF366F" w:rsidRDefault="00392A2A" w:rsidP="009E0FDA">
      <w:pPr>
        <w:pStyle w:val="ECHRHeading2"/>
        <w:keepNext w:val="0"/>
        <w:keepLines w:val="0"/>
      </w:pPr>
      <w:r>
        <w:t>B.</w:t>
      </w:r>
      <w:r>
        <w:rPr>
          <w:b w:val="0"/>
          <w:bCs w:val="0"/>
        </w:rPr>
        <w:t>  </w:t>
      </w:r>
      <w:r>
        <w:t>Upravni postopki in postopki revizije</w:t>
      </w:r>
    </w:p>
    <w:p w:rsidR="00392A2A" w:rsidRPr="00EF366F" w:rsidRDefault="00392A2A" w:rsidP="00594A48">
      <w:pPr>
        <w:pStyle w:val="ECHRPara"/>
      </w:pPr>
      <w:fldSimple w:instr=" SEQ level0 \*arabic ">
        <w:r>
          <w:rPr>
            <w:noProof/>
          </w:rPr>
          <w:t>7</w:t>
        </w:r>
      </w:fldSimple>
      <w:r>
        <w:t>.  4. marca 1989 sta se pravni prednik prve pritožnice in druga pritožnica pri Geodetski upravi Republike Slovenije (v nadaljnjem besedilu: uprava) pritožila zoper odločbo komisije z obrazložitvijo, da nista prejela ustrezne odškodnine za zemljiške parcele, ki sta jih imela v lasti in so bile prenesene v program komasacije zemljišč.</w:t>
      </w:r>
    </w:p>
    <w:p w:rsidR="00392A2A" w:rsidRPr="00EF366F" w:rsidRDefault="00392A2A" w:rsidP="00594A48">
      <w:pPr>
        <w:pStyle w:val="ECHRPara"/>
      </w:pPr>
      <w:fldSimple w:instr=" SEQ level0 \*arabic ">
        <w:r>
          <w:rPr>
            <w:noProof/>
          </w:rPr>
          <w:t>8</w:t>
        </w:r>
      </w:fldSimple>
      <w:r>
        <w:t xml:space="preserve">.  6. novembra 1990 je komisija spremenila program komasacije zemljišč  tako, da je drugi pritožnici dodelila drugo zemljiško parcelo.  Druga pritožnica  se je zoper odločbo pritožila. </w:t>
      </w:r>
    </w:p>
    <w:p w:rsidR="00392A2A" w:rsidRPr="00EF366F" w:rsidRDefault="00392A2A" w:rsidP="00594A48">
      <w:pPr>
        <w:pStyle w:val="ECHRPara"/>
      </w:pPr>
      <w:fldSimple w:instr=" SEQ level0 \*arabic ">
        <w:r>
          <w:rPr>
            <w:noProof/>
          </w:rPr>
          <w:t>9</w:t>
        </w:r>
      </w:fldSimple>
      <w:r>
        <w:t xml:space="preserve">.  21. decembra 1990 je prednik prve pritožnice vložil pritožbo proti upravi, ker ni sprejela odločitve v predpisanem roku. </w:t>
      </w:r>
    </w:p>
    <w:p w:rsidR="00392A2A" w:rsidRPr="00C5343F" w:rsidRDefault="00392A2A" w:rsidP="00BC57C6">
      <w:pPr>
        <w:pStyle w:val="ECHRPara"/>
      </w:pPr>
      <w:fldSimple w:instr=" SEQ level0 \*arabic ">
        <w:r>
          <w:rPr>
            <w:noProof/>
          </w:rPr>
          <w:t>10</w:t>
        </w:r>
      </w:fldSimple>
      <w:r>
        <w:t>.  1. februarja 1991 je uprava ugodila pritožbi pravnega prednika prve pritožnice in je zadevo vrnila komisiji v nadaljnjo obravnavo.  Uprava je ugotovila, da izrek odločbe ni bil dovolj jasen in da je komisija napačno uporabila zakonodajo.</w:t>
      </w:r>
    </w:p>
    <w:p w:rsidR="00392A2A" w:rsidRPr="00C5343F" w:rsidRDefault="00392A2A" w:rsidP="00594A48">
      <w:pPr>
        <w:pStyle w:val="ECHRPara"/>
      </w:pPr>
      <w:fldSimple w:instr=" SEQ level0 \*arabic ">
        <w:r>
          <w:rPr>
            <w:noProof/>
          </w:rPr>
          <w:t>11</w:t>
        </w:r>
      </w:fldSimple>
      <w:r>
        <w:t xml:space="preserve">.  28. junija 1994 je konvencija začela veljati za Slovenijo. </w:t>
      </w:r>
    </w:p>
    <w:p w:rsidR="00392A2A" w:rsidRPr="00EF366F" w:rsidRDefault="00392A2A" w:rsidP="00594A48">
      <w:pPr>
        <w:pStyle w:val="ECHRPara"/>
      </w:pPr>
      <w:fldSimple w:instr=" SEQ level0 \*arabic ">
        <w:r>
          <w:rPr>
            <w:noProof/>
          </w:rPr>
          <w:t>12</w:t>
        </w:r>
      </w:fldSimple>
      <w:r>
        <w:t xml:space="preserve">.  16. novembra 1994 je uprava ugodila pritožbi druge pritožnice proti odločbi z dne 6. novembra 1990 z ugotovitvijo, da izrek odločbe ni v skladu z obrazložitvijo. Primer je bil vrnjen komisiji v nadaljnjo obravnavo. </w:t>
      </w:r>
    </w:p>
    <w:p w:rsidR="00392A2A" w:rsidRPr="00EF366F" w:rsidRDefault="00392A2A" w:rsidP="00594A48">
      <w:pPr>
        <w:pStyle w:val="ECHRPara"/>
      </w:pPr>
      <w:fldSimple w:instr=" SEQ level0 \*arabic ">
        <w:r>
          <w:rPr>
            <w:noProof/>
          </w:rPr>
          <w:t>13</w:t>
        </w:r>
      </w:fldSimple>
      <w:r>
        <w:t xml:space="preserve">.  15. decembra 1994, 15. marca 1996, 24. aprila </w:t>
      </w:r>
      <w:smartTag w:uri="urn:schemas-microsoft-com:office:smarttags" w:element="metricconverter">
        <w:smartTagPr>
          <w:attr w:name="ProductID" w:val="1996 in"/>
        </w:smartTagPr>
        <w:r>
          <w:t>1996 in</w:t>
        </w:r>
      </w:smartTag>
      <w:r>
        <w:t xml:space="preserve"> 20. februarja 1997 sta prednik prve pritožnice in druga pritožnica vložila neformalni predlog pri komisiji s prošnjo za pospešitev postopka.</w:t>
      </w:r>
    </w:p>
    <w:p w:rsidR="00392A2A" w:rsidRPr="00EF366F" w:rsidRDefault="00392A2A" w:rsidP="00836A5A">
      <w:pPr>
        <w:pStyle w:val="ECHRPara"/>
      </w:pPr>
      <w:fldSimple w:instr=" SEQ level0 \*arabic ">
        <w:r>
          <w:rPr>
            <w:noProof/>
          </w:rPr>
          <w:t>14</w:t>
        </w:r>
      </w:fldSimple>
      <w:r>
        <w:t>.  Ker komisija njunih zadev ni dodatno preučila, sta pravni prednik prve pritožnice in druga pritožnica 10. aprila 1997 vložila ločeni pritožbi pri Ministrstvu za kmetijstvo, gozdarstvo in prehrano (v nadaljnjem besedilu: ministrstvo) z navedbo, da komisija ni sprejela odločitve v predpisanem roku. Poleg tega sta 30. junija 1997 oba pozvala ministrstvo, da bi se reševanje njunih odločb o komasaciji zemljišč pospešilo.</w:t>
      </w:r>
    </w:p>
    <w:p w:rsidR="00392A2A" w:rsidRPr="00EF366F" w:rsidRDefault="00392A2A" w:rsidP="00844F21">
      <w:pPr>
        <w:pStyle w:val="ECHRPara"/>
      </w:pPr>
      <w:fldSimple w:instr=" SEQ level0 \*arabic ">
        <w:r>
          <w:rPr>
            <w:noProof/>
          </w:rPr>
          <w:t>15</w:t>
        </w:r>
      </w:fldSimple>
      <w:r>
        <w:t xml:space="preserve">.  Ministrstvo se na njun poziv ni odzvalo, zato sta pravni prednik prve pritožnice in druga pritožnica 25. septembra 1997 proti ministrstvu vložila tožbo pri upravnem sodišču zaradi nesprejetja odločitve v predpisanem roku. </w:t>
      </w:r>
    </w:p>
    <w:p w:rsidR="00392A2A" w:rsidRPr="00EF366F" w:rsidRDefault="00392A2A" w:rsidP="00844F21">
      <w:pPr>
        <w:pStyle w:val="ECHRPara"/>
      </w:pPr>
      <w:fldSimple w:instr=" SEQ level0 \*arabic ">
        <w:r>
          <w:rPr>
            <w:noProof/>
          </w:rPr>
          <w:t>16</w:t>
        </w:r>
      </w:fldSimple>
      <w:r>
        <w:t xml:space="preserve">.  24. septembra 1999 je upravno sodišče ugodilo tožbam in ministrstvu naložilo, naj odloči o obravnavani zadevi v tridesetih dneh od dneva, ko je njegova sodba postala pravnomočna.  </w:t>
      </w:r>
    </w:p>
    <w:p w:rsidR="00392A2A" w:rsidRPr="00EF366F" w:rsidRDefault="00392A2A" w:rsidP="0069614B">
      <w:pPr>
        <w:pStyle w:val="ECHRPara"/>
      </w:pPr>
      <w:fldSimple w:instr=" SEQ level0 \*arabic ">
        <w:r>
          <w:rPr>
            <w:noProof/>
          </w:rPr>
          <w:t>17</w:t>
        </w:r>
      </w:fldSimple>
      <w:r>
        <w:t>.  Medtem je Upravna enota v Ajdovščini (prej komisija, v nadaljnjem besedilu: upravna enota), ki je pridobila pristojnost za odločanje o zadevah v zvezi s komasacijo zemljišč, sprejela novi odločbi o zadevnih zemljiščih.</w:t>
      </w:r>
    </w:p>
    <w:p w:rsidR="00392A2A" w:rsidRPr="00C5343F" w:rsidRDefault="00392A2A" w:rsidP="00594A48">
      <w:pPr>
        <w:pStyle w:val="ECHRPara"/>
      </w:pPr>
      <w:fldSimple w:instr=" SEQ level0 \*arabic ">
        <w:r>
          <w:rPr>
            <w:noProof/>
          </w:rPr>
          <w:t>18</w:t>
        </w:r>
      </w:fldSimple>
      <w:r>
        <w:t xml:space="preserve">.  23. septembra 1999 sta pravni prednik prve pritožnice in druga pritožnica na ministrstvo vložila pritožbo proti tema odločbama.   </w:t>
      </w:r>
    </w:p>
    <w:p w:rsidR="00392A2A" w:rsidRPr="00C5343F" w:rsidRDefault="00392A2A" w:rsidP="00594A48">
      <w:pPr>
        <w:pStyle w:val="ECHRPara"/>
      </w:pPr>
      <w:fldSimple w:instr=" SEQ level0 \*arabic ">
        <w:r>
          <w:rPr>
            <w:noProof/>
          </w:rPr>
          <w:t>19</w:t>
        </w:r>
      </w:fldSimple>
      <w:r>
        <w:t>.  25. avgusta 2000 je ministrstvo njunima pritožbama ugodilo in jima ponovno dodelilo druge zemljiške parcele, da bi jima zagotovilo nadomestilo za izgubo prvotnih parcel.</w:t>
      </w:r>
    </w:p>
    <w:p w:rsidR="00392A2A" w:rsidRPr="00C5343F" w:rsidRDefault="00392A2A" w:rsidP="00722D6D">
      <w:pPr>
        <w:pStyle w:val="ECHRPara"/>
      </w:pPr>
      <w:fldSimple w:instr=" SEQ level0 \*arabic ">
        <w:r>
          <w:rPr>
            <w:noProof/>
          </w:rPr>
          <w:t>20</w:t>
        </w:r>
      </w:fldSimple>
      <w:r>
        <w:t xml:space="preserve">.  10. novembra 2000 sta pravni prednik prve pritožnice in druga pritožnica pri upravnem sodišču vložili pravno sredstvo za revizijo (upravno sredstvo) proti odločbama ministrstva z dne 25. avgusta 2000 z utemeljitvijo, da ministrstvo ni ustrezno upoštevalo meril, ki veljajo za program komasacije zemljišč, in je zato kršilo njuno pravico do enakosti pred zakonom. </w:t>
      </w:r>
    </w:p>
    <w:p w:rsidR="00392A2A" w:rsidRPr="00EF366F" w:rsidRDefault="00392A2A" w:rsidP="00594A48">
      <w:pPr>
        <w:pStyle w:val="ECHRPara"/>
      </w:pPr>
      <w:fldSimple w:instr=" SEQ level0 \*arabic ">
        <w:r>
          <w:rPr>
            <w:noProof/>
          </w:rPr>
          <w:t>21</w:t>
        </w:r>
      </w:fldSimple>
      <w:r>
        <w:t xml:space="preserve">.  23. januarja 2001 je pravni prednik prve pritožnice umrl in prva pritožnica je podedovala </w:t>
      </w:r>
      <w:smartTag w:uri="urn:schemas-microsoft-com:office:smarttags" w:element="place">
        <w:smartTag w:uri="urn:schemas-microsoft-com:office:smarttags" w:element="State">
          <w:r>
            <w:t>del</w:t>
          </w:r>
        </w:smartTag>
      </w:smartTag>
      <w:r>
        <w:t xml:space="preserve"> njegovega zemljišča, vključno z zemljiškimi parcelami, ki so predmet komasacijskega postopka.  V postopek je potem posegla kot dedinja. </w:t>
      </w:r>
    </w:p>
    <w:p w:rsidR="00392A2A" w:rsidRPr="00EF366F" w:rsidRDefault="00392A2A" w:rsidP="00594A48">
      <w:pPr>
        <w:pStyle w:val="ECHRPara"/>
      </w:pPr>
      <w:fldSimple w:instr=" SEQ level0 \*arabic ">
        <w:r>
          <w:rPr>
            <w:noProof/>
          </w:rPr>
          <w:t>22</w:t>
        </w:r>
      </w:fldSimple>
      <w:r>
        <w:t xml:space="preserve">.  11. aprila </w:t>
      </w:r>
      <w:smartTag w:uri="urn:schemas-microsoft-com:office:smarttags" w:element="metricconverter">
        <w:smartTagPr>
          <w:attr w:name="ProductID" w:val="2003 in"/>
        </w:smartTagPr>
        <w:r>
          <w:t>2003 in</w:t>
        </w:r>
      </w:smartTag>
      <w:r>
        <w:t xml:space="preserve"> 9. maja 2003 je upravno sodišče ugodilo pravnima sredstvoma pritožnic za revizijo in razveljavilo odločbi ministrstva z dne 25. avgusta 2000 z utemeljitvijo, da pritožnici nista bili seznanjeni s strokovnim mnenjem, na katerem sta temeljili odločbi ministrstva, in da niso bili navedeni razlogi za zavrnitev ugovorov glede razdelitve zemljišč. Upravno sodišče je zadevi vrnilo ministrstvu v nadaljnjo obravnavo.</w:t>
      </w:r>
    </w:p>
    <w:p w:rsidR="00392A2A" w:rsidRPr="00EF366F" w:rsidRDefault="00392A2A" w:rsidP="00594A48">
      <w:pPr>
        <w:pStyle w:val="ECHRPara"/>
      </w:pPr>
      <w:fldSimple w:instr=" SEQ level0 \*arabic ">
        <w:r>
          <w:rPr>
            <w:noProof/>
          </w:rPr>
          <w:t>23</w:t>
        </w:r>
      </w:fldSimple>
      <w:r>
        <w:t xml:space="preserve">.  15. maja 2007 je ministrstvo sprejelo novi odločbi za prvo in drugo pritožnico o razdelitvi zemljišč. </w:t>
      </w:r>
    </w:p>
    <w:p w:rsidR="00392A2A" w:rsidRPr="00EF366F" w:rsidRDefault="00392A2A" w:rsidP="009C2174">
      <w:pPr>
        <w:pStyle w:val="ECHRPara"/>
      </w:pPr>
      <w:fldSimple w:instr=" SEQ level0 \*arabic ">
        <w:r>
          <w:rPr>
            <w:noProof/>
          </w:rPr>
          <w:t>24</w:t>
        </w:r>
      </w:fldSimple>
      <w:r>
        <w:t xml:space="preserve">.  17. junija 2007 sta pritožnici pri upravnem sodišču vložili vsaka svoje pravno sredstvo za revizijo (upravno sredstvo) proti novima odločbama. </w:t>
      </w:r>
    </w:p>
    <w:p w:rsidR="00392A2A" w:rsidRPr="00EF366F" w:rsidRDefault="00392A2A" w:rsidP="009C2174">
      <w:pPr>
        <w:pStyle w:val="ECHRPara"/>
      </w:pPr>
      <w:fldSimple w:instr=" SEQ level0 \*arabic ">
        <w:r>
          <w:rPr>
            <w:noProof/>
          </w:rPr>
          <w:t>25</w:t>
        </w:r>
      </w:fldSimple>
      <w:r>
        <w:t xml:space="preserve">.  11. februarja </w:t>
      </w:r>
      <w:smartTag w:uri="urn:schemas-microsoft-com:office:smarttags" w:element="metricconverter">
        <w:smartTagPr>
          <w:attr w:name="ProductID" w:val="2008 in"/>
        </w:smartTagPr>
        <w:r>
          <w:t>2008 in</w:t>
        </w:r>
      </w:smartTag>
      <w:r>
        <w:t xml:space="preserve"> 3. marca 2009 sta pritožnici pri upravnem sodišču vložili vsaka svoj neformalni predlog za pospešitev reševanja njunih pravnih sredstev.</w:t>
      </w:r>
    </w:p>
    <w:p w:rsidR="00392A2A" w:rsidRPr="00EF366F" w:rsidRDefault="00392A2A" w:rsidP="00C93E89">
      <w:pPr>
        <w:pStyle w:val="ECHRPara"/>
      </w:pPr>
      <w:fldSimple w:instr=" SEQ level0 \*arabic ">
        <w:r>
          <w:rPr>
            <w:noProof/>
          </w:rPr>
          <w:t>26</w:t>
        </w:r>
      </w:fldSimple>
      <w:r>
        <w:t xml:space="preserve">.  19. junija </w:t>
      </w:r>
      <w:smartTag w:uri="urn:schemas-microsoft-com:office:smarttags" w:element="metricconverter">
        <w:smartTagPr>
          <w:attr w:name="ProductID" w:val="2009 in"/>
        </w:smartTagPr>
        <w:r>
          <w:t>2009 in</w:t>
        </w:r>
      </w:smartTag>
      <w:r>
        <w:t xml:space="preserve"> 23. oktobra 2009 je upravno sodišče ugodilo pravnima sredstvoma prve in druge pritožnice za revizijo, pri čemer je razveljavilo odločbi ministrstva z dne 15. maja </w:t>
      </w:r>
      <w:smartTag w:uri="urn:schemas-microsoft-com:office:smarttags" w:element="metricconverter">
        <w:smartTagPr>
          <w:attr w:name="ProductID" w:val="2007 in"/>
        </w:smartTagPr>
        <w:r>
          <w:t>2007 in</w:t>
        </w:r>
      </w:smartTag>
      <w:r>
        <w:t xml:space="preserve"> zadevi ponovno vrnilo ministrstvu v nadaljnjo obravnavo. </w:t>
      </w:r>
    </w:p>
    <w:p w:rsidR="00392A2A" w:rsidRPr="00EF366F" w:rsidRDefault="00392A2A" w:rsidP="009C2174">
      <w:pPr>
        <w:pStyle w:val="ECHRPara"/>
      </w:pPr>
      <w:fldSimple w:instr=" SEQ level0 \*arabic ">
        <w:r>
          <w:rPr>
            <w:noProof/>
          </w:rPr>
          <w:t>27</w:t>
        </w:r>
      </w:fldSimple>
      <w:r>
        <w:t xml:space="preserve">.  23. novembra </w:t>
      </w:r>
      <w:smartTag w:uri="urn:schemas-microsoft-com:office:smarttags" w:element="metricconverter">
        <w:smartTagPr>
          <w:attr w:name="ProductID" w:val="2009 in"/>
        </w:smartTagPr>
        <w:r>
          <w:t>2009 in</w:t>
        </w:r>
      </w:smartTag>
      <w:r>
        <w:t xml:space="preserve"> 10. maja 2010 sta prva in druga pritožnica na ministrstvo vložili neformalna predloga s prošnjo za pospešitev postopka. Poleg tega je prva pritožnica 27. avgusta 2012, 4. decembra </w:t>
      </w:r>
      <w:smartTag w:uri="urn:schemas-microsoft-com:office:smarttags" w:element="metricconverter">
        <w:smartTagPr>
          <w:attr w:name="ProductID" w:val="2012 in"/>
        </w:smartTagPr>
        <w:r>
          <w:t>2012 in</w:t>
        </w:r>
      </w:smartTag>
      <w:r>
        <w:t xml:space="preserve"> 27. januarja 2013 na ministrstvo vložila tri druge podobne predloge.  </w:t>
      </w:r>
    </w:p>
    <w:p w:rsidR="00392A2A" w:rsidRPr="00EF366F" w:rsidRDefault="00392A2A" w:rsidP="009C2174">
      <w:pPr>
        <w:pStyle w:val="ECHRPara"/>
      </w:pPr>
      <w:fldSimple w:instr=" SEQ level0 \*arabic ">
        <w:r>
          <w:rPr>
            <w:noProof/>
          </w:rPr>
          <w:t>28</w:t>
        </w:r>
      </w:fldSimple>
      <w:r>
        <w:t xml:space="preserve">.  5. aprila 2013 je ministrstvo izdalo odločbo, s katero je razveljavilo odločbo upravne enote z dne 16. avgusta 1999 (glej 17. odstavek zgoraj) in ji vrnilo zadevo.  </w:t>
      </w:r>
    </w:p>
    <w:p w:rsidR="00392A2A" w:rsidRPr="00EF366F" w:rsidRDefault="00392A2A" w:rsidP="00594A48">
      <w:pPr>
        <w:pStyle w:val="ECHRPara"/>
      </w:pPr>
      <w:fldSimple w:instr=" SEQ level0 \*arabic ">
        <w:r>
          <w:rPr>
            <w:noProof/>
          </w:rPr>
          <w:t>29</w:t>
        </w:r>
      </w:fldSimple>
      <w:r>
        <w:t xml:space="preserve">.   20. maja </w:t>
      </w:r>
      <w:smartTag w:uri="urn:schemas-microsoft-com:office:smarttags" w:element="metricconverter">
        <w:smartTagPr>
          <w:attr w:name="ProductID" w:val="2014 in"/>
        </w:smartTagPr>
        <w:r>
          <w:t>2014 in</w:t>
        </w:r>
      </w:smartTag>
      <w:r>
        <w:t xml:space="preserve"> 2. junija 2014 je upravna enota razpisala ustni obravnavi za 12. junij </w:t>
      </w:r>
      <w:smartTag w:uri="urn:schemas-microsoft-com:office:smarttags" w:element="metricconverter">
        <w:smartTagPr>
          <w:attr w:name="ProductID" w:val="2014 in"/>
        </w:smartTagPr>
        <w:r>
          <w:t>2014 in</w:t>
        </w:r>
      </w:smartTag>
      <w:r>
        <w:t xml:space="preserve"> 19. junij 2014. Pred obravnavama je prva pritožnica obvestila upravno enoto, da se zaradi zdravljenja ne more udeležiti obravnave in da se druga pritožnica prav tako ne more udeležiti obravnave, ker je resno bolna in ne more iz postelje. </w:t>
      </w:r>
    </w:p>
    <w:p w:rsidR="00392A2A" w:rsidRPr="00EF366F" w:rsidRDefault="00392A2A" w:rsidP="00594A48">
      <w:pPr>
        <w:pStyle w:val="ECHRPara"/>
      </w:pPr>
      <w:fldSimple w:instr=" SEQ level0 \*arabic ">
        <w:r>
          <w:rPr>
            <w:noProof/>
          </w:rPr>
          <w:t>30</w:t>
        </w:r>
      </w:fldSimple>
      <w:r>
        <w:t>.  28. avgusta 2014 je na upravni enoti potekala ustna obravnava v zvezi z zadevama pritožnic.  Imenovana sta bila izvedenec geodetske stroke in izvedenec kmetijske stroke, da bi preučila zahteve prve pritožnice v zvezi z zemljiščem, v zvezi z zahtevami druge pritožnice pa je bil imenovan izvedenec kmetijske stroke.</w:t>
      </w:r>
    </w:p>
    <w:p w:rsidR="00392A2A" w:rsidRPr="00EF366F" w:rsidRDefault="00392A2A" w:rsidP="00BE29DB">
      <w:pPr>
        <w:pStyle w:val="ECHRPara"/>
      </w:pPr>
      <w:fldSimple w:instr=" SEQ level0 \*arabic ">
        <w:r>
          <w:rPr>
            <w:noProof/>
          </w:rPr>
          <w:t>31</w:t>
        </w:r>
      </w:fldSimple>
      <w:r>
        <w:t xml:space="preserve">.  Na dan, ko je bila vlada nazadnje v stiku s Sodiščem, je komasacijski postopek še vedno tekel. </w:t>
      </w:r>
    </w:p>
    <w:p w:rsidR="00392A2A" w:rsidRPr="00EF366F" w:rsidRDefault="00392A2A" w:rsidP="00FE5878">
      <w:pPr>
        <w:pStyle w:val="ECHRHeading1"/>
      </w:pPr>
      <w:r>
        <w:rPr>
          <w:bCs w:val="0"/>
        </w:rPr>
        <w:t>II. UPOŠTEVANI DOMAČA ZAKONODAJA IN PRAKSA</w:t>
      </w:r>
    </w:p>
    <w:p w:rsidR="00392A2A" w:rsidRPr="00EF366F" w:rsidRDefault="00392A2A" w:rsidP="00123BCF">
      <w:pPr>
        <w:pStyle w:val="ECHRHeading2"/>
      </w:pPr>
      <w:r>
        <w:t>A.</w:t>
      </w:r>
      <w:r>
        <w:rPr>
          <w:b w:val="0"/>
          <w:bCs w:val="0"/>
        </w:rPr>
        <w:t>  </w:t>
      </w:r>
      <w:r>
        <w:t>Zakon o splošnem upravnem postopku</w:t>
      </w:r>
    </w:p>
    <w:p w:rsidR="00392A2A" w:rsidRPr="00C5343F" w:rsidRDefault="00392A2A" w:rsidP="00500EE2">
      <w:pPr>
        <w:pStyle w:val="ECHRPara"/>
      </w:pPr>
      <w:r>
        <w:rPr>
          <w:noProof/>
        </w:rPr>
        <w:fldChar w:fldCharType="begin"/>
      </w:r>
      <w:r>
        <w:rPr>
          <w:noProof/>
        </w:rPr>
        <w:instrText xml:space="preserve"> SEQ level0 \*arabic </w:instrText>
      </w:r>
      <w:r>
        <w:rPr>
          <w:noProof/>
        </w:rPr>
        <w:fldChar w:fldCharType="separate"/>
      </w:r>
      <w:r>
        <w:rPr>
          <w:noProof/>
        </w:rPr>
        <w:t>32</w:t>
      </w:r>
      <w:r>
        <w:rPr>
          <w:noProof/>
        </w:rPr>
        <w:fldChar w:fldCharType="end"/>
      </w:r>
      <w:r>
        <w:rPr>
          <w:noProof/>
        </w:rPr>
        <w:t>.  Prvi odstavek 222. člena Zakona o splošnem upravnem postopku iz leta 1999 (velja od 1.</w:t>
      </w:r>
      <w:r>
        <w:t xml:space="preserve">  aprila 2000; v nadaljnjem besedilu: ZUP)  določa, da mora upravni organ v enostavnih zadevah, kjer ni potreben poseben ugotovitveni postopek, izdati odločbo v enem mesecu po prejemu vloge. V drugih primerih mora upravni organ izdati odločbo v dveh mesecih.</w:t>
      </w:r>
    </w:p>
    <w:p w:rsidR="00392A2A" w:rsidRPr="00EF366F" w:rsidRDefault="00392A2A" w:rsidP="00500EE2">
      <w:pPr>
        <w:pStyle w:val="ECHRPara"/>
      </w:pPr>
      <w:fldSimple w:instr=" SEQ level0 \*arabic ">
        <w:r>
          <w:rPr>
            <w:noProof/>
          </w:rPr>
          <w:t>33</w:t>
        </w:r>
      </w:fldSimple>
      <w:r>
        <w:t xml:space="preserve">.  Četrti odstavek 222. člena ZUP daje stranki, o vlogi katere ni bilo odločeno v rokih, predpisanih v prvem odstavku, pravico do pritožbe zaradi nesprejetja odločbe v predpisanem roku, kot da bi bil njen zahtevek zavrnjen. V takem primeru v skladu z 255. členom ZUP pritožbeni organ od organa prve stopnje zahteva, da poroča o razlogih, zaradi katerih odločba še ni bila izdana. Če se ti razlogi štejejo za utemeljene, se lahko rok za izdajo odločbe za en mesec podaljša. Sicer se od organa prve stopnje zahteva, da spis zadeve predloži pritožbenemu organu v pregled. Če se lahko obravnavana zadeva reši na podlagi spisa zadeve, pritožbeni organ nadaljuje z odločanjem o zadevi; če pa meni, da bi lahko organ prve stopnje vodil postopek hitreje in bolj ekonomično, se spis zadeve vrne temu organu in se določi rok, v katerem mora biti odločba sprejeta.  </w:t>
      </w:r>
    </w:p>
    <w:p w:rsidR="00392A2A" w:rsidRPr="00EF366F" w:rsidRDefault="00392A2A" w:rsidP="00396EB2">
      <w:pPr>
        <w:pStyle w:val="ECHRHeading2"/>
        <w:rPr>
          <w:lang w:val="de-DE"/>
        </w:rPr>
      </w:pPr>
      <w:r w:rsidRPr="00842DD4">
        <w:rPr>
          <w:lang w:val="de-DE"/>
        </w:rPr>
        <w:t>B.</w:t>
      </w:r>
      <w:r w:rsidRPr="00842DD4">
        <w:rPr>
          <w:b w:val="0"/>
          <w:bCs w:val="0"/>
          <w:lang w:val="de-DE"/>
        </w:rPr>
        <w:t>  </w:t>
      </w:r>
      <w:r w:rsidRPr="00842DD4">
        <w:rPr>
          <w:lang w:val="de-DE"/>
        </w:rPr>
        <w:t>Zakon o upravnem sporu</w:t>
      </w:r>
    </w:p>
    <w:p w:rsidR="00392A2A" w:rsidRPr="00842DD4" w:rsidRDefault="00392A2A" w:rsidP="00123BCF">
      <w:pPr>
        <w:pStyle w:val="ECHRPara"/>
        <w:rPr>
          <w:lang w:val="de-DE"/>
        </w:rPr>
      </w:pPr>
      <w:r w:rsidRPr="00EF366F">
        <w:rPr>
          <w:lang w:val="de-DE"/>
        </w:rPr>
        <w:fldChar w:fldCharType="begin"/>
      </w:r>
      <w:r w:rsidRPr="00EF366F">
        <w:rPr>
          <w:lang w:val="de-DE"/>
        </w:rPr>
        <w:instrText xml:space="preserve"> SEQ level0 \*arabic </w:instrText>
      </w:r>
      <w:r w:rsidRPr="00EF366F">
        <w:rPr>
          <w:lang w:val="de-DE"/>
        </w:rPr>
        <w:fldChar w:fldCharType="separate"/>
      </w:r>
      <w:r>
        <w:rPr>
          <w:noProof/>
          <w:lang w:val="de-DE"/>
        </w:rPr>
        <w:t>34</w:t>
      </w:r>
      <w:r w:rsidRPr="00EF366F">
        <w:rPr>
          <w:lang w:val="de-DE"/>
        </w:rPr>
        <w:fldChar w:fldCharType="end"/>
      </w:r>
      <w:r w:rsidRPr="00842DD4">
        <w:rPr>
          <w:lang w:val="de-DE"/>
        </w:rPr>
        <w:t>.  Po 26. členu Zakona o upravnem sporu iz leta 1997 (veljaven od 2. septembra 1997 do 31. decembra 2006) je lahko stranka, ki je vložila pritožbo pri upravnem organu, sprožila upravni spor na upravnem sodišču zaradi nesprejetja odločitve v predpisanem roku (upravni spor) v teh primerih:</w:t>
      </w:r>
    </w:p>
    <w:p w:rsidR="00392A2A" w:rsidRPr="00842DD4" w:rsidRDefault="00392A2A" w:rsidP="00123BCF">
      <w:pPr>
        <w:pStyle w:val="ECHRParaQuote"/>
        <w:rPr>
          <w:lang w:val="de-DE"/>
        </w:rPr>
      </w:pPr>
      <w:r w:rsidRPr="00842DD4">
        <w:rPr>
          <w:lang w:val="de-DE"/>
        </w:rPr>
        <w:t xml:space="preserve">"2. Če organ druge stopnje v dveh mesecih ali pa v krajšem, z zakonom določenem roku, ne izda odločbe o strankini pritožbi zoper odločbo prve stopnje in če je tudi na novo zahtevo ne izda v nadaljnjih sedmih dneh, sme stranka sprožiti upravni spor, kot če bi bila njena pritožba zavrnjena. </w:t>
      </w:r>
    </w:p>
    <w:p w:rsidR="00392A2A" w:rsidRPr="00842DD4" w:rsidRDefault="00392A2A" w:rsidP="00123BCF">
      <w:pPr>
        <w:pStyle w:val="ECHRParaQuote"/>
        <w:rPr>
          <w:lang w:val="de-DE"/>
        </w:rPr>
      </w:pPr>
      <w:r w:rsidRPr="00842DD4">
        <w:rPr>
          <w:lang w:val="de-DE"/>
        </w:rPr>
        <w:t xml:space="preserve">3. Po prejšnjem odstavku sme ravnati tožnik tudi, če organ prve stopnje ne izda odločbe, zoper katero ni pritožbe. </w:t>
      </w:r>
    </w:p>
    <w:p w:rsidR="00392A2A" w:rsidRPr="00842DD4" w:rsidRDefault="00392A2A" w:rsidP="00123BCF">
      <w:pPr>
        <w:pStyle w:val="ECHRParaQuote"/>
        <w:rPr>
          <w:lang w:val="de-DE"/>
        </w:rPr>
      </w:pPr>
      <w:r w:rsidRPr="00842DD4">
        <w:rPr>
          <w:lang w:val="de-DE"/>
        </w:rPr>
        <w:t>4. Če organ prve stopnje, zoper katerega je dopustna pritožba, ne izda odločbe o zahtevi v dveh mesecih ali pa v krajšem, s posebnim predpisom določenem roku, ima stranka pravico obrniti se s svojo zahtevo na organ druge stopnje.  Zoper odločbo organa druge stopnje sme stranka sprožiti upravni spor;  če so izpolnjeni pogoji iz drugega odstavka tega člena, pa sme sprožiti upravni spor tudi, kadar ta organ ne izda odločbe."</w:t>
      </w:r>
    </w:p>
    <w:p w:rsidR="00392A2A" w:rsidRPr="00842DD4" w:rsidRDefault="00392A2A" w:rsidP="00123BCF">
      <w:pPr>
        <w:pStyle w:val="ECHRPara"/>
        <w:rPr>
          <w:lang w:val="de-DE"/>
        </w:rPr>
      </w:pPr>
      <w:r w:rsidRPr="00842DD4">
        <w:rPr>
          <w:lang w:val="de-DE"/>
        </w:rPr>
        <w:fldChar w:fldCharType="begin"/>
      </w:r>
      <w:r w:rsidRPr="00842DD4">
        <w:rPr>
          <w:lang w:val="de-DE"/>
        </w:rPr>
        <w:instrText xml:space="preserve"> SEQ level0 \*arabic </w:instrText>
      </w:r>
      <w:r w:rsidRPr="00842DD4">
        <w:rPr>
          <w:lang w:val="de-DE"/>
        </w:rPr>
        <w:fldChar w:fldCharType="separate"/>
      </w:r>
      <w:r w:rsidRPr="00842DD4">
        <w:rPr>
          <w:noProof/>
          <w:lang w:val="de-DE"/>
        </w:rPr>
        <w:t>35</w:t>
      </w:r>
      <w:r w:rsidRPr="00842DD4">
        <w:rPr>
          <w:lang w:val="de-DE"/>
        </w:rPr>
        <w:fldChar w:fldCharType="end"/>
      </w:r>
      <w:r w:rsidRPr="00842DD4">
        <w:rPr>
          <w:lang w:val="de-DE"/>
        </w:rPr>
        <w:t>.  Podobna določba je tudi v 28. členu novega Zakona o upravnem sporu (velja od 1. januarja 2007):</w:t>
      </w:r>
    </w:p>
    <w:p w:rsidR="00392A2A" w:rsidRPr="00842DD4" w:rsidRDefault="00392A2A" w:rsidP="00123BCF">
      <w:pPr>
        <w:pStyle w:val="ECHRParaQuote"/>
        <w:rPr>
          <w:lang w:val="de-DE"/>
        </w:rPr>
      </w:pPr>
      <w:r w:rsidRPr="00842DD4">
        <w:rPr>
          <w:lang w:val="de-DE"/>
        </w:rPr>
        <w:t>"2. Če organ druge stopnje v dveh mesecih ali pa v krajšem, s posebnim predpisom določenem roku, ne izda odločbe o strankini pritožbi zoper odločbo prve stopnje in če je tudi na novo zahtevo ne izda v nadaljnjih sedmih dneh, sme stranka sprožiti upravni spor, kot če bi bila njena pritožba zavrnjena.</w:t>
      </w:r>
    </w:p>
    <w:p w:rsidR="00392A2A" w:rsidRPr="00842DD4" w:rsidRDefault="00392A2A" w:rsidP="00123BCF">
      <w:pPr>
        <w:pStyle w:val="ECHRParaQuote"/>
        <w:rPr>
          <w:lang w:val="de-DE"/>
        </w:rPr>
      </w:pPr>
      <w:r w:rsidRPr="00842DD4">
        <w:rPr>
          <w:lang w:val="de-DE"/>
        </w:rPr>
        <w:t>3. Po prejšnjem odstavku sme ravnati tožnik tudi, če organ prve stopnje ne izda odločbe, zoper katero ni pritožbe, ter v primeru, če organ v treh letih od začetka postopka ni izdal dokončnega upravnega akta, ne glede na to, ali so v tem postopku že bila uporabljena redna ali izredna pravna sredstva, razen če je bil postopek ustavljen.</w:t>
      </w:r>
    </w:p>
    <w:p w:rsidR="00392A2A" w:rsidRPr="00842DD4" w:rsidRDefault="00392A2A" w:rsidP="00123BCF">
      <w:pPr>
        <w:pStyle w:val="ECHRParaQuote"/>
        <w:rPr>
          <w:lang w:val="de-DE"/>
        </w:rPr>
      </w:pPr>
      <w:r w:rsidRPr="00842DD4">
        <w:rPr>
          <w:lang w:val="de-DE"/>
        </w:rPr>
        <w:t>4. Če organ prve stopnje, zoper katerega odločbo je dopustna pritožba, ne izda odločbe o zahtevi v dveh mesecih ali pa v krajšem, s posebnim predpisom določenem roku, ima stranka pravico obrniti se s svojo zahtevo na organ druge stopnje, ki je v tem primeru pristojen za odločanje.  Zoper odločbo organa druge stopnje sme stranka sprožiti upravni spor;  če so izpolnjeni pogoji iz drugega odstavka tega člena, pa sme sprožiti upravni spor tudi, kadar ta organ ne izda odločbe."</w:t>
      </w:r>
    </w:p>
    <w:p w:rsidR="00392A2A" w:rsidRPr="00842DD4" w:rsidRDefault="00392A2A" w:rsidP="00FE5878">
      <w:pPr>
        <w:pStyle w:val="ECHRHeading2"/>
        <w:rPr>
          <w:lang w:val="de-DE"/>
        </w:rPr>
      </w:pPr>
      <w:r w:rsidRPr="00842DD4">
        <w:rPr>
          <w:lang w:val="de-DE"/>
        </w:rPr>
        <w:t>C. Sodna praksa upravnega sodišča</w:t>
      </w:r>
    </w:p>
    <w:p w:rsidR="00392A2A" w:rsidRPr="00EF366F" w:rsidRDefault="00392A2A" w:rsidP="00F93487">
      <w:pPr>
        <w:pStyle w:val="ECHRPara"/>
      </w:pPr>
      <w:r w:rsidRPr="00842DD4">
        <w:rPr>
          <w:lang w:val="de-DE"/>
        </w:rPr>
        <w:fldChar w:fldCharType="begin"/>
      </w:r>
      <w:r w:rsidRPr="00842DD4">
        <w:rPr>
          <w:lang w:val="de-DE"/>
        </w:rPr>
        <w:instrText xml:space="preserve"> SEQ level0 \*arabic </w:instrText>
      </w:r>
      <w:r w:rsidRPr="00842DD4">
        <w:rPr>
          <w:lang w:val="de-DE"/>
        </w:rPr>
        <w:fldChar w:fldCharType="separate"/>
      </w:r>
      <w:r w:rsidRPr="00842DD4">
        <w:rPr>
          <w:noProof/>
          <w:lang w:val="de-DE"/>
        </w:rPr>
        <w:t>36</w:t>
      </w:r>
      <w:r w:rsidRPr="00842DD4">
        <w:rPr>
          <w:lang w:val="de-DE"/>
        </w:rPr>
        <w:fldChar w:fldCharType="end"/>
      </w:r>
      <w:r w:rsidRPr="00842DD4">
        <w:rPr>
          <w:lang w:val="de-DE"/>
        </w:rPr>
        <w:t xml:space="preserve">.  Vlada je Sodišču predložila kopije devetih domačih odločitev – z dne 26. oktobra 2010 (odl. št. </w:t>
      </w:r>
      <w:r>
        <w:t>I U 56/2010), z dne 8. marca 2011 (odl. št. I U 1933/2010), z dne 22. septembra 2010 (odl. št. I U 454/2010), z dne 13. decembra 2011 (odl. št. I U 1131/2011), z dne 4. decembra 2013 (odl. št. I U 171/2013), z dne 4. marca 2014 (odl. št. I U 1781/2013), z dne 10. januarja 2012 (odl. št. I U 392/2011), z dne 8. januarja 2013 (odl. št. I U 352/2012) in z dne 16. oktobra 2013 (odl. št. I U 299/2013) – v zvezi s tožbami, ki sta jih stranki vložili v različnih upravnih postopkih zaradi nesprejetja odločitve v predpisanem roku.  Upravno sodišče je ugodilo vsem devetim tožbam in od upravnih organov zahtevalo, naj o zahtevkih tožečih strank odloči v določenem času. Trije od teh postopkov na upravnem sodišču so trajali približno tri mesece, ostali pa od šest do deset mesecev.</w:t>
      </w:r>
    </w:p>
    <w:p w:rsidR="00392A2A" w:rsidRPr="00EF366F" w:rsidRDefault="00392A2A" w:rsidP="00DE61E0">
      <w:pPr>
        <w:pStyle w:val="ECHRTitle1"/>
      </w:pPr>
      <w:r>
        <w:t>PRAVO</w:t>
      </w:r>
    </w:p>
    <w:p w:rsidR="00392A2A" w:rsidRPr="00EF366F" w:rsidRDefault="00392A2A" w:rsidP="00885189">
      <w:pPr>
        <w:pStyle w:val="ECHRHeading1"/>
      </w:pPr>
      <w:r>
        <w:rPr>
          <w:bCs w:val="0"/>
        </w:rPr>
        <w:t>I. ZDRUŽITEV PRITOŽB</w:t>
      </w:r>
    </w:p>
    <w:p w:rsidR="00392A2A" w:rsidRPr="00EF366F" w:rsidRDefault="00392A2A" w:rsidP="00885189">
      <w:pPr>
        <w:pStyle w:val="ECHRPara"/>
      </w:pPr>
      <w:fldSimple w:instr=" SEQ level0 \*arabic ">
        <w:r>
          <w:rPr>
            <w:noProof/>
          </w:rPr>
          <w:t>37</w:t>
        </w:r>
      </w:fldSimple>
      <w:r>
        <w:t>.  Sodišče je v skladu s prvim odstavkom 42. člena svojega poslovnika glede na skupno dejansko in pravno ozadje sklenilo pritožbeni zadevi združiti.</w:t>
      </w:r>
    </w:p>
    <w:p w:rsidR="00392A2A" w:rsidRPr="00EF366F" w:rsidRDefault="00392A2A" w:rsidP="000A3399">
      <w:pPr>
        <w:pStyle w:val="ECHRHeading1"/>
      </w:pPr>
      <w:r>
        <w:rPr>
          <w:bCs w:val="0"/>
        </w:rPr>
        <w:t>II. ZATRJEVANA KRŠITEV PRVEGA ODSTAVKA 6. ČLENA KONVENCIJE</w:t>
      </w:r>
    </w:p>
    <w:p w:rsidR="00392A2A" w:rsidRPr="00EF366F" w:rsidRDefault="00392A2A" w:rsidP="00BE29DB">
      <w:pPr>
        <w:pStyle w:val="ECHRPara"/>
      </w:pPr>
      <w:fldSimple w:instr=" SEQ level0 \*arabic ">
        <w:r>
          <w:rPr>
            <w:noProof/>
          </w:rPr>
          <w:t>38</w:t>
        </w:r>
      </w:fldSimple>
      <w:r>
        <w:t>.  Pritožnici sta se pritožili, da trajanje upravnih postopkov in postopkov revizije ni bilo v skladu z zahtevo po "razumnem roku" iz prvega odstavka 6. člena konvencije, ki se glasi:</w:t>
      </w:r>
    </w:p>
    <w:p w:rsidR="00392A2A" w:rsidRDefault="00392A2A" w:rsidP="000A3399">
      <w:pPr>
        <w:pStyle w:val="ECHRParaQuote"/>
      </w:pPr>
      <w:r>
        <w:t xml:space="preserve">"Vsakdo ima pravico, da o njegovih civilnih pravicah in obveznostih ... v razumnem roku odloča sodišče." </w:t>
      </w:r>
    </w:p>
    <w:p w:rsidR="00392A2A" w:rsidRDefault="00392A2A" w:rsidP="00C5343F">
      <w:pPr>
        <w:pStyle w:val="ECHRParaQuote"/>
        <w:ind w:left="0" w:firstLine="0"/>
      </w:pPr>
    </w:p>
    <w:p w:rsidR="00392A2A" w:rsidRPr="00F273B7" w:rsidRDefault="00392A2A" w:rsidP="009E0FDA">
      <w:pPr>
        <w:pStyle w:val="ECHRHeading2"/>
      </w:pPr>
      <w:r>
        <w:t>A.</w:t>
      </w:r>
      <w:r>
        <w:rPr>
          <w:b w:val="0"/>
          <w:bCs w:val="0"/>
        </w:rPr>
        <w:t>  </w:t>
      </w:r>
      <w:r>
        <w:t>Sprejemljivost</w:t>
      </w:r>
    </w:p>
    <w:p w:rsidR="00392A2A" w:rsidRPr="00F273B7" w:rsidRDefault="00392A2A" w:rsidP="009E0FDA">
      <w:pPr>
        <w:pStyle w:val="ECHRHeading3"/>
      </w:pPr>
      <w:r>
        <w:rPr>
          <w:bCs w:val="0"/>
          <w:iCs/>
        </w:rPr>
        <w:t>1.</w:t>
      </w:r>
      <w:r>
        <w:rPr>
          <w:bCs w:val="0"/>
          <w:i w:val="0"/>
        </w:rPr>
        <w:t>  </w:t>
      </w:r>
      <w:r>
        <w:rPr>
          <w:bCs w:val="0"/>
          <w:iCs/>
        </w:rPr>
        <w:t>Navedbe strank</w:t>
      </w:r>
    </w:p>
    <w:p w:rsidR="00392A2A" w:rsidRPr="00F273B7" w:rsidRDefault="00392A2A" w:rsidP="0004022A">
      <w:pPr>
        <w:pStyle w:val="ECHRHeading4"/>
        <w:keepNext w:val="0"/>
        <w:keepLines w:val="0"/>
        <w:widowControl w:val="0"/>
      </w:pPr>
      <w:r>
        <w:rPr>
          <w:iCs w:val="0"/>
        </w:rPr>
        <w:t>(a) Vlada</w:t>
      </w:r>
    </w:p>
    <w:p w:rsidR="00392A2A" w:rsidRDefault="00392A2A" w:rsidP="00857C10">
      <w:pPr>
        <w:pStyle w:val="ECHRPara"/>
      </w:pPr>
      <w:r>
        <w:rPr>
          <w:rFonts w:eastAsia="MS Gothic"/>
        </w:rPr>
        <w:fldChar w:fldCharType="begin"/>
      </w:r>
      <w:r>
        <w:rPr>
          <w:rFonts w:eastAsia="MS Gothic"/>
        </w:rPr>
        <w:instrText xml:space="preserve"> SEQ level0 \*arabic </w:instrText>
      </w:r>
      <w:r>
        <w:rPr>
          <w:rFonts w:eastAsia="MS Gothic"/>
        </w:rPr>
        <w:fldChar w:fldCharType="separate"/>
      </w:r>
      <w:r>
        <w:rPr>
          <w:rFonts w:eastAsia="MS Gothic"/>
          <w:noProof/>
        </w:rPr>
        <w:t>39</w:t>
      </w:r>
      <w:r>
        <w:rPr>
          <w:rFonts w:eastAsia="MS Gothic"/>
        </w:rPr>
        <w:fldChar w:fldCharType="end"/>
      </w:r>
      <w:r>
        <w:rPr>
          <w:rFonts w:eastAsia="MS Gothic"/>
        </w:rPr>
        <w:t>.  Vlada je vložila ugovor o neizčrpanju notranjepravnih sredstev</w:t>
      </w:r>
      <w:r>
        <w:t>, ki sta jih pritožnici imeli na voljo za pospešitev upravnih postopkov in postopkov revizije.</w:t>
      </w:r>
    </w:p>
    <w:p w:rsidR="00392A2A" w:rsidRPr="00F273B7" w:rsidRDefault="00392A2A" w:rsidP="00857C10">
      <w:pPr>
        <w:pStyle w:val="ECHRPara"/>
      </w:pPr>
      <w:fldSimple w:instr=" SEQ level0 \*arabic ">
        <w:r>
          <w:rPr>
            <w:noProof/>
          </w:rPr>
          <w:t>40</w:t>
        </w:r>
      </w:fldSimple>
      <w:r>
        <w:t>.  Najprej je vlada glede upravnih postopkov trdila, da je bila v postopkih pred upravnimi organi na prvi stopnji na voljo možnost pritožbe zaradi nesprejetja odločitve v predpisanem roku, v postopkih pred upravnimi organi na drugi stopnji pa možnost tožbe zaradi nesprejetja odločitve v predpisanem roku.</w:t>
      </w:r>
    </w:p>
    <w:p w:rsidR="00392A2A" w:rsidRPr="00F273B7" w:rsidRDefault="00392A2A" w:rsidP="00355CC8">
      <w:pPr>
        <w:pStyle w:val="ECHRPara"/>
        <w:rPr>
          <w:noProof/>
        </w:rPr>
      </w:pPr>
      <w:fldSimple w:instr=" SEQ level0 \*arabic ">
        <w:r>
          <w:rPr>
            <w:noProof/>
          </w:rPr>
          <w:t>41</w:t>
        </w:r>
      </w:fldSimple>
      <w:r>
        <w:t xml:space="preserve">.   Vlada je trdila –  ob sklicevanju na odločitve Sodišča v zadevah </w:t>
      </w:r>
      <w:r>
        <w:rPr>
          <w:i/>
          <w:iCs/>
        </w:rPr>
        <w:t>Sirc</w:t>
      </w:r>
      <w:r>
        <w:t xml:space="preserve"> proti Sloveniji (št. 44580/98, 16. maj 2002) in </w:t>
      </w:r>
      <w:r>
        <w:rPr>
          <w:i/>
          <w:iCs/>
        </w:rPr>
        <w:t>Blekić proti  Sloveniji</w:t>
      </w:r>
      <w:r>
        <w:t xml:space="preserve"> (št. 14610/02, 7. julij 2009) ter ob upoštevanju sodne prakse, poslane Sodišču (</w:t>
      </w:r>
      <w:r>
        <w:rPr>
          <w:noProof/>
        </w:rPr>
        <w:t xml:space="preserve">glej upoštevano domačo zakonodajo in prakso, v 36. točki zgoraj) – </w:t>
      </w:r>
      <w:r>
        <w:t xml:space="preserve">da bi bili ti dve pravni sredstvi učinkoviti, ker bi njuna uporaba prispevala k pospešitvi upravnih postopkov. </w:t>
      </w:r>
    </w:p>
    <w:p w:rsidR="00392A2A" w:rsidRPr="00F273B7" w:rsidRDefault="00392A2A" w:rsidP="00857C10">
      <w:pPr>
        <w:pStyle w:val="ECHRPara"/>
      </w:pPr>
      <w:fldSimple w:instr=" SEQ level0 \*arabic ">
        <w:r>
          <w:rPr>
            <w:noProof/>
          </w:rPr>
          <w:t>42</w:t>
        </w:r>
      </w:fldSimple>
      <w:r>
        <w:t xml:space="preserve">.  Vlada je priznala, da sta pritožnici na določeni točki upravnih postopkov uporabili obe pravni sredstvi, vendar je trdila, da pritožnici teh pravnih sredstev nista ponovno izkoristili pozneje, da bi pospešili upravne postopke, ki so potekali naprej in še vedno potekajo. </w:t>
      </w:r>
    </w:p>
    <w:p w:rsidR="00392A2A" w:rsidRPr="00EF366F" w:rsidRDefault="00392A2A" w:rsidP="005D35D6">
      <w:pPr>
        <w:pStyle w:val="ECHRPara"/>
        <w:widowControl w:val="0"/>
      </w:pPr>
      <w:fldSimple w:instr=" SEQ level0 \*arabic ">
        <w:r>
          <w:rPr>
            <w:noProof/>
          </w:rPr>
          <w:t>43</w:t>
        </w:r>
      </w:fldSimple>
      <w:r>
        <w:t xml:space="preserve">.  Na koncu je vlada poudarila, da sta bili obe pravni sredstvi v skladu z zahtevo po "razumnem roku".  Postopka pred upravnim sodiščem glede tožbe pritožnic zaradi nesprejetja odločitve v predpisanem roku sta trajala dve leti, kar po mnenju vlade ni bilo nerazumno. </w:t>
      </w:r>
    </w:p>
    <w:p w:rsidR="00392A2A" w:rsidRPr="00EF366F" w:rsidRDefault="00392A2A" w:rsidP="004C05E2">
      <w:pPr>
        <w:pStyle w:val="ECHRPara"/>
        <w:widowControl w:val="0"/>
      </w:pPr>
      <w:fldSimple w:instr=" SEQ level0 \*arabic ">
        <w:r>
          <w:rPr>
            <w:noProof/>
          </w:rPr>
          <w:t>44</w:t>
        </w:r>
      </w:fldSimple>
      <w:r>
        <w:t xml:space="preserve">.  Nato je vlada vložila ugovor glede neizčrpanja pravnih sredstev tudi v zvezi s postopki revizije. </w:t>
      </w:r>
    </w:p>
    <w:p w:rsidR="00392A2A" w:rsidRPr="00842DD4" w:rsidRDefault="00392A2A" w:rsidP="00C676E8">
      <w:pPr>
        <w:pStyle w:val="ECHRHeading4"/>
        <w:keepNext w:val="0"/>
        <w:keepLines w:val="0"/>
        <w:widowControl w:val="0"/>
        <w:rPr>
          <w:bCs w:val="0"/>
          <w:lang w:val="fr-FR"/>
        </w:rPr>
      </w:pPr>
      <w:r w:rsidRPr="00842DD4">
        <w:rPr>
          <w:iCs w:val="0"/>
          <w:lang w:val="fr-FR"/>
        </w:rPr>
        <w:t>(b) Pritožnici</w:t>
      </w:r>
    </w:p>
    <w:p w:rsidR="00392A2A" w:rsidRPr="00842DD4" w:rsidRDefault="00392A2A" w:rsidP="007F23E3">
      <w:pPr>
        <w:pStyle w:val="ECHRPara"/>
        <w:rPr>
          <w:lang w:val="fr-FR"/>
        </w:rPr>
      </w:pPr>
      <w:r w:rsidRPr="00842DD4">
        <w:rPr>
          <w:lang w:val="fr-FR"/>
        </w:rPr>
        <w:fldChar w:fldCharType="begin"/>
      </w:r>
      <w:r w:rsidRPr="00842DD4">
        <w:rPr>
          <w:lang w:val="fr-FR"/>
        </w:rPr>
        <w:instrText xml:space="preserve"> SEQ level0 \*arabic </w:instrText>
      </w:r>
      <w:r w:rsidRPr="00842DD4">
        <w:rPr>
          <w:lang w:val="fr-FR"/>
        </w:rPr>
        <w:fldChar w:fldCharType="separate"/>
      </w:r>
      <w:r w:rsidRPr="00842DD4">
        <w:rPr>
          <w:noProof/>
          <w:lang w:val="fr-FR"/>
        </w:rPr>
        <w:t>45</w:t>
      </w:r>
      <w:r w:rsidRPr="00842DD4">
        <w:rPr>
          <w:lang w:val="fr-FR"/>
        </w:rPr>
        <w:fldChar w:fldCharType="end"/>
      </w:r>
      <w:r w:rsidRPr="00842DD4">
        <w:rPr>
          <w:lang w:val="fr-FR"/>
        </w:rPr>
        <w:t xml:space="preserve">.  Pritožnici sta te utemeljitve vlade izpodbijali. Glede upravnih postopkov sta trdili, da kljub domači zakonodaji, predvideni za pravna sredstva pri daljših upravnih postopkih, ki sta jih izkoristili, izčrpanje teh pravnih sredstev ni prispevalo k pospešitvi postopkov, ki še vedno trajajo. </w:t>
      </w:r>
    </w:p>
    <w:p w:rsidR="00392A2A" w:rsidRPr="00842DD4" w:rsidRDefault="00392A2A" w:rsidP="00442973">
      <w:pPr>
        <w:pStyle w:val="ECHRPara"/>
        <w:rPr>
          <w:lang w:val="fr-FR"/>
        </w:rPr>
      </w:pPr>
      <w:r w:rsidRPr="00842DD4">
        <w:rPr>
          <w:lang w:val="fr-FR"/>
        </w:rPr>
        <w:fldChar w:fldCharType="begin"/>
      </w:r>
      <w:r w:rsidRPr="00842DD4">
        <w:rPr>
          <w:lang w:val="fr-FR"/>
        </w:rPr>
        <w:instrText xml:space="preserve"> SEQ level0 \*arabic </w:instrText>
      </w:r>
      <w:r w:rsidRPr="00842DD4">
        <w:rPr>
          <w:lang w:val="fr-FR"/>
        </w:rPr>
        <w:fldChar w:fldCharType="separate"/>
      </w:r>
      <w:r w:rsidRPr="00842DD4">
        <w:rPr>
          <w:noProof/>
          <w:lang w:val="fr-FR"/>
        </w:rPr>
        <w:t>46</w:t>
      </w:r>
      <w:r w:rsidRPr="00842DD4">
        <w:rPr>
          <w:lang w:val="fr-FR"/>
        </w:rPr>
        <w:fldChar w:fldCharType="end"/>
      </w:r>
      <w:r w:rsidRPr="00842DD4">
        <w:rPr>
          <w:lang w:val="fr-FR"/>
        </w:rPr>
        <w:t xml:space="preserve">.  Trdili sta, da ministrstvo ni odločilo o pritožbah prednika prve pritožnice in pritožbah druge pritožnice, vloženih zaradi nesprejetja odločitve v predpisanem roku, ter da je upravno sodišče potrebovalo dve leti, da je odločilo o nadaljnjih tožbah zaradi nesprejetja odločitve v predpisanem roku.   Postopki pred upravnim sodiščem so bili nerazumno dolgi, glede na to, da sodišču ni bilo treba odločati o vsebini zadev, temveč samo o tem, ali so upravni organi na nižji stopnji izdali odločbe pravočasno ali ne.  </w:t>
      </w:r>
    </w:p>
    <w:p w:rsidR="00392A2A" w:rsidRPr="00842DD4" w:rsidRDefault="00392A2A" w:rsidP="007F23E3">
      <w:pPr>
        <w:pStyle w:val="ECHRPara"/>
        <w:rPr>
          <w:lang w:val="fr-FR"/>
        </w:rPr>
      </w:pPr>
      <w:r w:rsidRPr="00842DD4">
        <w:rPr>
          <w:lang w:val="fr-FR"/>
        </w:rPr>
        <w:fldChar w:fldCharType="begin"/>
      </w:r>
      <w:r w:rsidRPr="00842DD4">
        <w:rPr>
          <w:lang w:val="fr-FR"/>
        </w:rPr>
        <w:instrText xml:space="preserve"> SEQ level0 \*arabic </w:instrText>
      </w:r>
      <w:r w:rsidRPr="00842DD4">
        <w:rPr>
          <w:lang w:val="fr-FR"/>
        </w:rPr>
        <w:fldChar w:fldCharType="separate"/>
      </w:r>
      <w:r w:rsidRPr="00842DD4">
        <w:rPr>
          <w:noProof/>
          <w:lang w:val="fr-FR"/>
        </w:rPr>
        <w:t>47</w:t>
      </w:r>
      <w:r w:rsidRPr="00842DD4">
        <w:rPr>
          <w:lang w:val="fr-FR"/>
        </w:rPr>
        <w:fldChar w:fldCharType="end"/>
      </w:r>
      <w:r w:rsidRPr="00842DD4">
        <w:rPr>
          <w:lang w:val="fr-FR"/>
        </w:rPr>
        <w:t xml:space="preserve">.  Poleg tega sta pritožnici navedli, da je potem, ko je upravno sodišče ugodilo tožbi prednika prve pritožnice in tožbi druge pritožnice ter ministrstvu naložilo, da izda odločbi v treh dneh, ministrstvo potrebovalo eno leto, da to stori. Torej ni bilo nikakršnih sredstev za pridobitev odločbe v upravnem postopku v razumnem roku. </w:t>
      </w:r>
    </w:p>
    <w:p w:rsidR="00392A2A" w:rsidRPr="00842DD4" w:rsidRDefault="00392A2A" w:rsidP="0042774F">
      <w:pPr>
        <w:pStyle w:val="ECHRPara"/>
        <w:rPr>
          <w:lang w:val="fr-FR"/>
        </w:rPr>
      </w:pPr>
      <w:r w:rsidRPr="00842DD4">
        <w:rPr>
          <w:lang w:val="fr-FR"/>
        </w:rPr>
        <w:fldChar w:fldCharType="begin"/>
      </w:r>
      <w:r w:rsidRPr="00842DD4">
        <w:rPr>
          <w:lang w:val="fr-FR"/>
        </w:rPr>
        <w:instrText xml:space="preserve"> SEQ level0 \*arabic </w:instrText>
      </w:r>
      <w:r w:rsidRPr="00842DD4">
        <w:rPr>
          <w:lang w:val="fr-FR"/>
        </w:rPr>
        <w:fldChar w:fldCharType="separate"/>
      </w:r>
      <w:r w:rsidRPr="00842DD4">
        <w:rPr>
          <w:noProof/>
          <w:lang w:val="fr-FR"/>
        </w:rPr>
        <w:t>48</w:t>
      </w:r>
      <w:r w:rsidRPr="00842DD4">
        <w:rPr>
          <w:lang w:val="fr-FR"/>
        </w:rPr>
        <w:fldChar w:fldCharType="end"/>
      </w:r>
      <w:r w:rsidRPr="00842DD4">
        <w:rPr>
          <w:lang w:val="fr-FR"/>
        </w:rPr>
        <w:t xml:space="preserve">.  Po navedbah pritožnic razpoložljiva pravna sredstva niso bila učinkovita, ker njuna prizadevanja – pritožba, tožba in več neformalnih predlogov za pospešitev postopkov – niso prispevala k pospešitvi postopkov, zato zahteva za njihovo ponovno uporabo v postopkih, ki še trajajo, ni bila utemeljena.  Poleg tega sta pritožnici poudarili, da jima v nasprotju s sodnimi postopki, kjer se lahko odškodnina pridobi na podlagi Zakona o varstvu pravice do sojenja brez nepotrebnega odlašanja, če so postopki že presegli zahtevo po razumnem roku, domača zakonodaja ne zagotavlja nikakršnega zadoščenja. </w:t>
      </w:r>
    </w:p>
    <w:p w:rsidR="00392A2A" w:rsidRPr="00842DD4" w:rsidRDefault="00392A2A" w:rsidP="007F23E3">
      <w:pPr>
        <w:pStyle w:val="ECHRPara"/>
        <w:rPr>
          <w:lang w:val="fr-FR"/>
        </w:rPr>
      </w:pPr>
      <w:r w:rsidRPr="00842DD4">
        <w:rPr>
          <w:lang w:val="fr-FR"/>
        </w:rPr>
        <w:fldChar w:fldCharType="begin"/>
      </w:r>
      <w:r w:rsidRPr="00842DD4">
        <w:rPr>
          <w:lang w:val="fr-FR"/>
        </w:rPr>
        <w:instrText xml:space="preserve"> SEQ level0 \*arabic </w:instrText>
      </w:r>
      <w:r w:rsidRPr="00842DD4">
        <w:rPr>
          <w:lang w:val="fr-FR"/>
        </w:rPr>
        <w:fldChar w:fldCharType="separate"/>
      </w:r>
      <w:r w:rsidRPr="00842DD4">
        <w:rPr>
          <w:noProof/>
          <w:lang w:val="fr-FR"/>
        </w:rPr>
        <w:t>49</w:t>
      </w:r>
      <w:r w:rsidRPr="00842DD4">
        <w:rPr>
          <w:lang w:val="fr-FR"/>
        </w:rPr>
        <w:fldChar w:fldCharType="end"/>
      </w:r>
      <w:r w:rsidRPr="00842DD4">
        <w:rPr>
          <w:lang w:val="fr-FR"/>
        </w:rPr>
        <w:t xml:space="preserve">.  V zvezi s primeri domače sodne prakse, ki jih je predložila vlada, sta pritožnici poudarili, da ni razvidno, kako dolgo so trajali postopki v posameznem primeru, preden je upravno sodišče sprejelo svoje odločitve. </w:t>
      </w:r>
    </w:p>
    <w:p w:rsidR="00392A2A" w:rsidRPr="00842DD4" w:rsidRDefault="00392A2A" w:rsidP="009E0FDA">
      <w:pPr>
        <w:pStyle w:val="ECHRHeading3"/>
        <w:rPr>
          <w:lang w:val="fr-FR"/>
        </w:rPr>
      </w:pPr>
      <w:r w:rsidRPr="00842DD4">
        <w:rPr>
          <w:bCs w:val="0"/>
          <w:iCs/>
          <w:lang w:val="fr-FR"/>
        </w:rPr>
        <w:t>2.</w:t>
      </w:r>
      <w:r w:rsidRPr="00842DD4">
        <w:rPr>
          <w:bCs w:val="0"/>
          <w:i w:val="0"/>
          <w:lang w:val="fr-FR"/>
        </w:rPr>
        <w:t>  </w:t>
      </w:r>
      <w:r w:rsidRPr="00842DD4">
        <w:rPr>
          <w:bCs w:val="0"/>
          <w:iCs/>
          <w:lang w:val="fr-FR"/>
        </w:rPr>
        <w:t>Presoja Sodišča</w:t>
      </w:r>
    </w:p>
    <w:p w:rsidR="00392A2A" w:rsidRPr="00842DD4" w:rsidRDefault="00392A2A" w:rsidP="00CF3515">
      <w:pPr>
        <w:pStyle w:val="ECHRHeading4"/>
        <w:rPr>
          <w:lang w:val="fr-FR"/>
        </w:rPr>
      </w:pPr>
      <w:r w:rsidRPr="00842DD4">
        <w:rPr>
          <w:iCs w:val="0"/>
          <w:lang w:val="fr-FR"/>
        </w:rPr>
        <w:t>a) Splošna načela</w:t>
      </w:r>
    </w:p>
    <w:p w:rsidR="00392A2A" w:rsidRPr="00842DD4" w:rsidRDefault="00392A2A" w:rsidP="009E0FDA">
      <w:pPr>
        <w:pStyle w:val="ECHRPara"/>
        <w:rPr>
          <w:noProof/>
          <w:lang w:val="fr-FR"/>
        </w:rPr>
      </w:pPr>
      <w:r w:rsidRPr="00842DD4">
        <w:rPr>
          <w:lang w:val="fr-FR"/>
        </w:rPr>
        <w:fldChar w:fldCharType="begin"/>
      </w:r>
      <w:r w:rsidRPr="00842DD4">
        <w:rPr>
          <w:lang w:val="fr-FR"/>
        </w:rPr>
        <w:instrText xml:space="preserve"> SEQ level0 \*arabic </w:instrText>
      </w:r>
      <w:r w:rsidRPr="00842DD4">
        <w:rPr>
          <w:lang w:val="fr-FR"/>
        </w:rPr>
        <w:fldChar w:fldCharType="separate"/>
      </w:r>
      <w:r w:rsidRPr="00842DD4">
        <w:rPr>
          <w:noProof/>
          <w:lang w:val="fr-FR"/>
        </w:rPr>
        <w:t>50</w:t>
      </w:r>
      <w:r w:rsidRPr="00842DD4">
        <w:rPr>
          <w:lang w:val="fr-FR"/>
        </w:rPr>
        <w:fldChar w:fldCharType="end"/>
      </w:r>
      <w:r w:rsidRPr="00842DD4">
        <w:rPr>
          <w:lang w:val="fr-FR"/>
        </w:rPr>
        <w:t xml:space="preserve">.  Namen prvega odstavka 35. člena, ki določa pravilo o izčrpanju notranjepravnih sredstev, je državam pogodbenicam zagotoviti možnost, da preprečijo ali odpravijo zatrjevane kršitve, preden so te navedbe predložene Sodišču (gl. </w:t>
      </w:r>
      <w:r w:rsidRPr="00842DD4">
        <w:rPr>
          <w:i/>
          <w:iCs/>
          <w:lang w:val="fr-FR"/>
        </w:rPr>
        <w:t>Selmouni proti Franciji</w:t>
      </w:r>
      <w:r w:rsidRPr="00842DD4">
        <w:rPr>
          <w:lang w:val="fr-FR"/>
        </w:rPr>
        <w:t xml:space="preserve"> [VS], št. 25803/94, 74. odstavek, ESČP 1999-V, in </w:t>
      </w:r>
      <w:r w:rsidRPr="00842DD4">
        <w:rPr>
          <w:i/>
          <w:iCs/>
          <w:lang w:val="fr-FR"/>
        </w:rPr>
        <w:t xml:space="preserve">Kudła proti Poljski </w:t>
      </w:r>
      <w:r w:rsidRPr="00842DD4">
        <w:rPr>
          <w:lang w:val="fr-FR"/>
        </w:rPr>
        <w:t>[VS], št. 30210/96, 152. odstavek, ESČP 2000-...).   Pravilo iz prvega odstavka 35. člena temelji na domnevi, izraženi v 13. členu, ki je tesno povezana z njim, da obstaja učinkovito notranjepravno sredstvo, ki je na voljo v zvezi z zatrjevano kršitvijo pravic posameznika iz konvencije (prav tam).</w:t>
      </w:r>
    </w:p>
    <w:p w:rsidR="00392A2A" w:rsidRDefault="00392A2A" w:rsidP="006B6993">
      <w:pPr>
        <w:pStyle w:val="ECHRPara"/>
        <w:rPr>
          <w:noProof/>
        </w:rPr>
      </w:pPr>
      <w:r w:rsidRPr="00842DD4">
        <w:rPr>
          <w:noProof/>
          <w:lang w:val="fr-FR"/>
        </w:rPr>
        <w:fldChar w:fldCharType="begin"/>
      </w:r>
      <w:r w:rsidRPr="00842DD4">
        <w:rPr>
          <w:noProof/>
          <w:lang w:val="fr-FR"/>
        </w:rPr>
        <w:instrText xml:space="preserve"> SEQ level0 \*arabic </w:instrText>
      </w:r>
      <w:r w:rsidRPr="00842DD4">
        <w:rPr>
          <w:noProof/>
          <w:lang w:val="fr-FR"/>
        </w:rPr>
        <w:fldChar w:fldCharType="separate"/>
      </w:r>
      <w:r w:rsidRPr="00842DD4">
        <w:rPr>
          <w:noProof/>
          <w:lang w:val="fr-FR"/>
        </w:rPr>
        <w:t>51</w:t>
      </w:r>
      <w:r w:rsidRPr="00842DD4">
        <w:rPr>
          <w:noProof/>
          <w:lang w:val="fr-FR"/>
        </w:rPr>
        <w:fldChar w:fldCharType="end"/>
      </w:r>
      <w:r w:rsidRPr="00842DD4">
        <w:rPr>
          <w:noProof/>
          <w:lang w:val="fr-FR"/>
        </w:rPr>
        <w:t xml:space="preserve">.  V skladu s 35. členom konvencije naj bi pritožnik normalno uporabil pravna sredstva, ki so na voljo in zadostna za popravo zatrjevanih kršitev. Obstoj zadevnih pravnih sredstev mora biti dovolj gotov ne samo v teoriji, temveč tudi v praksi (brez česar pravna sredstva ne bodo dovolj dostopna in učinkovita); </w:t>
      </w:r>
      <w:r w:rsidRPr="00842DD4">
        <w:rPr>
          <w:lang w:val="fr-FR"/>
        </w:rPr>
        <w:t xml:space="preserve"> tožena država pa mora zagotoviti, da so ti različni pogoji izpolnjeni </w:t>
      </w:r>
      <w:r w:rsidRPr="00842DD4">
        <w:rPr>
          <w:noProof/>
          <w:lang w:val="fr-FR"/>
        </w:rPr>
        <w:t xml:space="preserve"> (glej, </w:t>
      </w:r>
      <w:r w:rsidRPr="00842DD4">
        <w:rPr>
          <w:i/>
          <w:iCs/>
          <w:noProof/>
          <w:lang w:val="fr-FR"/>
        </w:rPr>
        <w:t>med drugim</w:t>
      </w:r>
      <w:r w:rsidRPr="00842DD4">
        <w:rPr>
          <w:noProof/>
          <w:lang w:val="fr-FR"/>
        </w:rPr>
        <w:t xml:space="preserve">, </w:t>
      </w:r>
      <w:r w:rsidRPr="00842DD4">
        <w:rPr>
          <w:i/>
          <w:iCs/>
          <w:lang w:val="fr-FR"/>
        </w:rPr>
        <w:t>Vernillo proti Franciji</w:t>
      </w:r>
      <w:r w:rsidRPr="00842DD4">
        <w:rPr>
          <w:lang w:val="fr-FR"/>
        </w:rPr>
        <w:t xml:space="preserve">, 20. februarja 1991, 27. odstavek, serija A, št. 198, </w:t>
      </w:r>
      <w:r w:rsidRPr="00842DD4">
        <w:rPr>
          <w:noProof/>
          <w:lang w:val="fr-FR"/>
        </w:rPr>
        <w:t xml:space="preserve">in </w:t>
      </w:r>
      <w:r w:rsidRPr="00842DD4">
        <w:rPr>
          <w:i/>
          <w:iCs/>
          <w:noProof/>
          <w:lang w:val="fr-FR"/>
        </w:rPr>
        <w:t>Dalia proti  Franciji</w:t>
      </w:r>
      <w:r w:rsidRPr="00842DD4">
        <w:rPr>
          <w:noProof/>
          <w:lang w:val="fr-FR"/>
        </w:rPr>
        <w:t xml:space="preserve">, št. </w:t>
      </w:r>
      <w:hyperlink r:id="rId10" w:anchor="{&quot;appno&quot;:[&quot;26102/95&quot;]}" w:tgtFrame="_blank" w:history="1">
        <w:r>
          <w:rPr>
            <w:noProof/>
          </w:rPr>
          <w:t>26102/95</w:t>
        </w:r>
      </w:hyperlink>
      <w:r>
        <w:rPr>
          <w:noProof/>
        </w:rPr>
        <w:t>, 38. odstavek, ESČP 1998-I).</w:t>
      </w:r>
    </w:p>
    <w:p w:rsidR="00392A2A" w:rsidRPr="00EF366F" w:rsidRDefault="00392A2A" w:rsidP="00B03671">
      <w:pPr>
        <w:pStyle w:val="ECHRPara"/>
      </w:pPr>
      <w:r>
        <w:rPr>
          <w:noProof/>
        </w:rPr>
        <w:fldChar w:fldCharType="begin"/>
      </w:r>
      <w:r>
        <w:rPr>
          <w:noProof/>
        </w:rPr>
        <w:instrText xml:space="preserve"> SEQ level0 \*arabic </w:instrText>
      </w:r>
      <w:r>
        <w:rPr>
          <w:noProof/>
        </w:rPr>
        <w:fldChar w:fldCharType="separate"/>
      </w:r>
      <w:r>
        <w:rPr>
          <w:noProof/>
        </w:rPr>
        <w:t>52</w:t>
      </w:r>
      <w:r>
        <w:rPr>
          <w:noProof/>
        </w:rPr>
        <w:fldChar w:fldCharType="end"/>
      </w:r>
      <w:r>
        <w:rPr>
          <w:noProof/>
        </w:rPr>
        <w:t xml:space="preserve">.  Poleg tega je </w:t>
      </w:r>
      <w:r>
        <w:t xml:space="preserve"> pomembno, ali lahko glede na očitke o trajanju sodnih postopkov  dano pravno sredstvo pospeši postopke oziroma prepreči, da bi postali nerazumno dolgi. V bistvu Sodišče meni, da so pravna sredstva, namenjena pospešitvi postopkov, najučinkovitejša rešitev doslej, ker z razliko od tistih, ki omogočajo samo odškodnino, ne popravijo le kršitve a</w:t>
      </w:r>
      <w:r>
        <w:rPr>
          <w:i/>
          <w:iCs/>
        </w:rPr>
        <w:t xml:space="preserve"> posteriori</w:t>
      </w:r>
      <w:r>
        <w:t xml:space="preserve">. Če pa je kršitev glede trajanja postopka že nastala, tako pravno sredstvo morda ni primerno za popravo stanja, v katerem je bil postopek očitno že predolg (glej </w:t>
      </w:r>
      <w:r>
        <w:rPr>
          <w:i/>
          <w:iCs/>
          <w:szCs w:val="24"/>
        </w:rPr>
        <w:t xml:space="preserve">Scordino proti  </w:t>
      </w:r>
      <w:r>
        <w:rPr>
          <w:i/>
          <w:iCs/>
        </w:rPr>
        <w:t xml:space="preserve">Italiji (št. 1) </w:t>
      </w:r>
      <w:r>
        <w:rPr>
          <w:szCs w:val="24"/>
        </w:rPr>
        <w:t>[VS], št. 36813/97, 183. odstavek, ESČP 2006</w:t>
      </w:r>
      <w:r>
        <w:rPr>
          <w:szCs w:val="24"/>
        </w:rPr>
        <w:noBreakHyphen/>
        <w:t>V)</w:t>
      </w:r>
      <w:r>
        <w:t>.</w:t>
      </w:r>
    </w:p>
    <w:p w:rsidR="00392A2A" w:rsidRPr="00EF366F" w:rsidRDefault="00392A2A" w:rsidP="00B03671">
      <w:pPr>
        <w:pStyle w:val="ECHRPara"/>
        <w:rPr>
          <w:noProof/>
        </w:rPr>
      </w:pPr>
      <w:fldSimple w:instr=" SEQ level0 \*arabic ">
        <w:r>
          <w:rPr>
            <w:noProof/>
          </w:rPr>
          <w:t>53</w:t>
        </w:r>
      </w:fldSimple>
      <w:r>
        <w:t xml:space="preserve">.  Seveda vprašanje o trajanju postopka po 6. členu konvencije ni povezano z eno posebno domačo odločbo, pri kateri Sodišče potem preuči združljivost z obveznostmi, ki so opredeljene v konvenciji; bolj je povezano s stanjem, ki nastane v določenem časovnem obdobju.  Tako je učinkovitost pravnega sredstva, ki mora biti uporabljeno za namene 35. člena, lahko odvisna od tega, ali pomembno vpliva na dolžino postopka v celoti (glej </w:t>
      </w:r>
      <w:r>
        <w:rPr>
          <w:i/>
          <w:iCs/>
        </w:rPr>
        <w:t>smiselno</w:t>
      </w:r>
      <w:r>
        <w:t xml:space="preserve"> </w:t>
      </w:r>
      <w:r>
        <w:rPr>
          <w:i/>
          <w:iCs/>
        </w:rPr>
        <w:t>Holzinger proti Avstriji (št. 1)</w:t>
      </w:r>
      <w:r>
        <w:t>, št. 23459/94, 22. odstavek, ESČP 2001</w:t>
      </w:r>
      <w:r>
        <w:noBreakHyphen/>
        <w:t xml:space="preserve">I, in </w:t>
      </w:r>
      <w:r>
        <w:rPr>
          <w:i/>
          <w:iCs/>
        </w:rPr>
        <w:t>Belinger proti Sloveniji</w:t>
      </w:r>
      <w:r>
        <w:t xml:space="preserve">, (sklep), št. 42320/98, 2. oktober 2001).    V zvezi s tem – kot je Sodišče že večkrat poudarilo – ga je treba uporabiti, če obstaja dvom glede učinkovitosti pravnega sredstva (glej, na primer, zadevo </w:t>
      </w:r>
      <w:r>
        <w:rPr>
          <w:i/>
          <w:iCs/>
        </w:rPr>
        <w:t>Holzinger</w:t>
      </w:r>
      <w:r>
        <w:t>, navedeno zgoraj, 22. člen, in napotila, ki so tam navedena).</w:t>
      </w:r>
    </w:p>
    <w:p w:rsidR="00392A2A" w:rsidRPr="00EF366F" w:rsidRDefault="00392A2A" w:rsidP="00B03671">
      <w:pPr>
        <w:pStyle w:val="ECHRPara"/>
      </w:pPr>
      <w:fldSimple w:instr=" SEQ level0 \*arabic ">
        <w:r>
          <w:rPr>
            <w:noProof/>
          </w:rPr>
          <w:t>54</w:t>
        </w:r>
      </w:fldSimple>
      <w:r>
        <w:t>.  Poleg tega je na področju izčrpanja domačih pravnih sredstev breme dokazovanja porazdeljeno. Če vlada trdi, da sredstva niso bila izčrpana, je njena dolžnost, da Sodišče prepriča, da je bilo pravno sredstvo, ki je na voljo v določenem času, učinkovito v teoriji in praksi; to pomeni, da je bilo dostopno in je bilo z njim mogoče popraviti kršitve v zvezi s pritožnikovimi pritožbami ter da je imelo razumne možnosti za uspeh. Toda ko je breme dokazovanja izpolnjeno, mora pritožnik dokazati, da je bilo pravno sredstvo, ki ga navaja vlada, dejansko izčrpano ali pa je bilo iz kakšnega razloga nezadostno in neučinkovito v določenih okoliščinah obravnavane zadeve ali pa so obstajale posebne okoliščine, zaradi katerih mu te zahteve ni bilo treba izpolniti (glej prav tam).</w:t>
      </w:r>
    </w:p>
    <w:p w:rsidR="00392A2A" w:rsidRPr="00EF366F" w:rsidRDefault="00392A2A" w:rsidP="00CF3515">
      <w:pPr>
        <w:pStyle w:val="ECHRHeading4"/>
      </w:pPr>
      <w:r>
        <w:rPr>
          <w:iCs w:val="0"/>
        </w:rPr>
        <w:t>b) Uporaba teh načel pri obravnavanih zadevah</w:t>
      </w:r>
    </w:p>
    <w:p w:rsidR="00392A2A" w:rsidRPr="00EF366F" w:rsidRDefault="00392A2A" w:rsidP="008D35A7">
      <w:pPr>
        <w:pStyle w:val="ECHRHeading5"/>
      </w:pPr>
      <w:r>
        <w:rPr>
          <w:bCs w:val="0"/>
          <w:iCs/>
        </w:rPr>
        <w:t>A. Upravni postopki</w:t>
      </w:r>
    </w:p>
    <w:p w:rsidR="00392A2A" w:rsidRPr="00EF366F" w:rsidRDefault="00392A2A" w:rsidP="00597ACA">
      <w:pPr>
        <w:pStyle w:val="ECHRPara"/>
      </w:pPr>
      <w:fldSimple w:instr=" SEQ level0 \*arabic ">
        <w:r>
          <w:rPr>
            <w:noProof/>
          </w:rPr>
          <w:t>55</w:t>
        </w:r>
      </w:fldSimple>
      <w:r>
        <w:t xml:space="preserve">.  Pri obravnavanih zadevah Sodišče ugotavlja, da je vlada, ki se sklicuje na neizčrpanje notranjepravnih sredstev, navedla, da sta bila po Zakonu o splošnem upravnem postopku oziroma po Zakonu o upravnem sporu v postopkih pred upravnimi organi na prvi in drugi stopnji na voljo pritožba in tožba za nesprejetje odločitve v predpisanem roku. Pritožnici sta trdili, da pravna sredstva, ki sta jih uporabila prednik prve pritožnice in druga pritožnica, niso bila učinkovita.  </w:t>
      </w:r>
    </w:p>
    <w:p w:rsidR="00392A2A" w:rsidRPr="00EF366F" w:rsidRDefault="00392A2A" w:rsidP="00597ACA">
      <w:pPr>
        <w:pStyle w:val="ECHRPara"/>
      </w:pPr>
      <w:fldSimple w:instr=" SEQ level0 \*arabic ">
        <w:r>
          <w:rPr>
            <w:noProof/>
          </w:rPr>
          <w:t>56</w:t>
        </w:r>
      </w:fldSimple>
      <w:r>
        <w:t xml:space="preserve">.  Sodišče mora odločiti, ali bi se lahko ta pravna sredstva štela za učinkovita in ali bi lahko bila takrat uporabljena za pospešitev postopkov ali za preprečitev predolgega trajanja postopkov. </w:t>
      </w:r>
    </w:p>
    <w:p w:rsidR="00392A2A" w:rsidRPr="00EF366F" w:rsidRDefault="00392A2A" w:rsidP="00597ACA">
      <w:pPr>
        <w:pStyle w:val="ECHRPara"/>
      </w:pPr>
      <w:fldSimple w:instr=" SEQ level0 \*arabic ">
        <w:r>
          <w:rPr>
            <w:noProof/>
          </w:rPr>
          <w:t>57</w:t>
        </w:r>
      </w:fldSimple>
      <w:r>
        <w:t xml:space="preserve">.  Sodišče ugotavlja, da sta prednik prve pritožnice in druga pritožnica vložila vsak svojo pritožbo zaradi nesprejetja odločitve v predpisanem roku, ker komisija – to je upravni organ prve stopnje – šest let (od 1991 do 1997) ni izdala odločb  (glej 14. odstavek zgoraj).  Ker tudi ministrstvo kot upravni organ druge stopnje ni izdalo odločbe (v dveh mesecih, predpisanih z zakonom), sta prednik prve pritožnice in druga pritožnica pri upravnem sodišču vložila vsak svojo tožbo zaradi nesprejetja odločitve v predpisanem roku (glej 15. odstavek zgoraj), da bi pospešila upravni postopek.  Upravno sodišče je tožbama ugodilo. Vendar so postopki trajali dve leti (od 25. septembra 1997 do 24. septembra 1999) in do takrat, ko je bilo ministrstvu naloženo, naj sprejme odločitve o vsebini zadev ali upravni enoti določi rok, da to stori, tožbi nista imeli praktičnega učinka, ker je upravna enota 16. avgusta 1999 odločbi že sprejela.  </w:t>
      </w:r>
    </w:p>
    <w:p w:rsidR="00392A2A" w:rsidRPr="00EF366F" w:rsidRDefault="00392A2A" w:rsidP="00597ACA">
      <w:pPr>
        <w:pStyle w:val="ECHRPara"/>
      </w:pPr>
      <w:fldSimple w:instr=" SEQ level0 \*arabic ">
        <w:r>
          <w:rPr>
            <w:noProof/>
          </w:rPr>
          <w:t>58</w:t>
        </w:r>
      </w:fldSimple>
      <w:r>
        <w:t xml:space="preserve">.  Po sodni praksi Sodišča pravno sredstvo, ki ne bo pravočasno obrodilo sadov, ne spada v kategorijo "učinkovitih pravnih sredstev", ki jih morajo pritožniki izčrpati po 35. členu (glej </w:t>
      </w:r>
      <w:r>
        <w:rPr>
          <w:i/>
          <w:iCs/>
        </w:rPr>
        <w:t>Berlinger</w:t>
      </w:r>
      <w:r>
        <w:t xml:space="preserve"> (sklep), naveden zgoraj).</w:t>
      </w:r>
    </w:p>
    <w:p w:rsidR="00392A2A" w:rsidRPr="00EF366F" w:rsidRDefault="00392A2A" w:rsidP="00597ACA">
      <w:pPr>
        <w:pStyle w:val="ECHRPara"/>
      </w:pPr>
      <w:fldSimple w:instr=" SEQ level0 \*arabic ">
        <w:r>
          <w:rPr>
            <w:noProof/>
          </w:rPr>
          <w:t>59</w:t>
        </w:r>
      </w:fldSimple>
      <w:r>
        <w:t xml:space="preserve">.  V zvezi s pritožbo prednika prve pritožnice in pritožbo druge pritožnice zaradi nesprejetja odločitve v predpisanem roku Sodišče ugotavlja ne samo, da nista pridobili odločb v razumnem roku, temveč da nikoli nista pridobili odločb od ministrstva. </w:t>
      </w:r>
    </w:p>
    <w:p w:rsidR="00392A2A" w:rsidRPr="00EF366F" w:rsidRDefault="00392A2A" w:rsidP="00597ACA">
      <w:pPr>
        <w:pStyle w:val="ECHRPara"/>
      </w:pPr>
      <w:fldSimple w:instr=" SEQ level0 \*arabic ">
        <w:r>
          <w:rPr>
            <w:noProof/>
          </w:rPr>
          <w:t>60</w:t>
        </w:r>
      </w:fldSimple>
      <w:r>
        <w:t xml:space="preserve">.  V zvezi s tožbami, vloženimi zaradi nesprejetja odločitve v predpisanem roku, Sodišče meni, da so bili postopki pred upravnim sodiščem nerazumno dolgi glede na to, da naj bi pravno sredstvo pospešilo upravne postopke in upravnemu sodišču ni bilo treba odločati o vsebini zadev, temveč samo o pritožbi o tem, da prvostopenjski upravni organi niso pravočasno izdali odločbe. </w:t>
      </w:r>
    </w:p>
    <w:p w:rsidR="00392A2A" w:rsidRPr="00EF366F" w:rsidRDefault="00392A2A" w:rsidP="00597ACA">
      <w:pPr>
        <w:pStyle w:val="ECHRPara"/>
      </w:pPr>
      <w:fldSimple w:instr=" SEQ level0 \*arabic ">
        <w:r>
          <w:rPr>
            <w:noProof/>
          </w:rPr>
          <w:t>61</w:t>
        </w:r>
      </w:fldSimple>
      <w:r>
        <w:t>.  Zato Sodišče meni, da v obravnavanih primerih pravna sredstva, ki jih je navedla vlada, niso pospešila upravnih postopkov ali preprečila, da bi postali nerazumno dolgi.  Prav tako pritožnici nista mogli ali ne moreta zahtevati odškodnine za trajanje teh postopkov, s čimer je bila po njunem mnenju kršena njuna pravica do sojenja v razumnem roku.</w:t>
      </w:r>
    </w:p>
    <w:p w:rsidR="00392A2A" w:rsidRPr="00C5343F" w:rsidRDefault="00392A2A" w:rsidP="00597ACA">
      <w:pPr>
        <w:pStyle w:val="ECHRPara"/>
      </w:pPr>
      <w:fldSimple w:instr=" SEQ level0 \*arabic ">
        <w:r>
          <w:rPr>
            <w:noProof/>
          </w:rPr>
          <w:t>62</w:t>
        </w:r>
      </w:fldSimple>
      <w:r>
        <w:t>.  Domače odločbe, ki jih je vlada predložila Sodišču, kažejo na to, da je upravno sodišče v obdobju od leta 2010 do 2014 v podobnih primerih ugodilo več tožbam proti nesprejetju odločitve v predpisanem roku in je naložilo upravnim organom nižje stopnje, naj pravočasno odločijo meritorno. Trije od teh postopkov pred upravnim sodiščem so trajali tri mesece, ostali pa od šest do deset mesecev.</w:t>
      </w:r>
    </w:p>
    <w:p w:rsidR="00392A2A" w:rsidRPr="00EF366F" w:rsidRDefault="00392A2A" w:rsidP="00597ACA">
      <w:pPr>
        <w:pStyle w:val="ECHRPara"/>
      </w:pPr>
      <w:fldSimple w:instr=" SEQ level0 \*arabic ">
        <w:r>
          <w:rPr>
            <w:noProof/>
          </w:rPr>
          <w:t>63</w:t>
        </w:r>
      </w:fldSimple>
      <w:r>
        <w:t xml:space="preserve">.  Sodišče ta potek odobrava; v zadevi </w:t>
      </w:r>
      <w:r>
        <w:rPr>
          <w:i/>
          <w:iCs/>
        </w:rPr>
        <w:t>Sirc</w:t>
      </w:r>
      <w:r>
        <w:t xml:space="preserve"> (glej zgoraj) je namreč navedlo, naj bodo izčrpana pospešitvena pravna sredstva, ki so zagotovljena po Zakonu o splošnem upravnem postopku in Zakonu o upravnem sporu. Vendar na podlagi zgoraj navedenega ugotavlja, da v posebnih okoliščinah obravnavanih primerov pritožnicama po 35. členu konvencije ni bilo treba v postopkih ponovno zahtevati teh pravnih sredstev.</w:t>
      </w:r>
    </w:p>
    <w:p w:rsidR="00392A2A" w:rsidRPr="00EF366F" w:rsidRDefault="00392A2A" w:rsidP="00597ACA">
      <w:pPr>
        <w:pStyle w:val="ECHRPara"/>
      </w:pPr>
      <w:fldSimple w:instr=" SEQ level0 \*arabic ">
        <w:r>
          <w:rPr>
            <w:noProof/>
          </w:rPr>
          <w:t>64</w:t>
        </w:r>
      </w:fldSimple>
      <w:r>
        <w:t>.  Sodišče pa mora kljub temu poudariti, da so te ugotovitve omejene na posebne okoliščine obravnavanih primerov, v katerih so domači organi potrebovali nerazumno dolgo, da so sprejeli ukrepe, namenjene pospešitvi glavnih postopkov, zato pospešitvena pravna sredstva niso imela pozitivnega učinka.  Sodišče zato poudarja, naj bodo ta sredstva na splošno, in če ni izrednih okoliščin, izčrpana.</w:t>
      </w:r>
    </w:p>
    <w:p w:rsidR="00392A2A" w:rsidRPr="00EF366F" w:rsidRDefault="00392A2A" w:rsidP="00597ACA">
      <w:pPr>
        <w:pStyle w:val="ECHRPara"/>
        <w:rPr>
          <w:noProof/>
        </w:rPr>
      </w:pPr>
      <w:fldSimple w:instr=" SEQ level0 \*arabic ">
        <w:r>
          <w:rPr>
            <w:noProof/>
          </w:rPr>
          <w:t>65</w:t>
        </w:r>
      </w:fldSimple>
      <w:r>
        <w:t xml:space="preserve">.  Sodišče zaradi tega zavrača ugovor vlade, da notranjepravna sredstva v upravnih postopkih niso bila izčrpana. </w:t>
      </w:r>
    </w:p>
    <w:p w:rsidR="00392A2A" w:rsidRPr="00EF366F" w:rsidRDefault="00392A2A" w:rsidP="00250627">
      <w:pPr>
        <w:pStyle w:val="ECHRHeading5"/>
      </w:pPr>
      <w:r>
        <w:rPr>
          <w:bCs w:val="0"/>
          <w:iCs/>
        </w:rPr>
        <w:t>(ii) Postopki revizije</w:t>
      </w:r>
    </w:p>
    <w:p w:rsidR="00392A2A" w:rsidRPr="00EF366F" w:rsidRDefault="00392A2A" w:rsidP="009E5789">
      <w:pPr>
        <w:pStyle w:val="ECHRPara"/>
        <w:rPr>
          <w:rFonts w:eastAsia="MS Gothic"/>
        </w:rPr>
      </w:pPr>
      <w:r>
        <w:rPr>
          <w:rFonts w:eastAsia="MS Gothic"/>
        </w:rPr>
        <w:fldChar w:fldCharType="begin"/>
      </w:r>
      <w:r>
        <w:rPr>
          <w:rFonts w:eastAsia="MS Gothic"/>
        </w:rPr>
        <w:instrText xml:space="preserve"> SEQ level0 \*arabic </w:instrText>
      </w:r>
      <w:r>
        <w:rPr>
          <w:rFonts w:eastAsia="MS Gothic"/>
        </w:rPr>
        <w:fldChar w:fldCharType="separate"/>
      </w:r>
      <w:r>
        <w:rPr>
          <w:rFonts w:eastAsia="MS Gothic"/>
          <w:noProof/>
        </w:rPr>
        <w:t>66</w:t>
      </w:r>
      <w:r>
        <w:rPr>
          <w:rFonts w:eastAsia="MS Gothic"/>
        </w:rPr>
        <w:fldChar w:fldCharType="end"/>
      </w:r>
      <w:r>
        <w:rPr>
          <w:rFonts w:eastAsia="MS Gothic"/>
        </w:rPr>
        <w:t xml:space="preserve">.  Vlada je trdila, da tudi v postopkih revizije (upravna sredstva), ki sta jih sprožila prednik prve pritožnice in druga pritožnica 10. novembra (glej 20. odstavek zgoraj)  ter sprožili pritožnici 17. junija 2007 (glej 24. odstavek zgoraj), niso bila izčrpana razpoložljiva notranjepravna sredstva. Vendar vlada ni opredelila, katera pravna sredstva sta imeli pritožnici na voljo in kako naj bi bila izčrpana. </w:t>
      </w:r>
    </w:p>
    <w:p w:rsidR="00392A2A" w:rsidRPr="00EF366F" w:rsidRDefault="00392A2A" w:rsidP="00B47366">
      <w:pPr>
        <w:pStyle w:val="ECHRPara"/>
        <w:rPr>
          <w:rFonts w:eastAsia="MS Gothic"/>
        </w:rPr>
      </w:pPr>
      <w:r>
        <w:rPr>
          <w:rFonts w:eastAsia="MS Gothic"/>
        </w:rPr>
        <w:fldChar w:fldCharType="begin"/>
      </w:r>
      <w:r>
        <w:rPr>
          <w:rFonts w:eastAsia="MS Gothic"/>
        </w:rPr>
        <w:instrText xml:space="preserve"> SEQ level0 \*arabic </w:instrText>
      </w:r>
      <w:r>
        <w:rPr>
          <w:rFonts w:eastAsia="MS Gothic"/>
        </w:rPr>
        <w:fldChar w:fldCharType="separate"/>
      </w:r>
      <w:r>
        <w:rPr>
          <w:rFonts w:eastAsia="MS Gothic"/>
          <w:noProof/>
        </w:rPr>
        <w:t>67</w:t>
      </w:r>
      <w:r>
        <w:rPr>
          <w:rFonts w:eastAsia="MS Gothic"/>
        </w:rPr>
        <w:fldChar w:fldCharType="end"/>
      </w:r>
      <w:r>
        <w:rPr>
          <w:rFonts w:eastAsia="MS Gothic"/>
        </w:rPr>
        <w:t>.  Brez kakršnih koli navedb glede obstoja in učinkovitosti notranjepravnih sredstev, ki so bila takrat na voljo, Sodišče zavrača  tudi  ugovor vlade glede neizčrpanja notranjepravnih sredstev v zvezi s postopki revizije pred upravnim sodiščem.</w:t>
      </w:r>
    </w:p>
    <w:p w:rsidR="00392A2A" w:rsidRPr="00EF366F" w:rsidRDefault="00392A2A" w:rsidP="009E0FDA">
      <w:pPr>
        <w:pStyle w:val="ECHRHeading3"/>
      </w:pPr>
      <w:r>
        <w:rPr>
          <w:bCs w:val="0"/>
          <w:iCs/>
        </w:rPr>
        <w:t>3.</w:t>
      </w:r>
      <w:r>
        <w:rPr>
          <w:bCs w:val="0"/>
          <w:i w:val="0"/>
        </w:rPr>
        <w:t>  </w:t>
      </w:r>
      <w:r>
        <w:rPr>
          <w:bCs w:val="0"/>
          <w:iCs/>
        </w:rPr>
        <w:t>Zaključek</w:t>
      </w:r>
    </w:p>
    <w:p w:rsidR="00392A2A" w:rsidRPr="00EF366F" w:rsidRDefault="00392A2A" w:rsidP="009E0FDA">
      <w:pPr>
        <w:pStyle w:val="ECHRPara"/>
        <w:rPr>
          <w:noProof/>
        </w:rPr>
      </w:pPr>
      <w:fldSimple w:instr=" SEQ level0 \*arabic ">
        <w:r>
          <w:rPr>
            <w:noProof/>
          </w:rPr>
          <w:t>68</w:t>
        </w:r>
      </w:fldSimple>
      <w:r>
        <w:t>.  </w:t>
      </w:r>
      <w:r>
        <w:rPr>
          <w:noProof/>
        </w:rPr>
        <w:t>Sodišče ugotavlja, da pritožbe pritožnic po prvem odstavku 6. člena glede predolgega trajanja upravnih postopkov in postopkov revizije niso očitno neutemeljene v smislu točke a tretjega odstavka 35. člena konvencije. Prav tako ugotavlja, da niso nesprejemljive niti iz kakšnih drugih razlogov. Torej jih je treba razglasiti za sprejemljive.</w:t>
      </w:r>
    </w:p>
    <w:p w:rsidR="00392A2A" w:rsidRPr="00EF366F" w:rsidRDefault="00392A2A" w:rsidP="009E0FDA">
      <w:pPr>
        <w:pStyle w:val="ECHRHeading2"/>
      </w:pPr>
      <w:r>
        <w:t>B.</w:t>
      </w:r>
      <w:r>
        <w:rPr>
          <w:b w:val="0"/>
          <w:bCs w:val="0"/>
        </w:rPr>
        <w:t>  </w:t>
      </w:r>
      <w:r>
        <w:t>Utemeljenost</w:t>
      </w:r>
    </w:p>
    <w:p w:rsidR="00392A2A" w:rsidRPr="00EF366F" w:rsidRDefault="00392A2A" w:rsidP="00380F1C">
      <w:pPr>
        <w:pStyle w:val="ECHRPara"/>
      </w:pPr>
      <w:fldSimple w:instr=" SEQ level0 \*arabic ">
        <w:r>
          <w:rPr>
            <w:noProof/>
          </w:rPr>
          <w:t>69</w:t>
        </w:r>
      </w:fldSimple>
      <w:r>
        <w:t xml:space="preserve">.  Vlada je kot razloge za zamude v postopkih navedla, da pritožnici nista želeli sprejeti zemljišča, ki jima je bilo dodeljeno, in da sta zavrnili izplačilo razlike med vrednostjo vloženega in dodeljenega zemljišča; namesto tega sta vztrajali pri svojih pritožbah, tožbah in zaslišanjih o (i) vrnitvi dela njunega prvotnega zemljišča in (ii) povračilu stroškov (z zamudnimi obrestmi) zakupa nadomestnega zemljišča, ki sta ga uporabljali.  </w:t>
      </w:r>
    </w:p>
    <w:p w:rsidR="00392A2A" w:rsidRPr="00EF366F" w:rsidRDefault="00392A2A" w:rsidP="00380F1C">
      <w:pPr>
        <w:pStyle w:val="ECHRPara"/>
      </w:pPr>
      <w:fldSimple w:instr=" SEQ level0 \*arabic ">
        <w:r>
          <w:rPr>
            <w:noProof/>
          </w:rPr>
          <w:t>70</w:t>
        </w:r>
      </w:fldSimple>
      <w:r>
        <w:t xml:space="preserve">.  Pritožnici sta ponovili svoje stališče, da so bili obravnavani postopki predolgi. </w:t>
      </w:r>
    </w:p>
    <w:p w:rsidR="00392A2A" w:rsidRPr="00EF366F" w:rsidRDefault="00392A2A" w:rsidP="0047396B">
      <w:pPr>
        <w:pStyle w:val="ECHRPara"/>
      </w:pPr>
      <w:fldSimple w:instr=" SEQ level0 \*arabic ">
        <w:r>
          <w:rPr>
            <w:noProof/>
          </w:rPr>
          <w:t>71</w:t>
        </w:r>
      </w:fldSimple>
      <w:r>
        <w:t xml:space="preserve">.  Obdobje, ki </w:t>
      </w:r>
      <w:r>
        <w:rPr>
          <w:noProof/>
        </w:rPr>
        <w:t xml:space="preserve">ga lahko Sodišče obravnava v okviru svoje pristojnosti </w:t>
      </w:r>
      <w:r>
        <w:rPr>
          <w:i/>
          <w:iCs/>
          <w:noProof/>
        </w:rPr>
        <w:t>ratione temporis</w:t>
      </w:r>
      <w:r>
        <w:rPr>
          <w:noProof/>
        </w:rPr>
        <w:t>,</w:t>
      </w:r>
      <w:r>
        <w:t xml:space="preserve"> se je začelo </w:t>
      </w:r>
      <w:r>
        <w:rPr>
          <w:noProof/>
        </w:rPr>
        <w:t xml:space="preserve">28. </w:t>
      </w:r>
      <w:r>
        <w:t xml:space="preserve">junija 1994, ko je </w:t>
      </w:r>
      <w:r>
        <w:rPr>
          <w:noProof/>
        </w:rPr>
        <w:t xml:space="preserve">Slovenija ratificirala konvencijo in priznala pravico do pritožbe posameznikov. Vendar mora biti pri presoji razumnosti časovnega obdobja, ki je preteklo po tem dnevu, upoštevano takratno stanje postopka (glej </w:t>
      </w:r>
      <w:r>
        <w:rPr>
          <w:i/>
          <w:iCs/>
        </w:rPr>
        <w:t>Foti in drugi proti Italiji</w:t>
      </w:r>
      <w:r>
        <w:t>, 10. december 1982, 53. odstavek, serija A št. 56).</w:t>
      </w:r>
    </w:p>
    <w:p w:rsidR="00392A2A" w:rsidRPr="00EF366F" w:rsidRDefault="00392A2A" w:rsidP="009175AA">
      <w:pPr>
        <w:pStyle w:val="ECHRPara"/>
        <w:rPr>
          <w:noProof/>
        </w:rPr>
      </w:pPr>
      <w:r>
        <w:rPr>
          <w:noProof/>
        </w:rPr>
        <w:fldChar w:fldCharType="begin"/>
      </w:r>
      <w:r>
        <w:rPr>
          <w:noProof/>
        </w:rPr>
        <w:instrText xml:space="preserve"> SEQ level0 \*arabic </w:instrText>
      </w:r>
      <w:r>
        <w:rPr>
          <w:noProof/>
        </w:rPr>
        <w:fldChar w:fldCharType="separate"/>
      </w:r>
      <w:r>
        <w:rPr>
          <w:noProof/>
        </w:rPr>
        <w:t>72</w:t>
      </w:r>
      <w:r>
        <w:rPr>
          <w:noProof/>
        </w:rPr>
        <w:fldChar w:fldCharType="end"/>
      </w:r>
      <w:r>
        <w:rPr>
          <w:noProof/>
        </w:rPr>
        <w:t xml:space="preserve">.  Upravni postopki pred upravnimi organi nižje stopnje, ki so se začeli </w:t>
      </w:r>
      <w:r>
        <w:t xml:space="preserve"> 4. marca 1989</w:t>
      </w:r>
      <w:r>
        <w:rPr>
          <w:noProof/>
        </w:rPr>
        <w:t xml:space="preserve">, so najprej trajali do 25. avgusta 2000 (glej 19. odstavek zgoraj) in se nadaljevali pred upravnim sodiščem do 11. aprila oziroma 9. maja 2003, ko je bilo ugodeno pravnemu sredstvu prednika prve pritožnice in pravnemu sredstvu druge pritožnice za revizijo (upravni sredstvi) (glej 22. odstavek zgoraj).  Upravni postopki v zvezi z obema pritožnicama so se nadaljevali 12. aprila 2003 oziroma 10. maja 2003 in so trajali do 15. maja 2007. Tudi ti postopki so se nadaljevali pred upravnim sodiščem do 19. junija oziroma 23. oktobra 2009, ko je upravno sodišče ugodilo pravnim sredstvom pritožnic za revizijo in vrnilo zadevi ministrstvu v nadaljnjo obravnavo (glej 26. odstavek zgoraj). V tretjem sklopu upravnih postopkov je ministrstvo razveljavilo odločbi upravne enote z dne 16. avgusta 1999 (glej 28. odstavek zgoraj) in postopki še danes potekajo pred upravnim organom (glej 31. odstavek zgoraj). Vsi ti različni sklopi postopkov v bistvu sestavljajo različne stopnje enega samega spora v zvezi z dodelitvijo zemljiških parcel v postopku komasacije zemljišč, zato Sodišče meni, da jih mora preučiti kot celoto, da lahko presodi o njihovem razumnem trajanju.  Torej postopki od takrat, ko je Slovenija ratificirala konvencijo, pred različnimi upravnimi in pravosodnimi organi skupaj potekajo že več kakor 21 let. </w:t>
      </w:r>
    </w:p>
    <w:p w:rsidR="00392A2A" w:rsidRPr="00EF366F" w:rsidRDefault="00392A2A" w:rsidP="00662FA3">
      <w:pPr>
        <w:pStyle w:val="ECHRPara"/>
      </w:pPr>
      <w:fldSimple w:instr=" SEQ level0 \*arabic ">
        <w:r>
          <w:rPr>
            <w:noProof/>
          </w:rPr>
          <w:t>73</w:t>
        </w:r>
      </w:fldSimple>
      <w:r>
        <w:t>.  Sodišče ponovno poudarja, da v svoji sodni praksi pri posredovanju</w:t>
      </w:r>
      <w:bookmarkStart w:id="1" w:name="_GoBack"/>
      <w:bookmarkEnd w:id="1"/>
      <w:r>
        <w:t xml:space="preserve"> tretjih oseb v civilnih postopkih uporablja to razlikovanje: če je pritožnik posredoval v domačem postopku samo v svojem imenu, se obdobje, ki ga je treba upoštevati, začne od tega dne, če pa je pritožnik izrazil svojo namero, da bo nadaljeval postopek kot dedič – kakor je to leta 2001 storila prva pritožnica v obravnavanem primeru – se lahko pritoži na celotno dolžino postopka (glej   </w:t>
      </w:r>
      <w:r>
        <w:rPr>
          <w:i/>
          <w:iCs/>
        </w:rPr>
        <w:t>M. Ö. proti Turčiji</w:t>
      </w:r>
      <w:r>
        <w:t xml:space="preserve">, št. 26136/95, 25. odstavek, 19. maj 2005, in </w:t>
      </w:r>
      <w:r>
        <w:rPr>
          <w:i/>
          <w:iCs/>
        </w:rPr>
        <w:t xml:space="preserve">Cocchiarella proti Italiji </w:t>
      </w:r>
      <w:r>
        <w:t>[GC], št. 64886/01, 113. člen, ESČP 2006-).</w:t>
      </w:r>
    </w:p>
    <w:p w:rsidR="00392A2A" w:rsidRPr="00EF366F" w:rsidRDefault="00392A2A" w:rsidP="00897648">
      <w:pPr>
        <w:pStyle w:val="ECHRPara"/>
      </w:pPr>
      <w:fldSimple w:instr=" SEQ level0 \*arabic ">
        <w:r>
          <w:rPr>
            <w:noProof/>
          </w:rPr>
          <w:t>74</w:t>
        </w:r>
      </w:fldSimple>
      <w:r>
        <w:t xml:space="preserve">.  Sodišče ponovno poudarja, da je treba razumno trajanje postopka presojati glede na okoliščine vsake posamezne zadeve in s sklicevanjem na ta merila: zapletenost zadeve, ravnanje pritožnika in ustreznih organov ter pomen zadeve za pritožnika v sporu (glej med številnimi drugimi zadevami </w:t>
      </w:r>
      <w:r>
        <w:rPr>
          <w:i/>
          <w:iCs/>
        </w:rPr>
        <w:t xml:space="preserve">Frydlender proti Franciji </w:t>
      </w:r>
      <w:r>
        <w:t xml:space="preserve">[VS], št. 30979/96, 43. odstavek, ESČP 2000-VII). </w:t>
      </w:r>
    </w:p>
    <w:p w:rsidR="00392A2A" w:rsidRPr="00EF366F" w:rsidRDefault="00392A2A" w:rsidP="00964B14">
      <w:pPr>
        <w:pStyle w:val="ECHRPara"/>
      </w:pPr>
      <w:fldSimple w:instr=" SEQ level0 \*arabic ">
        <w:r>
          <w:rPr>
            <w:noProof/>
          </w:rPr>
          <w:t>75</w:t>
        </w:r>
      </w:fldSimple>
      <w:r>
        <w:t xml:space="preserve">.  Glede prvega merila je Sodišče že večkrat razsodilo, da je komasacija zemljišč zapleten postopek, ki vpliva na interese posameznikov in skupnosti kot celoto (glej, na primer, </w:t>
      </w:r>
      <w:r>
        <w:rPr>
          <w:i/>
          <w:iCs/>
        </w:rPr>
        <w:t>Erkner in Hofauer proti  Avstriji</w:t>
      </w:r>
      <w:r>
        <w:t>, 23. april 1987, 67. odstavek, serija A št. 117).   Obravnavana primera sta dejansko precej zapletena, vendar to ne more biti opravičilo za predolgo trajanje postopkov, ki tečejo že od leta 1989.  Upravni postopki na prvi stopnji so, na primer, mirovali za več kakor osem let v obdobju od 1991 do 1999.  Pozneje so bili upravni pritožbeni postopki na ministrstvu ustavljeni za štiri leta v obdobju od leta 2003 do 2007 in za skoraj štiri leta v obdobju od 2009 do 2013.</w:t>
      </w:r>
    </w:p>
    <w:p w:rsidR="00392A2A" w:rsidRPr="00EF366F" w:rsidRDefault="00392A2A" w:rsidP="00897648">
      <w:pPr>
        <w:pStyle w:val="ECHRPara"/>
      </w:pPr>
      <w:fldSimple w:instr=" SEQ level0 \*arabic ">
        <w:r>
          <w:rPr>
            <w:noProof/>
          </w:rPr>
          <w:t>76</w:t>
        </w:r>
      </w:fldSimple>
      <w:r>
        <w:t xml:space="preserve">.  Glede ravnanja pritožnic in prednika prve pritožnice Sodišče nima nikakršnih dokazov, ki bi kazali na to, da so kakor koli prispevali k podaljšanju postopkov. Je pa res, kar je zatrjevala vlada, da sta pritožnici – in prednik prve pritožnice v  zgodnjih fazah postopkov – uporabili večje število pravnih sredstev.  Vendar ni mogoče spregledati, da so bila nekatera pravna sredstva uporabljena za pospešitev upravnih postopkov in da je bil pritožnik uspešen pred domačimi sodišči in organi, ko se je skliceval na druge. </w:t>
      </w:r>
    </w:p>
    <w:p w:rsidR="00392A2A" w:rsidRPr="00EF366F" w:rsidRDefault="00392A2A" w:rsidP="00E31440">
      <w:pPr>
        <w:pStyle w:val="ECHRPara"/>
      </w:pPr>
      <w:fldSimple w:instr=" SEQ level0 \*arabic ">
        <w:r>
          <w:rPr>
            <w:noProof/>
          </w:rPr>
          <w:t>77</w:t>
        </w:r>
      </w:fldSimple>
      <w:r>
        <w:t xml:space="preserve">.  Zgoraj navedeni vidiki zadoščajo Sodišču za sklep, da v obravnavanih primerih trajanje postopkov ni izpolnilo zahteve po "razumnem roku". </w:t>
      </w:r>
    </w:p>
    <w:p w:rsidR="00392A2A" w:rsidRPr="00EF366F" w:rsidRDefault="00392A2A" w:rsidP="00E31440">
      <w:pPr>
        <w:pStyle w:val="ECHRPara"/>
      </w:pPr>
      <w:fldSimple w:instr=" SEQ level0 \*arabic ">
        <w:r>
          <w:rPr>
            <w:noProof/>
          </w:rPr>
          <w:t>78</w:t>
        </w:r>
      </w:fldSimple>
      <w:r>
        <w:t>.  Zato je bil kršen prvi odstavek 6. člena.</w:t>
      </w:r>
    </w:p>
    <w:p w:rsidR="00392A2A" w:rsidRPr="00EF366F" w:rsidRDefault="00392A2A" w:rsidP="00BE29DB">
      <w:pPr>
        <w:pStyle w:val="ECHRHeading1"/>
      </w:pPr>
      <w:r>
        <w:rPr>
          <w:bCs w:val="0"/>
        </w:rPr>
        <w:t>III. ZATRJEVANA KRŠITEV 13. ČLENA KONVENCIJE</w:t>
      </w:r>
    </w:p>
    <w:p w:rsidR="00392A2A" w:rsidRPr="00EF366F" w:rsidRDefault="00392A2A" w:rsidP="000A3399">
      <w:pPr>
        <w:pStyle w:val="ECHRPara"/>
      </w:pPr>
      <w:r>
        <w:rPr>
          <w:szCs w:val="24"/>
        </w:rPr>
        <w:fldChar w:fldCharType="begin"/>
      </w:r>
      <w:r>
        <w:rPr>
          <w:szCs w:val="24"/>
        </w:rPr>
        <w:instrText xml:space="preserve"> SEQ level0 \*arabic </w:instrText>
      </w:r>
      <w:r>
        <w:rPr>
          <w:szCs w:val="24"/>
        </w:rPr>
        <w:fldChar w:fldCharType="separate"/>
      </w:r>
      <w:r>
        <w:rPr>
          <w:noProof/>
          <w:szCs w:val="24"/>
        </w:rPr>
        <w:t>79</w:t>
      </w:r>
      <w:r>
        <w:rPr>
          <w:szCs w:val="24"/>
        </w:rPr>
        <w:fldChar w:fldCharType="end"/>
      </w:r>
      <w:r>
        <w:rPr>
          <w:szCs w:val="24"/>
        </w:rPr>
        <w:t>.  </w:t>
      </w:r>
      <w:r>
        <w:t>Pritožnici sta se tudi pritožili, da so bila razpoložljiva pravna sredstva pri predolgotrajnih postopki neučinkovita. 13. člen konvencije se glasi:</w:t>
      </w:r>
    </w:p>
    <w:p w:rsidR="00392A2A" w:rsidRPr="00EF366F" w:rsidRDefault="00392A2A" w:rsidP="006070CB">
      <w:pPr>
        <w:pStyle w:val="ECHRParaQuote"/>
      </w:pPr>
      <w:r>
        <w:t>"Vsakdo, čigar pravice in svoboščine, zajamčene s to konvencijo, so kršene, ima pravico do učinkovitih pravnih sredstev pred domačimi oblastmi, in to tudi, če je kršitev storila uradna oseba pri opravljanju uradne dolžnosti."</w:t>
      </w:r>
    </w:p>
    <w:p w:rsidR="00392A2A" w:rsidRPr="00EF366F" w:rsidRDefault="00392A2A" w:rsidP="006070CB">
      <w:pPr>
        <w:pStyle w:val="ECHRPara"/>
        <w:rPr>
          <w:noProof/>
        </w:rPr>
      </w:pPr>
      <w:r>
        <w:rPr>
          <w:noProof/>
        </w:rPr>
        <w:fldChar w:fldCharType="begin"/>
      </w:r>
      <w:r>
        <w:rPr>
          <w:noProof/>
        </w:rPr>
        <w:instrText xml:space="preserve"> SEQ level0 \*arabic </w:instrText>
      </w:r>
      <w:r>
        <w:rPr>
          <w:noProof/>
        </w:rPr>
        <w:fldChar w:fldCharType="separate"/>
      </w:r>
      <w:r>
        <w:rPr>
          <w:noProof/>
        </w:rPr>
        <w:t>80</w:t>
      </w:r>
      <w:r>
        <w:rPr>
          <w:noProof/>
        </w:rPr>
        <w:fldChar w:fldCharType="end"/>
      </w:r>
      <w:r>
        <w:rPr>
          <w:noProof/>
        </w:rPr>
        <w:t xml:space="preserve">. Najprej Sodišče glede upravnih postopkov ponovno poudarja, da so bila pravna sredstva za predolgo trajanje postopkov po slovenskem pravu načeloma zagotovljena  – pritožnici bi zlasti lahko in tudi sta </w:t>
      </w:r>
      <w:r>
        <w:t>vložili svoje pritožbe o dolžini postopkov pri domačih upravnih organih in sodiščih.</w:t>
      </w:r>
    </w:p>
    <w:p w:rsidR="00392A2A" w:rsidRPr="00EF366F" w:rsidRDefault="00392A2A" w:rsidP="00315F97">
      <w:pPr>
        <w:pStyle w:val="ECHRPara"/>
      </w:pPr>
      <w:fldSimple w:instr=" SEQ level0 \*arabic ">
        <w:r>
          <w:rPr>
            <w:noProof/>
          </w:rPr>
          <w:t>81</w:t>
        </w:r>
      </w:fldSimple>
      <w:r>
        <w:t xml:space="preserve">.  Sodišče ponovno poudarja, da v obravnavanih primerih ministrstvo ni nikoli odločilo o pritožbi proti nesprejetju odločitve v predpisanem roku, postopki, povezani s poznejšo tožbo pred upravnim sodiščem, pa so trajali dve leti. Vendar glede domače sodne prakse, ki kaže na to, da so bile v zadnjih letih podobne tožbe pred upravnim sodiščem rešene v znatno krajšem času (glej 62. odstavek zgoraj), Sodišče ne soglaša s tem, da lahko dano pravno sredstvo načeloma velja za neučinkovito.  V bistvu ni bil predložen noben dokaz, ki bi kazal na to, da bi se lahko pritožba ali tožba proti nesprejetju odločitve v predpisanem roku na splošno štela za neučinkovito (glej </w:t>
      </w:r>
      <w:r>
        <w:rPr>
          <w:i/>
          <w:iCs/>
        </w:rPr>
        <w:t>med drugim</w:t>
      </w:r>
      <w:r>
        <w:t xml:space="preserve"> Zarb proti </w:t>
      </w:r>
      <w:r>
        <w:rPr>
          <w:i/>
          <w:iCs/>
        </w:rPr>
        <w:t>Malti</w:t>
      </w:r>
      <w:r>
        <w:t xml:space="preserve">, št. 16631/04, 50.–51. odstavek, 4. julij 2006); prav nasprotno, primeri, ki jih je predložila vlada, kažejo na to, da je tožba pred upravnim sodiščem načeloma učinkovita. Prav tako ni bilo navedeno, da je izostanek odgovora na pritožbo rutinski pojav. </w:t>
      </w:r>
    </w:p>
    <w:p w:rsidR="00392A2A" w:rsidRPr="00EF366F" w:rsidRDefault="00392A2A" w:rsidP="00EE5A9E">
      <w:pPr>
        <w:pStyle w:val="ECHRPara"/>
      </w:pPr>
      <w:fldSimple w:instr=" SEQ level0 \*arabic ">
        <w:r>
          <w:rPr>
            <w:noProof/>
          </w:rPr>
          <w:t>82</w:t>
        </w:r>
      </w:fldSimple>
      <w:r>
        <w:t>.  Sodišče nadalje poudarja, da  zato, ker ni mogoče izključiti, da bodo pretirana zavlačevanja izničila primernost pravnega sredstva, meni</w:t>
      </w:r>
      <w:r>
        <w:rPr>
          <w:szCs w:val="24"/>
        </w:rPr>
        <w:t>, da v obravnavanih primerih trajanje postopkov v zvezi s pritožbami in tožbami, tudi če je privedlo do kršenja prvega odstavka 6. člena konvencije, ni bilo tako pomembno, da bi postavilo pod vprašaj učinkovitost pravnega sredstva</w:t>
      </w:r>
      <w:r>
        <w:t xml:space="preserve"> (</w:t>
      </w:r>
      <w:r>
        <w:rPr>
          <w:i/>
          <w:iCs/>
        </w:rPr>
        <w:t>glej smiselno Belperio in Ciarmoli  proti Italiji</w:t>
      </w:r>
      <w:r>
        <w:t xml:space="preserve">, št. 7932/04, 53. odstavek, 21. december 2010, in </w:t>
      </w:r>
      <w:r>
        <w:rPr>
          <w:i/>
          <w:iCs/>
        </w:rPr>
        <w:t>Hajdurinović proti Sloveniji</w:t>
      </w:r>
      <w:r>
        <w:t>, št. 69319/12, 58. odstavek, 21. maj 2015).</w:t>
      </w:r>
    </w:p>
    <w:p w:rsidR="00392A2A" w:rsidRPr="00EF366F" w:rsidRDefault="00392A2A" w:rsidP="00EE5A9E">
      <w:pPr>
        <w:pStyle w:val="ECHRPara"/>
      </w:pPr>
      <w:fldSimple w:instr=" SEQ level0 \*arabic ">
        <w:r>
          <w:rPr>
            <w:noProof/>
          </w:rPr>
          <w:t>83</w:t>
        </w:r>
      </w:fldSimple>
      <w:r>
        <w:t xml:space="preserve">.  Poleg tega je ugotovljeno, da so bile pritožbe pritožnic o pomanjkanju učinkovitega pravnega sredstva za predolgo trajanje vložene glede na celoto postopkov, vključno s postopki revizije pred upravnim sodiščem.  Vendar pri teh dveh sklopih sodnih postopkov pritožnici nista opredelili niti, katera pravna sredstva, če sploh, sta imeli na voljo za pospešitev postopkov ali pridobitev ustreznega zadoščenja, niti tega, ali sta izkoristili vsa možna pravna sredstva in s kakšnim izidom.   V skladu s tem Sodišče meni, da pritožnici glede tega nista bili uspešni pri svojih utemeljitvah. </w:t>
      </w:r>
    </w:p>
    <w:p w:rsidR="00392A2A" w:rsidRPr="00EF366F" w:rsidRDefault="00392A2A" w:rsidP="00EE5A9E">
      <w:pPr>
        <w:pStyle w:val="ECHRPara"/>
      </w:pPr>
      <w:fldSimple w:instr=" SEQ level0 \*arabic ">
        <w:r>
          <w:rPr>
            <w:noProof/>
          </w:rPr>
          <w:t>84</w:t>
        </w:r>
      </w:fldSimple>
      <w:r>
        <w:t>.  Glede na zgornje ugotovitve Sodišče meni, da bi moral biti ta del pritožbe zavrnjen kot očitno neutemeljen v skladu s točko a tretjega odstavka in četrtim odstavkom 35. člena konvencije.</w:t>
      </w:r>
    </w:p>
    <w:p w:rsidR="00392A2A" w:rsidRPr="00EF366F" w:rsidRDefault="00392A2A" w:rsidP="00BE29DB">
      <w:pPr>
        <w:pStyle w:val="ECHRHeading1"/>
      </w:pPr>
      <w:r>
        <w:rPr>
          <w:bCs w:val="0"/>
        </w:rPr>
        <w:t>IV. UPORABA 41. ČLENA KONVENCIJE</w:t>
      </w:r>
    </w:p>
    <w:p w:rsidR="00392A2A" w:rsidRPr="00EF366F" w:rsidRDefault="00392A2A" w:rsidP="00BE29DB">
      <w:pPr>
        <w:pStyle w:val="ECHRPara"/>
      </w:pPr>
      <w:fldSimple w:instr=" SEQ level0 \*arabic ">
        <w:r>
          <w:rPr>
            <w:noProof/>
          </w:rPr>
          <w:t>85</w:t>
        </w:r>
      </w:fldSimple>
      <w:r>
        <w:t>.  41. člen konvencije določa:</w:t>
      </w:r>
    </w:p>
    <w:p w:rsidR="00392A2A" w:rsidRPr="00EF366F" w:rsidRDefault="00392A2A" w:rsidP="00DE61E0">
      <w:pPr>
        <w:pStyle w:val="ECHRParaQuote"/>
        <w:keepNext/>
        <w:keepLines/>
      </w:pPr>
      <w:r>
        <w:t>"Če Sodišče ugotovi, da je prišlo do kršitve konvencije ali njenih protokolov, in če notranje pravo visoke pogodbenice dovoljuje le delno zadoščenje, Sodišče oškodovani stranki, če je potrebno, nakloni pravično zadoščenje."</w:t>
      </w:r>
    </w:p>
    <w:p w:rsidR="00392A2A" w:rsidRPr="00EF366F" w:rsidRDefault="00392A2A" w:rsidP="009E0FDA">
      <w:pPr>
        <w:pStyle w:val="ECHRHeading2"/>
      </w:pPr>
      <w:r>
        <w:t>A.</w:t>
      </w:r>
      <w:r>
        <w:rPr>
          <w:b w:val="0"/>
          <w:bCs w:val="0"/>
        </w:rPr>
        <w:t>  </w:t>
      </w:r>
      <w:r>
        <w:t>Odškodnina</w:t>
      </w:r>
    </w:p>
    <w:p w:rsidR="00392A2A" w:rsidRPr="00EF366F" w:rsidRDefault="00392A2A" w:rsidP="00D2140C">
      <w:pPr>
        <w:pStyle w:val="ECHRPara"/>
      </w:pPr>
      <w:fldSimple w:instr=" SEQ level0 \*arabic ">
        <w:r>
          <w:rPr>
            <w:noProof/>
          </w:rPr>
          <w:t>86</w:t>
        </w:r>
      </w:fldSimple>
      <w:r>
        <w:t>.  Pritožnici sta posamično zahtevali po 30.000 EUR za nepremoženjsko škodo.</w:t>
      </w:r>
    </w:p>
    <w:p w:rsidR="00392A2A" w:rsidRPr="00EF366F" w:rsidRDefault="00392A2A" w:rsidP="00D2140C">
      <w:pPr>
        <w:pStyle w:val="ECHRPara"/>
      </w:pPr>
      <w:fldSimple w:instr=" SEQ level0 \*arabic ">
        <w:r>
          <w:rPr>
            <w:noProof/>
          </w:rPr>
          <w:t>87</w:t>
        </w:r>
      </w:fldSimple>
      <w:r>
        <w:t>.  Vlada je zahtevkoma oporekala.</w:t>
      </w:r>
    </w:p>
    <w:p w:rsidR="00392A2A" w:rsidRPr="00EF366F" w:rsidRDefault="00392A2A" w:rsidP="00E21F85">
      <w:pPr>
        <w:pStyle w:val="ECHRPara"/>
      </w:pPr>
      <w:fldSimple w:instr=" SEQ level0 \*arabic ">
        <w:r>
          <w:rPr>
            <w:noProof/>
          </w:rPr>
          <w:t>88</w:t>
        </w:r>
      </w:fldSimple>
      <w:r>
        <w:t xml:space="preserve">.  Sodišče meni, da sta pritožnici utrpeli nepremoženjsko škodo kot posledico dolgotrajnih postopkov, ki zdaj že tretjič potekajo pred upravnim organom prve stopnje.  Vendar tudi meni, da sta zneska, ki ju zahtevata pritožnici, previsoka.  Po načelu pravičnosti Sodišče prisodi pritožniku 10.000 EUR za nepremoženjsko škodo. </w:t>
      </w:r>
    </w:p>
    <w:p w:rsidR="00392A2A" w:rsidRPr="00EF366F" w:rsidRDefault="00392A2A" w:rsidP="009E0FDA">
      <w:pPr>
        <w:pStyle w:val="ECHRHeading2"/>
      </w:pPr>
      <w:r>
        <w:t>B.</w:t>
      </w:r>
      <w:r>
        <w:rPr>
          <w:b w:val="0"/>
          <w:bCs w:val="0"/>
        </w:rPr>
        <w:t>  </w:t>
      </w:r>
      <w:r>
        <w:t>Stroški in izdatki</w:t>
      </w:r>
    </w:p>
    <w:p w:rsidR="00392A2A" w:rsidRPr="00EF366F" w:rsidRDefault="00392A2A" w:rsidP="00D2140C">
      <w:pPr>
        <w:pStyle w:val="ECHRPara"/>
      </w:pPr>
      <w:fldSimple w:instr=" SEQ level0 \*arabic ">
        <w:r>
          <w:rPr>
            <w:noProof/>
          </w:rPr>
          <w:t>89</w:t>
        </w:r>
      </w:fldSimple>
      <w:r>
        <w:t xml:space="preserve">.  Pritožnici, ki ju zastopa ista odvetnica, sta posamično zahtevali tudi 2.380 EUR za stroške in izdatke postopka pred Sodiščem. Ta znesek sestavljajo odvetniški stroški v višini 1.974 EUR, za katere pritožnici trdita, da so bili izračunani na podlagi domačih zakonskih tarif, 9,70 EUR za materialne stroške in 397 EUR za davek na dodano vrednost.  </w:t>
      </w:r>
    </w:p>
    <w:p w:rsidR="00392A2A" w:rsidRPr="00EF366F" w:rsidRDefault="00392A2A" w:rsidP="00D2140C">
      <w:pPr>
        <w:pStyle w:val="ECHRPara"/>
      </w:pPr>
      <w:fldSimple w:instr=" SEQ level0 \*arabic ">
        <w:r>
          <w:rPr>
            <w:noProof/>
          </w:rPr>
          <w:t>90</w:t>
        </w:r>
      </w:fldSimple>
      <w:r>
        <w:t xml:space="preserve">.  Vlada je trdila, da je ta zahtevek previsok, ker sta bila razloga za vložitev pritožb enaka. </w:t>
      </w:r>
    </w:p>
    <w:p w:rsidR="00392A2A" w:rsidRPr="00EF366F" w:rsidRDefault="00392A2A" w:rsidP="00D2140C">
      <w:pPr>
        <w:pStyle w:val="ECHRPara"/>
      </w:pPr>
      <w:fldSimple w:instr=" SEQ level0 \*arabic ">
        <w:r>
          <w:rPr>
            <w:noProof/>
          </w:rPr>
          <w:t>91</w:t>
        </w:r>
      </w:fldSimple>
      <w:r>
        <w:t>.  V skladu s sodno prakso Sodišča je pritožnik upravičen do povrnitve stroškov in izdatkov le, če dokaže, da so dejansko nastali in bili neizogibni ter da je njihov znesek razumen. V obravnavanih primerih Sodišče ob upoštevanju razpoložljivih podatkov, dejstva, da so bile navedbe pritožnic večinoma enake, in zgornjih meril ocenjuje, da je za postopek pred Sodiščem pritožnicama primerno skupno prisoditi znesek 3.000 EUR.</w:t>
      </w:r>
    </w:p>
    <w:p w:rsidR="00392A2A" w:rsidRPr="00EF366F" w:rsidRDefault="00392A2A" w:rsidP="009E0FDA">
      <w:pPr>
        <w:pStyle w:val="ECHRHeading2"/>
      </w:pPr>
      <w:r>
        <w:t>C. Zamudne obresti</w:t>
      </w:r>
    </w:p>
    <w:p w:rsidR="00392A2A" w:rsidRPr="00EF366F" w:rsidRDefault="00392A2A" w:rsidP="00BE29DB">
      <w:pPr>
        <w:pStyle w:val="ECHRPara"/>
      </w:pPr>
      <w:fldSimple w:instr=" SEQ level0 \*arabic ">
        <w:r>
          <w:rPr>
            <w:noProof/>
          </w:rPr>
          <w:t>92</w:t>
        </w:r>
      </w:fldSimple>
      <w:r>
        <w:t>.  Po mnenju Sodišča je primerno, da zamudne obresti temeljijo na mejni posojilni obrestni meri Evropske centralne banke, ki se ji dodajo tri odstotne točke.</w:t>
      </w:r>
    </w:p>
    <w:p w:rsidR="00392A2A" w:rsidRPr="00EF366F" w:rsidRDefault="00392A2A" w:rsidP="00DE61E0">
      <w:pPr>
        <w:pStyle w:val="ECHRTitle1"/>
      </w:pPr>
      <w:r>
        <w:t>IZ TEH RAZLOGOV SODIŠČE SOGLASNO:</w:t>
      </w:r>
    </w:p>
    <w:p w:rsidR="00392A2A" w:rsidRPr="00EF366F" w:rsidRDefault="00392A2A" w:rsidP="00E83B44">
      <w:pPr>
        <w:pStyle w:val="JuList"/>
      </w:pPr>
      <w:r>
        <w:t>1.  </w:t>
      </w:r>
      <w:r>
        <w:rPr>
          <w:i/>
          <w:iCs/>
        </w:rPr>
        <w:t xml:space="preserve">združi </w:t>
      </w:r>
      <w:r>
        <w:t>pritožbi;</w:t>
      </w:r>
    </w:p>
    <w:p w:rsidR="00392A2A" w:rsidRPr="00EF366F" w:rsidRDefault="00392A2A" w:rsidP="00E83B44">
      <w:pPr>
        <w:pStyle w:val="JuList"/>
      </w:pPr>
    </w:p>
    <w:p w:rsidR="00392A2A" w:rsidRPr="00EF366F" w:rsidRDefault="00392A2A" w:rsidP="00E83B44">
      <w:pPr>
        <w:pStyle w:val="JuList"/>
      </w:pPr>
      <w:r>
        <w:t>2.  </w:t>
      </w:r>
      <w:r>
        <w:rPr>
          <w:i/>
          <w:iCs/>
        </w:rPr>
        <w:t>razglaša</w:t>
      </w:r>
      <w:r>
        <w:t>, da sta pritožbi glede trajanja upravnih postopkov in postopkov sodne presoje po prvem odstavku 6. člena konvencije sprejemljivi, preostali del pritožb pa je nesprejemljiv;</w:t>
      </w:r>
    </w:p>
    <w:p w:rsidR="00392A2A" w:rsidRPr="00EF366F" w:rsidRDefault="00392A2A" w:rsidP="00E83B44">
      <w:pPr>
        <w:pStyle w:val="JuList"/>
      </w:pPr>
    </w:p>
    <w:p w:rsidR="00392A2A" w:rsidRPr="00EF366F" w:rsidRDefault="00392A2A" w:rsidP="00E83B44">
      <w:pPr>
        <w:pStyle w:val="JuList"/>
        <w:rPr>
          <w:lang w:val="de-DE"/>
        </w:rPr>
      </w:pPr>
      <w:r w:rsidRPr="00842DD4">
        <w:rPr>
          <w:lang w:val="de-DE"/>
        </w:rPr>
        <w:t>3.  razsoja, da je bil kršen prvi odstavek 6. člena konvencije;</w:t>
      </w:r>
    </w:p>
    <w:p w:rsidR="00392A2A" w:rsidRPr="00EF366F" w:rsidRDefault="00392A2A" w:rsidP="00E83B44">
      <w:pPr>
        <w:pStyle w:val="JuList"/>
        <w:rPr>
          <w:lang w:val="de-DE"/>
        </w:rPr>
      </w:pPr>
    </w:p>
    <w:p w:rsidR="00392A2A" w:rsidRPr="00EF366F" w:rsidRDefault="00392A2A" w:rsidP="00E83B44">
      <w:pPr>
        <w:pStyle w:val="JuList"/>
        <w:rPr>
          <w:lang w:val="de-DE"/>
        </w:rPr>
      </w:pPr>
      <w:r w:rsidRPr="00842DD4">
        <w:rPr>
          <w:lang w:val="de-DE"/>
        </w:rPr>
        <w:t>4.  </w:t>
      </w:r>
      <w:r w:rsidRPr="00842DD4">
        <w:rPr>
          <w:i/>
          <w:iCs/>
          <w:lang w:val="de-DE"/>
        </w:rPr>
        <w:t>razsoja,</w:t>
      </w:r>
    </w:p>
    <w:p w:rsidR="00392A2A" w:rsidRPr="00EF366F" w:rsidRDefault="00392A2A" w:rsidP="00E83B44">
      <w:pPr>
        <w:pStyle w:val="JuLista"/>
        <w:rPr>
          <w:lang w:val="de-DE"/>
        </w:rPr>
      </w:pPr>
      <w:r w:rsidRPr="00842DD4">
        <w:rPr>
          <w:lang w:val="de-DE"/>
        </w:rPr>
        <w:t>(a) da mora tožena država v treh mesecih od dne, ko postane sodba v skladu z drugim odstavkom 44. člena konvencije dokončna, plačati ta zneska:</w:t>
      </w:r>
    </w:p>
    <w:p w:rsidR="00392A2A" w:rsidRPr="00EF366F" w:rsidRDefault="00392A2A" w:rsidP="00E83B44">
      <w:pPr>
        <w:pStyle w:val="JuListi"/>
        <w:rPr>
          <w:lang w:val="de-DE"/>
        </w:rPr>
      </w:pPr>
      <w:r w:rsidRPr="00842DD4">
        <w:rPr>
          <w:lang w:val="de-DE"/>
        </w:rPr>
        <w:t>(i) posamični pritožnici 10.000 EUR (deset tisoč evrov) za nepremoženjsko škodo in morebitni  davek;</w:t>
      </w:r>
    </w:p>
    <w:p w:rsidR="00392A2A" w:rsidRPr="00EF366F" w:rsidRDefault="00392A2A" w:rsidP="00E83B44">
      <w:pPr>
        <w:pStyle w:val="JuListi"/>
        <w:rPr>
          <w:lang w:val="de-DE"/>
        </w:rPr>
      </w:pPr>
      <w:r w:rsidRPr="00842DD4">
        <w:rPr>
          <w:lang w:val="de-DE"/>
        </w:rPr>
        <w:t>ii) obema skupaj 3.000 EUR (tri tisoč evrov) za stroške in izdatke ter morebitni davek, obračunan pritožnicama;</w:t>
      </w:r>
    </w:p>
    <w:p w:rsidR="00392A2A" w:rsidRPr="00EF366F" w:rsidRDefault="00392A2A" w:rsidP="00E83B44">
      <w:pPr>
        <w:pStyle w:val="JuLista"/>
        <w:rPr>
          <w:lang w:val="de-DE"/>
        </w:rPr>
      </w:pPr>
      <w:r w:rsidRPr="00842DD4">
        <w:rPr>
          <w:lang w:val="de-DE"/>
        </w:rPr>
        <w:t xml:space="preserve">b) da se za navedeni znesek od dneva poteka zgoraj navedenih treh mesecev do plačila obračunajo linearne obresti po stopnji, ki je enaka stopnji mejne posojilne obrestne mere </w:t>
      </w:r>
    </w:p>
    <w:p w:rsidR="00392A2A" w:rsidRPr="00EF366F" w:rsidRDefault="00392A2A" w:rsidP="00E83B44">
      <w:pPr>
        <w:pStyle w:val="JuLista"/>
        <w:rPr>
          <w:lang w:val="de-DE"/>
        </w:rPr>
      </w:pPr>
      <w:r w:rsidRPr="00842DD4">
        <w:rPr>
          <w:lang w:val="de-DE"/>
        </w:rPr>
        <w:t xml:space="preserve">Evropske centralne banke, za vse zamujeno obdobje z dodanimi tremi odstotnimi točkami; </w:t>
      </w:r>
    </w:p>
    <w:p w:rsidR="00392A2A" w:rsidRPr="00EF366F" w:rsidRDefault="00392A2A" w:rsidP="00E83B44">
      <w:pPr>
        <w:pStyle w:val="JuLista"/>
        <w:rPr>
          <w:lang w:val="de-DE"/>
        </w:rPr>
      </w:pPr>
    </w:p>
    <w:p w:rsidR="00392A2A" w:rsidRPr="00EF366F" w:rsidRDefault="00392A2A" w:rsidP="00E83B44">
      <w:pPr>
        <w:pStyle w:val="JuList"/>
        <w:rPr>
          <w:lang w:val="de-DE"/>
        </w:rPr>
      </w:pPr>
      <w:r w:rsidRPr="00842DD4">
        <w:rPr>
          <w:lang w:val="de-DE"/>
        </w:rPr>
        <w:t>5.  </w:t>
      </w:r>
      <w:r w:rsidRPr="00842DD4">
        <w:rPr>
          <w:i/>
          <w:iCs/>
          <w:lang w:val="de-DE"/>
        </w:rPr>
        <w:t>zavrača</w:t>
      </w:r>
      <w:r w:rsidRPr="00842DD4">
        <w:rPr>
          <w:lang w:val="de-DE"/>
        </w:rPr>
        <w:t xml:space="preserve"> preostali del zahtevka pritožnic za pravično zadoščenje.</w:t>
      </w:r>
    </w:p>
    <w:p w:rsidR="00392A2A" w:rsidRPr="00EF366F" w:rsidRDefault="00392A2A" w:rsidP="00DE61E0">
      <w:pPr>
        <w:pStyle w:val="JuParaLast"/>
        <w:rPr>
          <w:lang w:val="de-DE"/>
        </w:rPr>
      </w:pPr>
      <w:r w:rsidRPr="00842DD4">
        <w:rPr>
          <w:lang w:val="de-DE"/>
        </w:rPr>
        <w:t>Sestavljeno v angleškem jeziku in 6. oktobra 2015 poslano v skladu z drugim in tretjim odstavkom 77. člena poslovnika Sodišča.</w:t>
      </w:r>
    </w:p>
    <w:p w:rsidR="00392A2A" w:rsidRPr="006D028D" w:rsidRDefault="00392A2A" w:rsidP="000055E6">
      <w:pPr>
        <w:pStyle w:val="JuSigned"/>
      </w:pPr>
      <w:r w:rsidRPr="00842DD4">
        <w:rPr>
          <w:lang w:val="de-DE"/>
        </w:rPr>
        <w:tab/>
      </w:r>
      <w:r>
        <w:t>Claudia Westerdiek</w:t>
      </w:r>
      <w:r>
        <w:tab/>
      </w:r>
      <w:r>
        <w:rPr>
          <w:szCs w:val="24"/>
        </w:rPr>
        <w:t>Josep Casadevall</w:t>
      </w:r>
      <w:r>
        <w:rPr>
          <w:szCs w:val="24"/>
        </w:rPr>
        <w:br/>
      </w:r>
      <w:r>
        <w:tab/>
        <w:t>sodna tajnica</w:t>
      </w:r>
      <w:r>
        <w:tab/>
        <w:t>predsednik</w:t>
      </w:r>
    </w:p>
    <w:sectPr w:rsidR="00392A2A" w:rsidRPr="006D028D" w:rsidSect="00F17304">
      <w:headerReference w:type="even" r:id="rId11"/>
      <w:headerReference w:type="default" r:id="rId12"/>
      <w:footnotePr>
        <w:numRestart w:val="eachPage"/>
      </w:footnotePr>
      <w:pgSz w:w="11906" w:h="16838" w:code="9"/>
      <w:pgMar w:top="2274" w:right="2274" w:bottom="2274" w:left="2274" w:header="1701" w:footer="708" w:gutter="0"/>
      <w:pgNumType w:start="1"/>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2A2A" w:rsidRDefault="00392A2A" w:rsidP="000055E6">
      <w:r>
        <w:separator/>
      </w:r>
    </w:p>
  </w:endnote>
  <w:endnote w:type="continuationSeparator" w:id="0">
    <w:p w:rsidR="00392A2A" w:rsidRDefault="00392A2A" w:rsidP="000055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MS Mincho">
    <w:altName w:val="?l?r ??fc"/>
    <w:panose1 w:val="02020609040205080304"/>
    <w:charset w:val="80"/>
    <w:family w:val="modern"/>
    <w:pitch w:val="fixed"/>
    <w:sig w:usb0="A00002BF" w:usb1="68C7FCFB" w:usb2="00000010" w:usb3="00000000" w:csb0="0002009F" w:csb1="00000000"/>
  </w:font>
  <w:font w:name="MS Gothic">
    <w:altName w:val="?l?r SVbN"/>
    <w:panose1 w:val="020B0609070205080204"/>
    <w:charset w:val="80"/>
    <w:family w:val="moder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onsolas">
    <w:panose1 w:val="020B0609020204030204"/>
    <w:charset w:val="EE"/>
    <w:family w:val="modern"/>
    <w:pitch w:val="fixed"/>
    <w:sig w:usb0="A00002EF" w:usb1="4000204B" w:usb2="00000000" w:usb3="00000000" w:csb0="0000009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A2A" w:rsidRPr="00150BFA" w:rsidRDefault="00392A2A" w:rsidP="0020718E">
    <w:pPr>
      <w:jc w:val="center"/>
    </w:pPr>
    <w:r w:rsidRPr="002004FC">
      <w:rPr>
        <w:noProof/>
        <w:lang w:val="sl-SI" w:eastAsia="sl-S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i1028" type="#_x0000_t75" style="width:60pt;height:48.75pt;visibility:visible">
          <v:imagedata r:id="rId1" o:title=""/>
        </v:shape>
      </w:pict>
    </w:r>
  </w:p>
  <w:p w:rsidR="00392A2A" w:rsidRDefault="00392A2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2A2A" w:rsidRDefault="00392A2A" w:rsidP="000055E6">
      <w:r>
        <w:separator/>
      </w:r>
    </w:p>
  </w:footnote>
  <w:footnote w:type="continuationSeparator" w:id="0">
    <w:p w:rsidR="00392A2A" w:rsidRDefault="00392A2A" w:rsidP="000055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A2A" w:rsidRPr="00F17304" w:rsidRDefault="00392A2A" w:rsidP="00F17304">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A2A" w:rsidRPr="00A45145" w:rsidRDefault="00392A2A" w:rsidP="00A45145">
    <w:pPr>
      <w:jc w:val="center"/>
    </w:pPr>
    <w:r w:rsidRPr="002004FC">
      <w:rPr>
        <w:noProof/>
        <w:lang w:val="sl-SI" w:eastAsia="sl-S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i1026" type="#_x0000_t75" style="width:233.25pt;height:95.25pt;visibility:visible">
          <v:imagedata r:id="rId1" o:title=""/>
        </v:shape>
      </w:pict>
    </w:r>
  </w:p>
  <w:p w:rsidR="00392A2A" w:rsidRDefault="00392A2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A2A" w:rsidRPr="00833E8F" w:rsidRDefault="00392A2A" w:rsidP="00D0189E">
    <w:pPr>
      <w:pStyle w:val="ECHRHeader"/>
    </w:pPr>
    <w:r>
      <w:rPr>
        <w:rStyle w:val="PageNumber"/>
        <w:szCs w:val="18"/>
      </w:rPr>
      <w:fldChar w:fldCharType="begin"/>
    </w:r>
    <w:r>
      <w:rPr>
        <w:rStyle w:val="PageNumber"/>
        <w:szCs w:val="18"/>
      </w:rPr>
      <w:instrText xml:space="preserve"> PAGE </w:instrText>
    </w:r>
    <w:r>
      <w:rPr>
        <w:rStyle w:val="PageNumber"/>
        <w:szCs w:val="18"/>
      </w:rPr>
      <w:fldChar w:fldCharType="separate"/>
    </w:r>
    <w:r>
      <w:rPr>
        <w:rStyle w:val="PageNumber"/>
        <w:noProof/>
        <w:szCs w:val="18"/>
      </w:rPr>
      <w:t>14</w:t>
    </w:r>
    <w:r>
      <w:rPr>
        <w:rStyle w:val="PageNumber"/>
        <w:szCs w:val="18"/>
      </w:rPr>
      <w:fldChar w:fldCharType="end"/>
    </w:r>
    <w:r>
      <w:tab/>
      <w:t>SODBA STIBILJ proti  SLOVENIJI</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A2A" w:rsidRPr="00D0189E" w:rsidRDefault="00392A2A" w:rsidP="00D0189E">
    <w:pPr>
      <w:pStyle w:val="ECHRHeader"/>
    </w:pPr>
    <w:r>
      <w:tab/>
      <w:t xml:space="preserve">SODBA STIBILJ PROTI SLOVENIJI </w:t>
    </w: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764891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0C521FF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691E3B8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A1FA6CFE"/>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1686855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43660A4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A341D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45AF4A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56542F8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2D0B7B8"/>
    <w:lvl w:ilvl="0">
      <w:start w:val="1"/>
      <w:numFmt w:val="bullet"/>
      <w:lvlText w:val=""/>
      <w:lvlJc w:val="left"/>
      <w:pPr>
        <w:tabs>
          <w:tab w:val="num" w:pos="360"/>
        </w:tabs>
        <w:ind w:left="360" w:hanging="360"/>
      </w:pPr>
      <w:rPr>
        <w:rFonts w:ascii="Symbol" w:hAnsi="Symbol" w:hint="default"/>
      </w:rPr>
    </w:lvl>
  </w:abstractNum>
  <w:abstractNum w:abstractNumId="10">
    <w:nsid w:val="05EF5FE9"/>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10165EA3"/>
    <w:multiLevelType w:val="multilevel"/>
    <w:tmpl w:val="040C001F"/>
    <w:styleLink w:val="111111"/>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292C2B5A"/>
    <w:multiLevelType w:val="multilevel"/>
    <w:tmpl w:val="FFFFFFFF"/>
    <w:lvl w:ilvl="0">
      <w:start w:val="1"/>
      <w:numFmt w:val="upperRoman"/>
      <w:lvlText w:val="Article %1."/>
      <w:lvlJc w:val="left"/>
      <w:rPr>
        <w:rFonts w:cs="Times New Roman"/>
      </w:rPr>
    </w:lvl>
    <w:lvl w:ilvl="1">
      <w:start w:val="1"/>
      <w:numFmt w:val="decimalZero"/>
      <w:isLgl/>
      <w:lvlText w:val="Section %1.%2"/>
      <w:lvlJc w:val="left"/>
      <w:rPr>
        <w:rFonts w:cs="Times New Roman"/>
      </w:rPr>
    </w:lvl>
    <w:lvl w:ilvl="2">
      <w:start w:val="1"/>
      <w:numFmt w:val="lowerLetter"/>
      <w:lvlText w:val="(%3)"/>
      <w:lvlJc w:val="left"/>
      <w:pPr>
        <w:ind w:left="720" w:hanging="432"/>
      </w:pPr>
      <w:rPr>
        <w:rFonts w:cs="Times New Roman"/>
      </w:rPr>
    </w:lvl>
    <w:lvl w:ilvl="3">
      <w:start w:val="1"/>
      <w:numFmt w:val="lowerRoman"/>
      <w:lvlText w:val="(%4)"/>
      <w:lvlJc w:val="right"/>
      <w:pPr>
        <w:ind w:left="864" w:hanging="144"/>
      </w:pPr>
      <w:rPr>
        <w:rFonts w:cs="Times New Roman"/>
      </w:rPr>
    </w:lvl>
    <w:lvl w:ilvl="4">
      <w:start w:val="1"/>
      <w:numFmt w:val="decimal"/>
      <w:lvlText w:val="%5)"/>
      <w:lvlJc w:val="left"/>
      <w:pPr>
        <w:ind w:left="1008" w:hanging="432"/>
      </w:pPr>
      <w:rPr>
        <w:rFonts w:cs="Times New Roman"/>
      </w:rPr>
    </w:lvl>
    <w:lvl w:ilvl="5">
      <w:start w:val="1"/>
      <w:numFmt w:val="lowerLetter"/>
      <w:lvlText w:val="%6)"/>
      <w:lvlJc w:val="left"/>
      <w:pPr>
        <w:ind w:left="1152" w:hanging="432"/>
      </w:pPr>
      <w:rPr>
        <w:rFonts w:cs="Times New Roman"/>
      </w:rPr>
    </w:lvl>
    <w:lvl w:ilvl="6">
      <w:start w:val="1"/>
      <w:numFmt w:val="lowerRoman"/>
      <w:lvlText w:val="%7)"/>
      <w:lvlJc w:val="right"/>
      <w:pPr>
        <w:ind w:left="1296" w:hanging="288"/>
      </w:pPr>
      <w:rPr>
        <w:rFonts w:cs="Times New Roman"/>
      </w:rPr>
    </w:lvl>
    <w:lvl w:ilvl="7">
      <w:start w:val="1"/>
      <w:numFmt w:val="lowerLetter"/>
      <w:lvlText w:val="%8."/>
      <w:lvlJc w:val="left"/>
      <w:pPr>
        <w:ind w:left="1440" w:hanging="432"/>
      </w:pPr>
      <w:rPr>
        <w:rFonts w:cs="Times New Roman"/>
      </w:rPr>
    </w:lvl>
    <w:lvl w:ilvl="8">
      <w:start w:val="1"/>
      <w:numFmt w:val="lowerRoman"/>
      <w:lvlText w:val="%9."/>
      <w:lvlJc w:val="right"/>
      <w:pPr>
        <w:ind w:left="1584" w:hanging="144"/>
      </w:pPr>
      <w:rPr>
        <w:rFonts w:cs="Times New Roman"/>
      </w:rPr>
    </w:lvl>
  </w:abstractNum>
  <w:abstractNum w:abstractNumId="13">
    <w:nsid w:val="2CBB33C0"/>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F184A1B"/>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5">
    <w:nsid w:val="567B02AE"/>
    <w:multiLevelType w:val="multilevel"/>
    <w:tmpl w:val="0424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632A0EF5"/>
    <w:multiLevelType w:val="multilevel"/>
    <w:tmpl w:val="040C001D"/>
    <w:styleLink w:val="1ai"/>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7">
    <w:nsid w:val="65425788"/>
    <w:multiLevelType w:val="multilevel"/>
    <w:tmpl w:val="0424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8">
    <w:nsid w:val="67FD1241"/>
    <w:multiLevelType w:val="hybridMultilevel"/>
    <w:tmpl w:val="F6D86CC2"/>
    <w:lvl w:ilvl="0" w:tplc="E4205412">
      <w:start w:val="1"/>
      <w:numFmt w:val="bullet"/>
      <w:pStyle w:val="ListBullet"/>
      <w:lvlText w:val=""/>
      <w:lvlJc w:val="left"/>
      <w:pPr>
        <w:tabs>
          <w:tab w:val="num" w:pos="851"/>
        </w:tabs>
        <w:ind w:left="568"/>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9">
    <w:nsid w:val="748A1952"/>
    <w:multiLevelType w:val="multilevel"/>
    <w:tmpl w:val="040C0023"/>
    <w:styleLink w:val="ArticleSection"/>
    <w:lvl w:ilvl="0">
      <w:start w:val="1"/>
      <w:numFmt w:val="upperRoman"/>
      <w:lvlText w:val="člen %1"/>
      <w:lvlJc w:val="left"/>
      <w:rPr>
        <w:rFonts w:cs="Times New Roman"/>
      </w:rPr>
    </w:lvl>
    <w:lvl w:ilvl="1">
      <w:start w:val="1"/>
      <w:numFmt w:val="decimalZero"/>
      <w:isLgl/>
      <w:lvlText w:val="Oddelek %1.%2"/>
      <w:lvlJc w:val="left"/>
      <w:rPr>
        <w:rFonts w:cs="Times New Roman"/>
      </w:rPr>
    </w:lvl>
    <w:lvl w:ilvl="2">
      <w:start w:val="1"/>
      <w:numFmt w:val="lowerLetter"/>
      <w:lvlText w:val="(%3)"/>
      <w:lvlJc w:val="left"/>
      <w:pPr>
        <w:ind w:left="720" w:hanging="432"/>
      </w:pPr>
      <w:rPr>
        <w:rFonts w:cs="Times New Roman"/>
      </w:rPr>
    </w:lvl>
    <w:lvl w:ilvl="3">
      <w:start w:val="1"/>
      <w:numFmt w:val="lowerRoman"/>
      <w:lvlText w:val="(%4)"/>
      <w:lvlJc w:val="right"/>
      <w:pPr>
        <w:ind w:left="864" w:hanging="144"/>
      </w:pPr>
      <w:rPr>
        <w:rFonts w:cs="Times New Roman"/>
      </w:rPr>
    </w:lvl>
    <w:lvl w:ilvl="4">
      <w:start w:val="1"/>
      <w:numFmt w:val="decimal"/>
      <w:lvlText w:val="%5)"/>
      <w:lvlJc w:val="left"/>
      <w:pPr>
        <w:ind w:left="1008" w:hanging="432"/>
      </w:pPr>
      <w:rPr>
        <w:rFonts w:cs="Times New Roman"/>
      </w:rPr>
    </w:lvl>
    <w:lvl w:ilvl="5">
      <w:start w:val="1"/>
      <w:numFmt w:val="lowerLetter"/>
      <w:lvlText w:val="%6)"/>
      <w:lvlJc w:val="left"/>
      <w:pPr>
        <w:ind w:left="1152" w:hanging="432"/>
      </w:pPr>
      <w:rPr>
        <w:rFonts w:cs="Times New Roman"/>
      </w:rPr>
    </w:lvl>
    <w:lvl w:ilvl="6">
      <w:start w:val="1"/>
      <w:numFmt w:val="lowerRoman"/>
      <w:lvlText w:val="%7)"/>
      <w:lvlJc w:val="right"/>
      <w:pPr>
        <w:ind w:left="1296" w:hanging="288"/>
      </w:pPr>
      <w:rPr>
        <w:rFonts w:cs="Times New Roman"/>
      </w:rPr>
    </w:lvl>
    <w:lvl w:ilvl="7">
      <w:start w:val="1"/>
      <w:numFmt w:val="lowerLetter"/>
      <w:lvlText w:val="%8."/>
      <w:lvlJc w:val="left"/>
      <w:pPr>
        <w:ind w:left="1440" w:hanging="432"/>
      </w:pPr>
      <w:rPr>
        <w:rFonts w:cs="Times New Roman"/>
      </w:rPr>
    </w:lvl>
    <w:lvl w:ilvl="8">
      <w:start w:val="1"/>
      <w:numFmt w:val="lowerRoman"/>
      <w:lvlText w:val="%9."/>
      <w:lvlJc w:val="right"/>
      <w:pPr>
        <w:ind w:left="1584" w:hanging="144"/>
      </w:pPr>
      <w:rPr>
        <w:rFonts w:cs="Times New Roman"/>
      </w:rPr>
    </w:lvl>
  </w:abstractNum>
  <w:abstractNum w:abstractNumId="20">
    <w:nsid w:val="76903243"/>
    <w:multiLevelType w:val="multilevel"/>
    <w:tmpl w:val="E884A926"/>
    <w:lvl w:ilvl="0">
      <w:start w:val="1"/>
      <w:numFmt w:val="decimal"/>
      <w:pStyle w:val="JuAppQuestion"/>
      <w:lvlText w:val="%1."/>
      <w:lvlJc w:val="left"/>
      <w:pPr>
        <w:tabs>
          <w:tab w:val="num" w:pos="720"/>
        </w:tabs>
        <w:ind w:left="720" w:hanging="360"/>
      </w:pPr>
      <w:rPr>
        <w:rFonts w:cs="Times New Roman" w:hint="default"/>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21">
    <w:nsid w:val="77FC546F"/>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7C8675AB"/>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4"/>
  </w:num>
  <w:num w:numId="32">
    <w:abstractNumId w:val="8"/>
  </w:num>
  <w:num w:numId="33">
    <w:abstractNumId w:val="3"/>
  </w:num>
  <w:num w:numId="34">
    <w:abstractNumId w:val="2"/>
  </w:num>
  <w:num w:numId="35">
    <w:abstractNumId w:val="1"/>
  </w:num>
  <w:num w:numId="36">
    <w:abstractNumId w:val="0"/>
  </w:num>
  <w:num w:numId="37">
    <w:abstractNumId w:val="9"/>
  </w:num>
  <w:num w:numId="38">
    <w:abstractNumId w:val="7"/>
  </w:num>
  <w:num w:numId="39">
    <w:abstractNumId w:val="6"/>
  </w:num>
  <w:num w:numId="40">
    <w:abstractNumId w:val="18"/>
  </w:num>
  <w:num w:numId="41">
    <w:abstractNumId w:val="11"/>
  </w:num>
  <w:num w:numId="42">
    <w:abstractNumId w:val="16"/>
  </w:num>
  <w:num w:numId="43">
    <w:abstractNumId w:val="19"/>
  </w:num>
  <w:num w:numId="44">
    <w:abstractNumId w:val="20"/>
  </w:num>
  <w:num w:numId="45">
    <w:abstractNumId w:val="10"/>
  </w:num>
  <w:num w:numId="46">
    <w:abstractNumId w:val="14"/>
  </w:num>
  <w:num w:numId="47">
    <w:abstractNumId w:val="12"/>
  </w:num>
  <w:num w:numId="48">
    <w:abstractNumId w:val="17"/>
  </w:num>
  <w:num w:numId="49">
    <w:abstractNumId w:val="15"/>
  </w:num>
  <w:num w:numId="50">
    <w:abstractNumId w:val="13"/>
  </w:num>
  <w:num w:numId="51">
    <w:abstractNumId w:val="21"/>
  </w:num>
  <w:num w:numId="52">
    <w:abstractNumId w:val="22"/>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removePersonalInformation/>
  <w:stylePaneFormatFilter w:val="D004"/>
  <w:defaultTabStop w:val="720"/>
  <w:hyphenationZone w:val="425"/>
  <w:evenAndOddHeaders/>
  <w:drawingGridHorizontalSpacing w:val="110"/>
  <w:displayHorizontalDrawingGridEvery w:val="2"/>
  <w:displayVerticalDrawingGridEvery w:val="2"/>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491F3E"/>
    <w:rsid w:val="000041C6"/>
    <w:rsid w:val="000041F8"/>
    <w:rsid w:val="000042A8"/>
    <w:rsid w:val="000042B2"/>
    <w:rsid w:val="00004304"/>
    <w:rsid w:val="00004308"/>
    <w:rsid w:val="00004B2F"/>
    <w:rsid w:val="000050CE"/>
    <w:rsid w:val="0000542F"/>
    <w:rsid w:val="000055E6"/>
    <w:rsid w:val="00005B18"/>
    <w:rsid w:val="00005BF0"/>
    <w:rsid w:val="00006FEE"/>
    <w:rsid w:val="00007154"/>
    <w:rsid w:val="000103AE"/>
    <w:rsid w:val="00011D69"/>
    <w:rsid w:val="00011D88"/>
    <w:rsid w:val="00011F6E"/>
    <w:rsid w:val="00012658"/>
    <w:rsid w:val="00012AD3"/>
    <w:rsid w:val="00012E11"/>
    <w:rsid w:val="00015C2D"/>
    <w:rsid w:val="00015F00"/>
    <w:rsid w:val="00016136"/>
    <w:rsid w:val="00020430"/>
    <w:rsid w:val="0002159D"/>
    <w:rsid w:val="00022C1D"/>
    <w:rsid w:val="00023F19"/>
    <w:rsid w:val="00024272"/>
    <w:rsid w:val="0002691F"/>
    <w:rsid w:val="00027489"/>
    <w:rsid w:val="00027AF4"/>
    <w:rsid w:val="000309A7"/>
    <w:rsid w:val="000313C6"/>
    <w:rsid w:val="000320C0"/>
    <w:rsid w:val="00032D35"/>
    <w:rsid w:val="00034987"/>
    <w:rsid w:val="00035A49"/>
    <w:rsid w:val="00036C76"/>
    <w:rsid w:val="000370E1"/>
    <w:rsid w:val="00037241"/>
    <w:rsid w:val="000377B8"/>
    <w:rsid w:val="0004022A"/>
    <w:rsid w:val="0004203B"/>
    <w:rsid w:val="00043AC8"/>
    <w:rsid w:val="00047551"/>
    <w:rsid w:val="00050F31"/>
    <w:rsid w:val="00051C0E"/>
    <w:rsid w:val="00052A53"/>
    <w:rsid w:val="00052EBC"/>
    <w:rsid w:val="00054F6F"/>
    <w:rsid w:val="000559FA"/>
    <w:rsid w:val="00055ED2"/>
    <w:rsid w:val="00056571"/>
    <w:rsid w:val="000566CF"/>
    <w:rsid w:val="000570F5"/>
    <w:rsid w:val="00060106"/>
    <w:rsid w:val="000602CF"/>
    <w:rsid w:val="000602DF"/>
    <w:rsid w:val="0006043D"/>
    <w:rsid w:val="00061B05"/>
    <w:rsid w:val="000632D5"/>
    <w:rsid w:val="00063805"/>
    <w:rsid w:val="000644EE"/>
    <w:rsid w:val="00065988"/>
    <w:rsid w:val="00066F94"/>
    <w:rsid w:val="00067F9C"/>
    <w:rsid w:val="00072B44"/>
    <w:rsid w:val="00075794"/>
    <w:rsid w:val="00076A16"/>
    <w:rsid w:val="000774CE"/>
    <w:rsid w:val="00077FE1"/>
    <w:rsid w:val="00081659"/>
    <w:rsid w:val="000822CC"/>
    <w:rsid w:val="00082970"/>
    <w:rsid w:val="000833BC"/>
    <w:rsid w:val="00083568"/>
    <w:rsid w:val="0008428D"/>
    <w:rsid w:val="00086F9A"/>
    <w:rsid w:val="0009017F"/>
    <w:rsid w:val="00090454"/>
    <w:rsid w:val="000913AC"/>
    <w:rsid w:val="0009143D"/>
    <w:rsid w:val="00091A5A"/>
    <w:rsid w:val="000922D3"/>
    <w:rsid w:val="000925AD"/>
    <w:rsid w:val="00092CAB"/>
    <w:rsid w:val="0009307B"/>
    <w:rsid w:val="00095AD7"/>
    <w:rsid w:val="00095D88"/>
    <w:rsid w:val="000965E9"/>
    <w:rsid w:val="00096AF3"/>
    <w:rsid w:val="00097414"/>
    <w:rsid w:val="000A216C"/>
    <w:rsid w:val="000A24EB"/>
    <w:rsid w:val="000A2795"/>
    <w:rsid w:val="000A2F75"/>
    <w:rsid w:val="000A2FF5"/>
    <w:rsid w:val="000A3399"/>
    <w:rsid w:val="000A4C1E"/>
    <w:rsid w:val="000A4E42"/>
    <w:rsid w:val="000A5236"/>
    <w:rsid w:val="000A5798"/>
    <w:rsid w:val="000A6116"/>
    <w:rsid w:val="000B10EF"/>
    <w:rsid w:val="000B380C"/>
    <w:rsid w:val="000B3C4D"/>
    <w:rsid w:val="000B54C6"/>
    <w:rsid w:val="000B5615"/>
    <w:rsid w:val="000B5A54"/>
    <w:rsid w:val="000B6923"/>
    <w:rsid w:val="000C1E31"/>
    <w:rsid w:val="000C2912"/>
    <w:rsid w:val="000C5F3C"/>
    <w:rsid w:val="000C6DCC"/>
    <w:rsid w:val="000C6F45"/>
    <w:rsid w:val="000D0BFE"/>
    <w:rsid w:val="000D0E88"/>
    <w:rsid w:val="000D1162"/>
    <w:rsid w:val="000D138B"/>
    <w:rsid w:val="000D227A"/>
    <w:rsid w:val="000D31F6"/>
    <w:rsid w:val="000D47AA"/>
    <w:rsid w:val="000D4D2C"/>
    <w:rsid w:val="000D4EC2"/>
    <w:rsid w:val="000D6C90"/>
    <w:rsid w:val="000D721F"/>
    <w:rsid w:val="000E0514"/>
    <w:rsid w:val="000E069B"/>
    <w:rsid w:val="000E09E1"/>
    <w:rsid w:val="000E0E82"/>
    <w:rsid w:val="000E1DC5"/>
    <w:rsid w:val="000E223F"/>
    <w:rsid w:val="000E3BF9"/>
    <w:rsid w:val="000E45EB"/>
    <w:rsid w:val="000E4A37"/>
    <w:rsid w:val="000E5324"/>
    <w:rsid w:val="000E5817"/>
    <w:rsid w:val="000E6984"/>
    <w:rsid w:val="000E712D"/>
    <w:rsid w:val="000E7D45"/>
    <w:rsid w:val="000F2247"/>
    <w:rsid w:val="000F40EE"/>
    <w:rsid w:val="000F476F"/>
    <w:rsid w:val="000F5ED5"/>
    <w:rsid w:val="000F6D48"/>
    <w:rsid w:val="000F7683"/>
    <w:rsid w:val="000F7851"/>
    <w:rsid w:val="00100464"/>
    <w:rsid w:val="00101D8E"/>
    <w:rsid w:val="0010249D"/>
    <w:rsid w:val="00102573"/>
    <w:rsid w:val="00102BC8"/>
    <w:rsid w:val="00102F9A"/>
    <w:rsid w:val="00103150"/>
    <w:rsid w:val="00103AEC"/>
    <w:rsid w:val="00104E23"/>
    <w:rsid w:val="00110DBD"/>
    <w:rsid w:val="00111B0C"/>
    <w:rsid w:val="00114C13"/>
    <w:rsid w:val="00115BE1"/>
    <w:rsid w:val="001164C7"/>
    <w:rsid w:val="00116CCF"/>
    <w:rsid w:val="00120D61"/>
    <w:rsid w:val="00120D6C"/>
    <w:rsid w:val="00121129"/>
    <w:rsid w:val="00121928"/>
    <w:rsid w:val="0012193F"/>
    <w:rsid w:val="00122181"/>
    <w:rsid w:val="001238F5"/>
    <w:rsid w:val="00123BCF"/>
    <w:rsid w:val="00123DCC"/>
    <w:rsid w:val="001253C4"/>
    <w:rsid w:val="001257EC"/>
    <w:rsid w:val="0012588C"/>
    <w:rsid w:val="00125CC9"/>
    <w:rsid w:val="001269E3"/>
    <w:rsid w:val="0012736F"/>
    <w:rsid w:val="001319D8"/>
    <w:rsid w:val="00131FE1"/>
    <w:rsid w:val="00133D33"/>
    <w:rsid w:val="00133E36"/>
    <w:rsid w:val="00134D64"/>
    <w:rsid w:val="00134F58"/>
    <w:rsid w:val="00135190"/>
    <w:rsid w:val="00135A30"/>
    <w:rsid w:val="0013612C"/>
    <w:rsid w:val="00137FF6"/>
    <w:rsid w:val="00141650"/>
    <w:rsid w:val="001419A3"/>
    <w:rsid w:val="00142670"/>
    <w:rsid w:val="00142773"/>
    <w:rsid w:val="00143BD4"/>
    <w:rsid w:val="001444F7"/>
    <w:rsid w:val="00146E81"/>
    <w:rsid w:val="00147FF0"/>
    <w:rsid w:val="00150942"/>
    <w:rsid w:val="00150BFA"/>
    <w:rsid w:val="0015185B"/>
    <w:rsid w:val="00152353"/>
    <w:rsid w:val="001527EB"/>
    <w:rsid w:val="001545DC"/>
    <w:rsid w:val="00157759"/>
    <w:rsid w:val="0016010C"/>
    <w:rsid w:val="00161284"/>
    <w:rsid w:val="001612FE"/>
    <w:rsid w:val="00162A12"/>
    <w:rsid w:val="001656AA"/>
    <w:rsid w:val="0016641B"/>
    <w:rsid w:val="00166530"/>
    <w:rsid w:val="0016662A"/>
    <w:rsid w:val="00166B79"/>
    <w:rsid w:val="0017029F"/>
    <w:rsid w:val="001707F5"/>
    <w:rsid w:val="0017153F"/>
    <w:rsid w:val="001721E7"/>
    <w:rsid w:val="00172404"/>
    <w:rsid w:val="00172EB8"/>
    <w:rsid w:val="00175B6A"/>
    <w:rsid w:val="00175D8B"/>
    <w:rsid w:val="00176713"/>
    <w:rsid w:val="00176D8E"/>
    <w:rsid w:val="001777EA"/>
    <w:rsid w:val="00177A85"/>
    <w:rsid w:val="00177FDF"/>
    <w:rsid w:val="00181D65"/>
    <w:rsid w:val="00183113"/>
    <w:rsid w:val="00183145"/>
    <w:rsid w:val="001832BD"/>
    <w:rsid w:val="00183B57"/>
    <w:rsid w:val="00183EF8"/>
    <w:rsid w:val="00187D51"/>
    <w:rsid w:val="00190F3D"/>
    <w:rsid w:val="00191908"/>
    <w:rsid w:val="00192C8B"/>
    <w:rsid w:val="001943B5"/>
    <w:rsid w:val="0019487F"/>
    <w:rsid w:val="00194BEF"/>
    <w:rsid w:val="00195134"/>
    <w:rsid w:val="001A0040"/>
    <w:rsid w:val="001A0293"/>
    <w:rsid w:val="001A1305"/>
    <w:rsid w:val="001A145B"/>
    <w:rsid w:val="001A148F"/>
    <w:rsid w:val="001A1769"/>
    <w:rsid w:val="001A1D44"/>
    <w:rsid w:val="001A1FAB"/>
    <w:rsid w:val="001A41FC"/>
    <w:rsid w:val="001A45CF"/>
    <w:rsid w:val="001A674C"/>
    <w:rsid w:val="001A7E62"/>
    <w:rsid w:val="001B0179"/>
    <w:rsid w:val="001B18D2"/>
    <w:rsid w:val="001B3B24"/>
    <w:rsid w:val="001B4093"/>
    <w:rsid w:val="001B53E4"/>
    <w:rsid w:val="001B5C65"/>
    <w:rsid w:val="001B7D47"/>
    <w:rsid w:val="001C0F98"/>
    <w:rsid w:val="001C2804"/>
    <w:rsid w:val="001C2812"/>
    <w:rsid w:val="001C2A42"/>
    <w:rsid w:val="001C3D2C"/>
    <w:rsid w:val="001C4E01"/>
    <w:rsid w:val="001C69FD"/>
    <w:rsid w:val="001D1DE3"/>
    <w:rsid w:val="001D4A3D"/>
    <w:rsid w:val="001D63ED"/>
    <w:rsid w:val="001D7348"/>
    <w:rsid w:val="001D7551"/>
    <w:rsid w:val="001E035B"/>
    <w:rsid w:val="001E0961"/>
    <w:rsid w:val="001E334C"/>
    <w:rsid w:val="001E3E59"/>
    <w:rsid w:val="001E3EAE"/>
    <w:rsid w:val="001E5252"/>
    <w:rsid w:val="001E6F32"/>
    <w:rsid w:val="001E7347"/>
    <w:rsid w:val="001E74E3"/>
    <w:rsid w:val="001E759E"/>
    <w:rsid w:val="001E7E6D"/>
    <w:rsid w:val="001F04E3"/>
    <w:rsid w:val="001F12E6"/>
    <w:rsid w:val="001F1E57"/>
    <w:rsid w:val="001F2091"/>
    <w:rsid w:val="001F2145"/>
    <w:rsid w:val="001F23CE"/>
    <w:rsid w:val="001F3852"/>
    <w:rsid w:val="001F43D0"/>
    <w:rsid w:val="001F5F1C"/>
    <w:rsid w:val="001F6262"/>
    <w:rsid w:val="001F67B0"/>
    <w:rsid w:val="001F721E"/>
    <w:rsid w:val="001F7B3D"/>
    <w:rsid w:val="002004FC"/>
    <w:rsid w:val="00200D5C"/>
    <w:rsid w:val="002016A8"/>
    <w:rsid w:val="002019B1"/>
    <w:rsid w:val="00201B31"/>
    <w:rsid w:val="002037AA"/>
    <w:rsid w:val="002054C9"/>
    <w:rsid w:val="0020569C"/>
    <w:rsid w:val="00205F9F"/>
    <w:rsid w:val="002063BB"/>
    <w:rsid w:val="0020655F"/>
    <w:rsid w:val="0020662C"/>
    <w:rsid w:val="002066A9"/>
    <w:rsid w:val="00206EC1"/>
    <w:rsid w:val="0020718E"/>
    <w:rsid w:val="0020744F"/>
    <w:rsid w:val="00210338"/>
    <w:rsid w:val="002103A8"/>
    <w:rsid w:val="002104D4"/>
    <w:rsid w:val="002115FC"/>
    <w:rsid w:val="00211ED0"/>
    <w:rsid w:val="002126FC"/>
    <w:rsid w:val="00213690"/>
    <w:rsid w:val="0021403D"/>
    <w:rsid w:val="0021423C"/>
    <w:rsid w:val="00214FB5"/>
    <w:rsid w:val="0021743C"/>
    <w:rsid w:val="00217886"/>
    <w:rsid w:val="00220086"/>
    <w:rsid w:val="00221F4D"/>
    <w:rsid w:val="002231D2"/>
    <w:rsid w:val="002232C2"/>
    <w:rsid w:val="00223342"/>
    <w:rsid w:val="002244DB"/>
    <w:rsid w:val="0022581A"/>
    <w:rsid w:val="0022621D"/>
    <w:rsid w:val="002270B3"/>
    <w:rsid w:val="00227E67"/>
    <w:rsid w:val="00230D00"/>
    <w:rsid w:val="00231DF7"/>
    <w:rsid w:val="00231FD1"/>
    <w:rsid w:val="002339E0"/>
    <w:rsid w:val="00233CF3"/>
    <w:rsid w:val="00233CF8"/>
    <w:rsid w:val="0023413C"/>
    <w:rsid w:val="0023575D"/>
    <w:rsid w:val="00235D0E"/>
    <w:rsid w:val="00237148"/>
    <w:rsid w:val="00241461"/>
    <w:rsid w:val="00241E4E"/>
    <w:rsid w:val="0024222D"/>
    <w:rsid w:val="002449EA"/>
    <w:rsid w:val="00244B0E"/>
    <w:rsid w:val="00244F6C"/>
    <w:rsid w:val="00245E92"/>
    <w:rsid w:val="00247502"/>
    <w:rsid w:val="002505BF"/>
    <w:rsid w:val="00250627"/>
    <w:rsid w:val="00252973"/>
    <w:rsid w:val="00252D51"/>
    <w:rsid w:val="002532C5"/>
    <w:rsid w:val="00255144"/>
    <w:rsid w:val="00257DC6"/>
    <w:rsid w:val="00260C03"/>
    <w:rsid w:val="0026335B"/>
    <w:rsid w:val="00263CD7"/>
    <w:rsid w:val="00263E84"/>
    <w:rsid w:val="00263ECD"/>
    <w:rsid w:val="00263FB1"/>
    <w:rsid w:val="002653C8"/>
    <w:rsid w:val="0026540E"/>
    <w:rsid w:val="002664F2"/>
    <w:rsid w:val="00266F9A"/>
    <w:rsid w:val="002722D7"/>
    <w:rsid w:val="00272E5E"/>
    <w:rsid w:val="002731EC"/>
    <w:rsid w:val="00275123"/>
    <w:rsid w:val="00275EBD"/>
    <w:rsid w:val="00277665"/>
    <w:rsid w:val="00280701"/>
    <w:rsid w:val="00280A33"/>
    <w:rsid w:val="002814D0"/>
    <w:rsid w:val="00282240"/>
    <w:rsid w:val="00283C5C"/>
    <w:rsid w:val="00286F49"/>
    <w:rsid w:val="00287B63"/>
    <w:rsid w:val="00292FCA"/>
    <w:rsid w:val="00293D1A"/>
    <w:rsid w:val="002948AD"/>
    <w:rsid w:val="0029574E"/>
    <w:rsid w:val="00297833"/>
    <w:rsid w:val="002979B8"/>
    <w:rsid w:val="002A01CC"/>
    <w:rsid w:val="002A1B37"/>
    <w:rsid w:val="002A3024"/>
    <w:rsid w:val="002A4198"/>
    <w:rsid w:val="002A4D0F"/>
    <w:rsid w:val="002A599A"/>
    <w:rsid w:val="002A5BAF"/>
    <w:rsid w:val="002A61B1"/>
    <w:rsid w:val="002A6419"/>
    <w:rsid w:val="002A663C"/>
    <w:rsid w:val="002A7B3F"/>
    <w:rsid w:val="002B0DF0"/>
    <w:rsid w:val="002B100B"/>
    <w:rsid w:val="002B444B"/>
    <w:rsid w:val="002B5887"/>
    <w:rsid w:val="002B70F8"/>
    <w:rsid w:val="002B78B8"/>
    <w:rsid w:val="002B7D98"/>
    <w:rsid w:val="002C0D81"/>
    <w:rsid w:val="002C0E27"/>
    <w:rsid w:val="002C1D0B"/>
    <w:rsid w:val="002C3040"/>
    <w:rsid w:val="002C4188"/>
    <w:rsid w:val="002C55C9"/>
    <w:rsid w:val="002C7A98"/>
    <w:rsid w:val="002D022D"/>
    <w:rsid w:val="002D1393"/>
    <w:rsid w:val="002D221A"/>
    <w:rsid w:val="002D24BB"/>
    <w:rsid w:val="002D2889"/>
    <w:rsid w:val="002D346F"/>
    <w:rsid w:val="002D35E9"/>
    <w:rsid w:val="002E044C"/>
    <w:rsid w:val="002E334A"/>
    <w:rsid w:val="002E4376"/>
    <w:rsid w:val="002E474B"/>
    <w:rsid w:val="002E4D6F"/>
    <w:rsid w:val="002E52D2"/>
    <w:rsid w:val="002E55E2"/>
    <w:rsid w:val="002E5FF4"/>
    <w:rsid w:val="002E77DC"/>
    <w:rsid w:val="002E7D43"/>
    <w:rsid w:val="002F00F3"/>
    <w:rsid w:val="002F0AB3"/>
    <w:rsid w:val="002F10DE"/>
    <w:rsid w:val="002F139F"/>
    <w:rsid w:val="002F17CA"/>
    <w:rsid w:val="002F2731"/>
    <w:rsid w:val="002F2AF7"/>
    <w:rsid w:val="002F4F76"/>
    <w:rsid w:val="002F69CB"/>
    <w:rsid w:val="002F7C47"/>
    <w:rsid w:val="002F7E1C"/>
    <w:rsid w:val="00300616"/>
    <w:rsid w:val="003008E9"/>
    <w:rsid w:val="00300C0C"/>
    <w:rsid w:val="00300CE4"/>
    <w:rsid w:val="00300D2E"/>
    <w:rsid w:val="003015B5"/>
    <w:rsid w:val="00301A75"/>
    <w:rsid w:val="00302455"/>
    <w:rsid w:val="00302F70"/>
    <w:rsid w:val="0030336F"/>
    <w:rsid w:val="0030375E"/>
    <w:rsid w:val="00303883"/>
    <w:rsid w:val="00303C14"/>
    <w:rsid w:val="0030431E"/>
    <w:rsid w:val="00304E1E"/>
    <w:rsid w:val="00306DFF"/>
    <w:rsid w:val="00310D93"/>
    <w:rsid w:val="00311757"/>
    <w:rsid w:val="003128D4"/>
    <w:rsid w:val="00312A30"/>
    <w:rsid w:val="00312F86"/>
    <w:rsid w:val="00312F8D"/>
    <w:rsid w:val="00315F97"/>
    <w:rsid w:val="00315FB8"/>
    <w:rsid w:val="003160A8"/>
    <w:rsid w:val="00317F4D"/>
    <w:rsid w:val="00320F72"/>
    <w:rsid w:val="00321A04"/>
    <w:rsid w:val="003238A9"/>
    <w:rsid w:val="0032463E"/>
    <w:rsid w:val="003249B0"/>
    <w:rsid w:val="0032525C"/>
    <w:rsid w:val="00325443"/>
    <w:rsid w:val="00325462"/>
    <w:rsid w:val="00326224"/>
    <w:rsid w:val="003262D7"/>
    <w:rsid w:val="0032648A"/>
    <w:rsid w:val="0032657B"/>
    <w:rsid w:val="00326CA0"/>
    <w:rsid w:val="00327220"/>
    <w:rsid w:val="003273B2"/>
    <w:rsid w:val="00327EB5"/>
    <w:rsid w:val="00332912"/>
    <w:rsid w:val="00332D57"/>
    <w:rsid w:val="00334E38"/>
    <w:rsid w:val="00337EE4"/>
    <w:rsid w:val="00340102"/>
    <w:rsid w:val="00340676"/>
    <w:rsid w:val="00340FFD"/>
    <w:rsid w:val="0034458F"/>
    <w:rsid w:val="00345E49"/>
    <w:rsid w:val="00345F08"/>
    <w:rsid w:val="00347B85"/>
    <w:rsid w:val="003506B1"/>
    <w:rsid w:val="00351784"/>
    <w:rsid w:val="00351FDA"/>
    <w:rsid w:val="00352369"/>
    <w:rsid w:val="003525D8"/>
    <w:rsid w:val="003539C4"/>
    <w:rsid w:val="0035438D"/>
    <w:rsid w:val="00355CC8"/>
    <w:rsid w:val="0035669C"/>
    <w:rsid w:val="00356AC7"/>
    <w:rsid w:val="0036009B"/>
    <w:rsid w:val="00360270"/>
    <w:rsid w:val="003609FA"/>
    <w:rsid w:val="00361CB4"/>
    <w:rsid w:val="0036332B"/>
    <w:rsid w:val="00364670"/>
    <w:rsid w:val="003655AB"/>
    <w:rsid w:val="0036574A"/>
    <w:rsid w:val="00365F69"/>
    <w:rsid w:val="00367EEF"/>
    <w:rsid w:val="003710C8"/>
    <w:rsid w:val="003710E0"/>
    <w:rsid w:val="00371AE7"/>
    <w:rsid w:val="00371FC7"/>
    <w:rsid w:val="00374165"/>
    <w:rsid w:val="003750BE"/>
    <w:rsid w:val="00375242"/>
    <w:rsid w:val="0037585D"/>
    <w:rsid w:val="00376B89"/>
    <w:rsid w:val="00376CF2"/>
    <w:rsid w:val="00376F63"/>
    <w:rsid w:val="00380039"/>
    <w:rsid w:val="003802D6"/>
    <w:rsid w:val="00380373"/>
    <w:rsid w:val="00380F1C"/>
    <w:rsid w:val="0038143B"/>
    <w:rsid w:val="00383A95"/>
    <w:rsid w:val="003843ED"/>
    <w:rsid w:val="00384A15"/>
    <w:rsid w:val="00385CF3"/>
    <w:rsid w:val="00387B9D"/>
    <w:rsid w:val="00390A85"/>
    <w:rsid w:val="00391C6F"/>
    <w:rsid w:val="00392A2A"/>
    <w:rsid w:val="0039346C"/>
    <w:rsid w:val="0039364F"/>
    <w:rsid w:val="003936E4"/>
    <w:rsid w:val="00393DDD"/>
    <w:rsid w:val="00394F47"/>
    <w:rsid w:val="003960B8"/>
    <w:rsid w:val="00396686"/>
    <w:rsid w:val="00396EB2"/>
    <w:rsid w:val="0039778E"/>
    <w:rsid w:val="003977E0"/>
    <w:rsid w:val="00397C49"/>
    <w:rsid w:val="003A0F0C"/>
    <w:rsid w:val="003A18FF"/>
    <w:rsid w:val="003A297C"/>
    <w:rsid w:val="003A2A23"/>
    <w:rsid w:val="003A3989"/>
    <w:rsid w:val="003A5DC1"/>
    <w:rsid w:val="003B070E"/>
    <w:rsid w:val="003B2418"/>
    <w:rsid w:val="003B4941"/>
    <w:rsid w:val="003B5308"/>
    <w:rsid w:val="003B7D11"/>
    <w:rsid w:val="003C1B6E"/>
    <w:rsid w:val="003C21B1"/>
    <w:rsid w:val="003C32B5"/>
    <w:rsid w:val="003C3D56"/>
    <w:rsid w:val="003C557B"/>
    <w:rsid w:val="003C5714"/>
    <w:rsid w:val="003C668A"/>
    <w:rsid w:val="003C6B9F"/>
    <w:rsid w:val="003C6E2A"/>
    <w:rsid w:val="003D0299"/>
    <w:rsid w:val="003D0EEA"/>
    <w:rsid w:val="003D1092"/>
    <w:rsid w:val="003D3527"/>
    <w:rsid w:val="003D7A7E"/>
    <w:rsid w:val="003E14D9"/>
    <w:rsid w:val="003E2ECA"/>
    <w:rsid w:val="003E4AD4"/>
    <w:rsid w:val="003E4EEE"/>
    <w:rsid w:val="003E6D80"/>
    <w:rsid w:val="003F05FA"/>
    <w:rsid w:val="003F06B4"/>
    <w:rsid w:val="003F2095"/>
    <w:rsid w:val="003F244A"/>
    <w:rsid w:val="003F2C1D"/>
    <w:rsid w:val="003F30B8"/>
    <w:rsid w:val="003F3E58"/>
    <w:rsid w:val="003F3E89"/>
    <w:rsid w:val="003F4C45"/>
    <w:rsid w:val="003F5BFB"/>
    <w:rsid w:val="003F5CEF"/>
    <w:rsid w:val="003F5F57"/>
    <w:rsid w:val="003F5F7B"/>
    <w:rsid w:val="003F5F9C"/>
    <w:rsid w:val="003F67ED"/>
    <w:rsid w:val="003F6852"/>
    <w:rsid w:val="003F7D64"/>
    <w:rsid w:val="00401C13"/>
    <w:rsid w:val="00403395"/>
    <w:rsid w:val="00404258"/>
    <w:rsid w:val="004043EC"/>
    <w:rsid w:val="00406E32"/>
    <w:rsid w:val="004105E5"/>
    <w:rsid w:val="0041212D"/>
    <w:rsid w:val="00412D92"/>
    <w:rsid w:val="004133C2"/>
    <w:rsid w:val="0041344C"/>
    <w:rsid w:val="0041357E"/>
    <w:rsid w:val="00414200"/>
    <w:rsid w:val="00414300"/>
    <w:rsid w:val="0041663E"/>
    <w:rsid w:val="00416E27"/>
    <w:rsid w:val="00416EDD"/>
    <w:rsid w:val="004219C3"/>
    <w:rsid w:val="00422E7E"/>
    <w:rsid w:val="00424507"/>
    <w:rsid w:val="00425C67"/>
    <w:rsid w:val="00426ADE"/>
    <w:rsid w:val="0042774F"/>
    <w:rsid w:val="00427E5B"/>
    <w:rsid w:val="00427E7A"/>
    <w:rsid w:val="00431456"/>
    <w:rsid w:val="004323C9"/>
    <w:rsid w:val="00432576"/>
    <w:rsid w:val="00433835"/>
    <w:rsid w:val="00435850"/>
    <w:rsid w:val="00435A08"/>
    <w:rsid w:val="00436C49"/>
    <w:rsid w:val="004379E6"/>
    <w:rsid w:val="00441144"/>
    <w:rsid w:val="00442973"/>
    <w:rsid w:val="0044311E"/>
    <w:rsid w:val="00444EC1"/>
    <w:rsid w:val="00445366"/>
    <w:rsid w:val="0044589E"/>
    <w:rsid w:val="004465FC"/>
    <w:rsid w:val="00447C27"/>
    <w:rsid w:val="00447F5B"/>
    <w:rsid w:val="004500F9"/>
    <w:rsid w:val="00452109"/>
    <w:rsid w:val="0045279F"/>
    <w:rsid w:val="00453783"/>
    <w:rsid w:val="0045563C"/>
    <w:rsid w:val="0045568E"/>
    <w:rsid w:val="004570EF"/>
    <w:rsid w:val="004578AF"/>
    <w:rsid w:val="00457908"/>
    <w:rsid w:val="0046066D"/>
    <w:rsid w:val="004608A9"/>
    <w:rsid w:val="00461DB0"/>
    <w:rsid w:val="004624FD"/>
    <w:rsid w:val="00463158"/>
    <w:rsid w:val="00463926"/>
    <w:rsid w:val="00464C9A"/>
    <w:rsid w:val="004656FD"/>
    <w:rsid w:val="00470B24"/>
    <w:rsid w:val="00472FC5"/>
    <w:rsid w:val="0047396B"/>
    <w:rsid w:val="00473E56"/>
    <w:rsid w:val="00474F3D"/>
    <w:rsid w:val="0047642A"/>
    <w:rsid w:val="00477E3A"/>
    <w:rsid w:val="00480A9F"/>
    <w:rsid w:val="00481666"/>
    <w:rsid w:val="00481E02"/>
    <w:rsid w:val="004825CF"/>
    <w:rsid w:val="0048293D"/>
    <w:rsid w:val="00482D69"/>
    <w:rsid w:val="00483E5F"/>
    <w:rsid w:val="00484367"/>
    <w:rsid w:val="00485676"/>
    <w:rsid w:val="00485FF9"/>
    <w:rsid w:val="0048606B"/>
    <w:rsid w:val="00486B36"/>
    <w:rsid w:val="0048771A"/>
    <w:rsid w:val="004879DB"/>
    <w:rsid w:val="004907A9"/>
    <w:rsid w:val="004907F0"/>
    <w:rsid w:val="00490DA6"/>
    <w:rsid w:val="0049140B"/>
    <w:rsid w:val="00491429"/>
    <w:rsid w:val="00491F3E"/>
    <w:rsid w:val="004923A5"/>
    <w:rsid w:val="00493C8F"/>
    <w:rsid w:val="004946CD"/>
    <w:rsid w:val="004957EE"/>
    <w:rsid w:val="004964C8"/>
    <w:rsid w:val="00496BFB"/>
    <w:rsid w:val="004A0312"/>
    <w:rsid w:val="004A121C"/>
    <w:rsid w:val="004A15C7"/>
    <w:rsid w:val="004A168D"/>
    <w:rsid w:val="004A43D8"/>
    <w:rsid w:val="004A7AEF"/>
    <w:rsid w:val="004B013B"/>
    <w:rsid w:val="004B112B"/>
    <w:rsid w:val="004B164B"/>
    <w:rsid w:val="004B26CF"/>
    <w:rsid w:val="004B51B2"/>
    <w:rsid w:val="004B52A3"/>
    <w:rsid w:val="004B5A79"/>
    <w:rsid w:val="004B69BA"/>
    <w:rsid w:val="004C01E4"/>
    <w:rsid w:val="004C05DB"/>
    <w:rsid w:val="004C05E2"/>
    <w:rsid w:val="004C086C"/>
    <w:rsid w:val="004C0D93"/>
    <w:rsid w:val="004C14D1"/>
    <w:rsid w:val="004C1F56"/>
    <w:rsid w:val="004C27BC"/>
    <w:rsid w:val="004C41F1"/>
    <w:rsid w:val="004C50CE"/>
    <w:rsid w:val="004C50D2"/>
    <w:rsid w:val="004C5AEF"/>
    <w:rsid w:val="004C5FAB"/>
    <w:rsid w:val="004C6C2B"/>
    <w:rsid w:val="004C7C41"/>
    <w:rsid w:val="004D0F17"/>
    <w:rsid w:val="004D15F3"/>
    <w:rsid w:val="004D1B68"/>
    <w:rsid w:val="004D1EF5"/>
    <w:rsid w:val="004D5311"/>
    <w:rsid w:val="004D5DBD"/>
    <w:rsid w:val="004D5DCC"/>
    <w:rsid w:val="004D6B6B"/>
    <w:rsid w:val="004D6FF7"/>
    <w:rsid w:val="004D7361"/>
    <w:rsid w:val="004E0B07"/>
    <w:rsid w:val="004E1629"/>
    <w:rsid w:val="004E18EA"/>
    <w:rsid w:val="004E25ED"/>
    <w:rsid w:val="004E7437"/>
    <w:rsid w:val="004F0F7E"/>
    <w:rsid w:val="004F10AF"/>
    <w:rsid w:val="004F11A4"/>
    <w:rsid w:val="004F11F2"/>
    <w:rsid w:val="004F1CDD"/>
    <w:rsid w:val="004F2389"/>
    <w:rsid w:val="004F304D"/>
    <w:rsid w:val="004F34A1"/>
    <w:rsid w:val="004F37C7"/>
    <w:rsid w:val="004F3D0C"/>
    <w:rsid w:val="004F4435"/>
    <w:rsid w:val="004F5124"/>
    <w:rsid w:val="004F61BE"/>
    <w:rsid w:val="004F66B1"/>
    <w:rsid w:val="004F70B3"/>
    <w:rsid w:val="00500EE2"/>
    <w:rsid w:val="00502858"/>
    <w:rsid w:val="0050363F"/>
    <w:rsid w:val="005038CC"/>
    <w:rsid w:val="00504371"/>
    <w:rsid w:val="00505EBC"/>
    <w:rsid w:val="00506CFF"/>
    <w:rsid w:val="00506D47"/>
    <w:rsid w:val="00507E90"/>
    <w:rsid w:val="00507ED7"/>
    <w:rsid w:val="0051029F"/>
    <w:rsid w:val="005114C2"/>
    <w:rsid w:val="00511C07"/>
    <w:rsid w:val="00512D7B"/>
    <w:rsid w:val="00514786"/>
    <w:rsid w:val="00515BA4"/>
    <w:rsid w:val="0051606A"/>
    <w:rsid w:val="00516C85"/>
    <w:rsid w:val="005173A6"/>
    <w:rsid w:val="00520BAA"/>
    <w:rsid w:val="00520BB0"/>
    <w:rsid w:val="00521718"/>
    <w:rsid w:val="00523C6A"/>
    <w:rsid w:val="0052419E"/>
    <w:rsid w:val="00525208"/>
    <w:rsid w:val="005257A5"/>
    <w:rsid w:val="00525FFB"/>
    <w:rsid w:val="005264C0"/>
    <w:rsid w:val="00526777"/>
    <w:rsid w:val="00526A8A"/>
    <w:rsid w:val="005270A4"/>
    <w:rsid w:val="00527AF3"/>
    <w:rsid w:val="005301C4"/>
    <w:rsid w:val="00531DF2"/>
    <w:rsid w:val="005338D4"/>
    <w:rsid w:val="00541C57"/>
    <w:rsid w:val="00541F00"/>
    <w:rsid w:val="00543A50"/>
    <w:rsid w:val="00543CB1"/>
    <w:rsid w:val="005442EE"/>
    <w:rsid w:val="00546A3A"/>
    <w:rsid w:val="00547353"/>
    <w:rsid w:val="005474E7"/>
    <w:rsid w:val="00550975"/>
    <w:rsid w:val="005512A3"/>
    <w:rsid w:val="005519DA"/>
    <w:rsid w:val="00551B88"/>
    <w:rsid w:val="00551C65"/>
    <w:rsid w:val="005539BF"/>
    <w:rsid w:val="00553B85"/>
    <w:rsid w:val="005558BF"/>
    <w:rsid w:val="0055689A"/>
    <w:rsid w:val="005578CE"/>
    <w:rsid w:val="005607CD"/>
    <w:rsid w:val="00561B21"/>
    <w:rsid w:val="0056257C"/>
    <w:rsid w:val="00562781"/>
    <w:rsid w:val="005629DC"/>
    <w:rsid w:val="00564731"/>
    <w:rsid w:val="00565B7D"/>
    <w:rsid w:val="00566700"/>
    <w:rsid w:val="00566FC7"/>
    <w:rsid w:val="00567411"/>
    <w:rsid w:val="00570232"/>
    <w:rsid w:val="005705B4"/>
    <w:rsid w:val="0057271C"/>
    <w:rsid w:val="00572845"/>
    <w:rsid w:val="00572F7D"/>
    <w:rsid w:val="005730C6"/>
    <w:rsid w:val="00573BB1"/>
    <w:rsid w:val="00573E9C"/>
    <w:rsid w:val="00576A16"/>
    <w:rsid w:val="0058277B"/>
    <w:rsid w:val="00582B40"/>
    <w:rsid w:val="00582D92"/>
    <w:rsid w:val="00583A38"/>
    <w:rsid w:val="00583CAB"/>
    <w:rsid w:val="00584629"/>
    <w:rsid w:val="00584D30"/>
    <w:rsid w:val="005859EE"/>
    <w:rsid w:val="005861E9"/>
    <w:rsid w:val="00586A99"/>
    <w:rsid w:val="00587928"/>
    <w:rsid w:val="005904C3"/>
    <w:rsid w:val="00590E07"/>
    <w:rsid w:val="00591014"/>
    <w:rsid w:val="00591041"/>
    <w:rsid w:val="00591414"/>
    <w:rsid w:val="005919AB"/>
    <w:rsid w:val="00591FAD"/>
    <w:rsid w:val="00592772"/>
    <w:rsid w:val="005928E1"/>
    <w:rsid w:val="00592D93"/>
    <w:rsid w:val="00592FCC"/>
    <w:rsid w:val="0059362A"/>
    <w:rsid w:val="00594A48"/>
    <w:rsid w:val="0059574A"/>
    <w:rsid w:val="00597341"/>
    <w:rsid w:val="00597ACA"/>
    <w:rsid w:val="005A00B6"/>
    <w:rsid w:val="005A1A44"/>
    <w:rsid w:val="005A1B9B"/>
    <w:rsid w:val="005A2FC7"/>
    <w:rsid w:val="005A4807"/>
    <w:rsid w:val="005A4C60"/>
    <w:rsid w:val="005A55FB"/>
    <w:rsid w:val="005A6751"/>
    <w:rsid w:val="005B092E"/>
    <w:rsid w:val="005B0ECF"/>
    <w:rsid w:val="005B0EF0"/>
    <w:rsid w:val="005B152C"/>
    <w:rsid w:val="005B1EE0"/>
    <w:rsid w:val="005B2B24"/>
    <w:rsid w:val="005B3C24"/>
    <w:rsid w:val="005B4425"/>
    <w:rsid w:val="005B4B94"/>
    <w:rsid w:val="005B663F"/>
    <w:rsid w:val="005B7C62"/>
    <w:rsid w:val="005C1657"/>
    <w:rsid w:val="005C1C5D"/>
    <w:rsid w:val="005C2033"/>
    <w:rsid w:val="005C3EE8"/>
    <w:rsid w:val="005C43B3"/>
    <w:rsid w:val="005C4B18"/>
    <w:rsid w:val="005C596F"/>
    <w:rsid w:val="005C5F24"/>
    <w:rsid w:val="005C6469"/>
    <w:rsid w:val="005D0596"/>
    <w:rsid w:val="005D0CA6"/>
    <w:rsid w:val="005D0FE1"/>
    <w:rsid w:val="005D285A"/>
    <w:rsid w:val="005D30EF"/>
    <w:rsid w:val="005D34F9"/>
    <w:rsid w:val="005D35D6"/>
    <w:rsid w:val="005D36E7"/>
    <w:rsid w:val="005D4190"/>
    <w:rsid w:val="005D4B66"/>
    <w:rsid w:val="005D4C6C"/>
    <w:rsid w:val="005D522F"/>
    <w:rsid w:val="005D5CC1"/>
    <w:rsid w:val="005D67A3"/>
    <w:rsid w:val="005D683D"/>
    <w:rsid w:val="005D6E66"/>
    <w:rsid w:val="005E1018"/>
    <w:rsid w:val="005E137E"/>
    <w:rsid w:val="005E2988"/>
    <w:rsid w:val="005E2E91"/>
    <w:rsid w:val="005E3085"/>
    <w:rsid w:val="005E333C"/>
    <w:rsid w:val="005E4DFB"/>
    <w:rsid w:val="005E741F"/>
    <w:rsid w:val="005E777D"/>
    <w:rsid w:val="005F2DC6"/>
    <w:rsid w:val="005F2E15"/>
    <w:rsid w:val="005F3544"/>
    <w:rsid w:val="005F3824"/>
    <w:rsid w:val="005F505D"/>
    <w:rsid w:val="005F51E1"/>
    <w:rsid w:val="005F758C"/>
    <w:rsid w:val="005F7D11"/>
    <w:rsid w:val="005F7FE9"/>
    <w:rsid w:val="00600311"/>
    <w:rsid w:val="00603A4E"/>
    <w:rsid w:val="00604C7A"/>
    <w:rsid w:val="00605A77"/>
    <w:rsid w:val="006070CB"/>
    <w:rsid w:val="00607807"/>
    <w:rsid w:val="006118CA"/>
    <w:rsid w:val="00611C80"/>
    <w:rsid w:val="00612D84"/>
    <w:rsid w:val="00614F62"/>
    <w:rsid w:val="00617B32"/>
    <w:rsid w:val="00620692"/>
    <w:rsid w:val="00620878"/>
    <w:rsid w:val="006242CA"/>
    <w:rsid w:val="0062442A"/>
    <w:rsid w:val="00624E3D"/>
    <w:rsid w:val="00625C6A"/>
    <w:rsid w:val="00627507"/>
    <w:rsid w:val="0062754B"/>
    <w:rsid w:val="006301F8"/>
    <w:rsid w:val="0063021D"/>
    <w:rsid w:val="00631DC8"/>
    <w:rsid w:val="00633717"/>
    <w:rsid w:val="006344E1"/>
    <w:rsid w:val="00635E26"/>
    <w:rsid w:val="00636078"/>
    <w:rsid w:val="006362F9"/>
    <w:rsid w:val="00636922"/>
    <w:rsid w:val="00636BDA"/>
    <w:rsid w:val="00640982"/>
    <w:rsid w:val="0064217D"/>
    <w:rsid w:val="00643012"/>
    <w:rsid w:val="0064317E"/>
    <w:rsid w:val="0064477D"/>
    <w:rsid w:val="00644949"/>
    <w:rsid w:val="00646892"/>
    <w:rsid w:val="00647AC1"/>
    <w:rsid w:val="00650744"/>
    <w:rsid w:val="006538BA"/>
    <w:rsid w:val="006545C4"/>
    <w:rsid w:val="00654E9D"/>
    <w:rsid w:val="006566BD"/>
    <w:rsid w:val="00661971"/>
    <w:rsid w:val="00661CE8"/>
    <w:rsid w:val="006623D9"/>
    <w:rsid w:val="00662FA3"/>
    <w:rsid w:val="006640B3"/>
    <w:rsid w:val="00664B5A"/>
    <w:rsid w:val="0066550C"/>
    <w:rsid w:val="00665844"/>
    <w:rsid w:val="00665BEE"/>
    <w:rsid w:val="0066649C"/>
    <w:rsid w:val="0066753C"/>
    <w:rsid w:val="00670536"/>
    <w:rsid w:val="00671056"/>
    <w:rsid w:val="006716F2"/>
    <w:rsid w:val="00674B2F"/>
    <w:rsid w:val="006754B2"/>
    <w:rsid w:val="00676CC6"/>
    <w:rsid w:val="00681605"/>
    <w:rsid w:val="006818B8"/>
    <w:rsid w:val="00682BF2"/>
    <w:rsid w:val="00683948"/>
    <w:rsid w:val="00684E09"/>
    <w:rsid w:val="00685218"/>
    <w:rsid w:val="006859CE"/>
    <w:rsid w:val="00685E82"/>
    <w:rsid w:val="00686ED2"/>
    <w:rsid w:val="006874F7"/>
    <w:rsid w:val="00691270"/>
    <w:rsid w:val="00691534"/>
    <w:rsid w:val="0069277C"/>
    <w:rsid w:val="00693C23"/>
    <w:rsid w:val="006946B2"/>
    <w:rsid w:val="00694BA8"/>
    <w:rsid w:val="00695FF5"/>
    <w:rsid w:val="0069614B"/>
    <w:rsid w:val="006A037C"/>
    <w:rsid w:val="006A36F4"/>
    <w:rsid w:val="006A406F"/>
    <w:rsid w:val="006A4AF8"/>
    <w:rsid w:val="006A5479"/>
    <w:rsid w:val="006A5856"/>
    <w:rsid w:val="006A5D3A"/>
    <w:rsid w:val="006A5D66"/>
    <w:rsid w:val="006A7053"/>
    <w:rsid w:val="006B021C"/>
    <w:rsid w:val="006B024B"/>
    <w:rsid w:val="006B17FA"/>
    <w:rsid w:val="006B1B9A"/>
    <w:rsid w:val="006B26D9"/>
    <w:rsid w:val="006B2773"/>
    <w:rsid w:val="006B30A2"/>
    <w:rsid w:val="006B36FE"/>
    <w:rsid w:val="006B5395"/>
    <w:rsid w:val="006B6993"/>
    <w:rsid w:val="006B6D1F"/>
    <w:rsid w:val="006B749F"/>
    <w:rsid w:val="006B7C93"/>
    <w:rsid w:val="006C01D5"/>
    <w:rsid w:val="006C0B0C"/>
    <w:rsid w:val="006C0DCF"/>
    <w:rsid w:val="006C23D4"/>
    <w:rsid w:val="006C2E3F"/>
    <w:rsid w:val="006C39CC"/>
    <w:rsid w:val="006C5CB9"/>
    <w:rsid w:val="006C6BDF"/>
    <w:rsid w:val="006C7BB0"/>
    <w:rsid w:val="006D022C"/>
    <w:rsid w:val="006D028D"/>
    <w:rsid w:val="006D0DA6"/>
    <w:rsid w:val="006D1699"/>
    <w:rsid w:val="006D21B1"/>
    <w:rsid w:val="006D3237"/>
    <w:rsid w:val="006D3E0B"/>
    <w:rsid w:val="006D4D2D"/>
    <w:rsid w:val="006D6749"/>
    <w:rsid w:val="006E02AD"/>
    <w:rsid w:val="006E0676"/>
    <w:rsid w:val="006E1A32"/>
    <w:rsid w:val="006E2E37"/>
    <w:rsid w:val="006E379D"/>
    <w:rsid w:val="006E3CF1"/>
    <w:rsid w:val="006E42D9"/>
    <w:rsid w:val="006E7E80"/>
    <w:rsid w:val="006F396C"/>
    <w:rsid w:val="006F3A80"/>
    <w:rsid w:val="006F451E"/>
    <w:rsid w:val="006F48CA"/>
    <w:rsid w:val="006F4D0F"/>
    <w:rsid w:val="006F64DD"/>
    <w:rsid w:val="006F6664"/>
    <w:rsid w:val="006F6DE3"/>
    <w:rsid w:val="006F6DEE"/>
    <w:rsid w:val="0070049C"/>
    <w:rsid w:val="00701C0B"/>
    <w:rsid w:val="007025DD"/>
    <w:rsid w:val="00703BC1"/>
    <w:rsid w:val="00703D39"/>
    <w:rsid w:val="007103DC"/>
    <w:rsid w:val="00710D73"/>
    <w:rsid w:val="007111E2"/>
    <w:rsid w:val="00715127"/>
    <w:rsid w:val="00715B92"/>
    <w:rsid w:val="00715E8E"/>
    <w:rsid w:val="00716ACF"/>
    <w:rsid w:val="007173E7"/>
    <w:rsid w:val="00717C2E"/>
    <w:rsid w:val="0072006B"/>
    <w:rsid w:val="007210FA"/>
    <w:rsid w:val="00722D6D"/>
    <w:rsid w:val="00723580"/>
    <w:rsid w:val="00723755"/>
    <w:rsid w:val="007247DA"/>
    <w:rsid w:val="007258E2"/>
    <w:rsid w:val="00726065"/>
    <w:rsid w:val="0072778D"/>
    <w:rsid w:val="00727AFA"/>
    <w:rsid w:val="007308B0"/>
    <w:rsid w:val="00730FF3"/>
    <w:rsid w:val="0073136C"/>
    <w:rsid w:val="00731564"/>
    <w:rsid w:val="00731CCC"/>
    <w:rsid w:val="00731F0F"/>
    <w:rsid w:val="00733250"/>
    <w:rsid w:val="0073458C"/>
    <w:rsid w:val="007353CB"/>
    <w:rsid w:val="007356FD"/>
    <w:rsid w:val="007362CB"/>
    <w:rsid w:val="00737218"/>
    <w:rsid w:val="00737908"/>
    <w:rsid w:val="00737C51"/>
    <w:rsid w:val="00740216"/>
    <w:rsid w:val="00741404"/>
    <w:rsid w:val="0074249D"/>
    <w:rsid w:val="00742F31"/>
    <w:rsid w:val="00744296"/>
    <w:rsid w:val="007449E5"/>
    <w:rsid w:val="00745483"/>
    <w:rsid w:val="007477A1"/>
    <w:rsid w:val="00747FF0"/>
    <w:rsid w:val="00751B74"/>
    <w:rsid w:val="00752551"/>
    <w:rsid w:val="00753331"/>
    <w:rsid w:val="00755240"/>
    <w:rsid w:val="0075563D"/>
    <w:rsid w:val="00757C0E"/>
    <w:rsid w:val="00760C8E"/>
    <w:rsid w:val="0076144D"/>
    <w:rsid w:val="007617B0"/>
    <w:rsid w:val="007620F4"/>
    <w:rsid w:val="00762CFE"/>
    <w:rsid w:val="00762D2B"/>
    <w:rsid w:val="00763EDC"/>
    <w:rsid w:val="007641F3"/>
    <w:rsid w:val="00764D4E"/>
    <w:rsid w:val="00765A1F"/>
    <w:rsid w:val="00766A59"/>
    <w:rsid w:val="00766AC4"/>
    <w:rsid w:val="00767464"/>
    <w:rsid w:val="00770C8C"/>
    <w:rsid w:val="00772F6F"/>
    <w:rsid w:val="00775682"/>
    <w:rsid w:val="00775B6D"/>
    <w:rsid w:val="00776D68"/>
    <w:rsid w:val="00781430"/>
    <w:rsid w:val="0078268D"/>
    <w:rsid w:val="007827B5"/>
    <w:rsid w:val="0078291F"/>
    <w:rsid w:val="007850EE"/>
    <w:rsid w:val="00785A02"/>
    <w:rsid w:val="00785B95"/>
    <w:rsid w:val="007867BE"/>
    <w:rsid w:val="00786A9C"/>
    <w:rsid w:val="00786AB1"/>
    <w:rsid w:val="00787FB0"/>
    <w:rsid w:val="00790B0F"/>
    <w:rsid w:val="00790E96"/>
    <w:rsid w:val="007911B8"/>
    <w:rsid w:val="007931E9"/>
    <w:rsid w:val="00793366"/>
    <w:rsid w:val="007934F5"/>
    <w:rsid w:val="00795A6B"/>
    <w:rsid w:val="00795BB8"/>
    <w:rsid w:val="007A0F81"/>
    <w:rsid w:val="007A1A27"/>
    <w:rsid w:val="007A4132"/>
    <w:rsid w:val="007A5423"/>
    <w:rsid w:val="007A5C47"/>
    <w:rsid w:val="007A716F"/>
    <w:rsid w:val="007A79A1"/>
    <w:rsid w:val="007A7F2D"/>
    <w:rsid w:val="007B184C"/>
    <w:rsid w:val="007B270A"/>
    <w:rsid w:val="007B37F8"/>
    <w:rsid w:val="007B39E6"/>
    <w:rsid w:val="007B6535"/>
    <w:rsid w:val="007B6979"/>
    <w:rsid w:val="007B747D"/>
    <w:rsid w:val="007B7E9E"/>
    <w:rsid w:val="007C0695"/>
    <w:rsid w:val="007C2B74"/>
    <w:rsid w:val="007C419A"/>
    <w:rsid w:val="007C4CC8"/>
    <w:rsid w:val="007C4EE8"/>
    <w:rsid w:val="007C5426"/>
    <w:rsid w:val="007C5495"/>
    <w:rsid w:val="007C5798"/>
    <w:rsid w:val="007D00F1"/>
    <w:rsid w:val="007D078F"/>
    <w:rsid w:val="007D2E4E"/>
    <w:rsid w:val="007D4231"/>
    <w:rsid w:val="007D4832"/>
    <w:rsid w:val="007D58ED"/>
    <w:rsid w:val="007D73A1"/>
    <w:rsid w:val="007D7CAD"/>
    <w:rsid w:val="007E008A"/>
    <w:rsid w:val="007E21B2"/>
    <w:rsid w:val="007E2C4E"/>
    <w:rsid w:val="007E4293"/>
    <w:rsid w:val="007E5BE2"/>
    <w:rsid w:val="007E6D89"/>
    <w:rsid w:val="007F1905"/>
    <w:rsid w:val="007F23E3"/>
    <w:rsid w:val="007F3913"/>
    <w:rsid w:val="007F4FD6"/>
    <w:rsid w:val="007F5FC0"/>
    <w:rsid w:val="007F6869"/>
    <w:rsid w:val="007F6B55"/>
    <w:rsid w:val="007F6D5E"/>
    <w:rsid w:val="007F6E38"/>
    <w:rsid w:val="007F731B"/>
    <w:rsid w:val="007F774A"/>
    <w:rsid w:val="007F7D1F"/>
    <w:rsid w:val="00801BE3"/>
    <w:rsid w:val="00801E1A"/>
    <w:rsid w:val="00802BB2"/>
    <w:rsid w:val="00802C64"/>
    <w:rsid w:val="00804E05"/>
    <w:rsid w:val="00805E52"/>
    <w:rsid w:val="008061D0"/>
    <w:rsid w:val="008062C2"/>
    <w:rsid w:val="008071CF"/>
    <w:rsid w:val="00810B38"/>
    <w:rsid w:val="00811018"/>
    <w:rsid w:val="00813AA2"/>
    <w:rsid w:val="008146DF"/>
    <w:rsid w:val="0081517B"/>
    <w:rsid w:val="0081645C"/>
    <w:rsid w:val="008178B4"/>
    <w:rsid w:val="0082033E"/>
    <w:rsid w:val="008204C7"/>
    <w:rsid w:val="00820992"/>
    <w:rsid w:val="00822B02"/>
    <w:rsid w:val="00823602"/>
    <w:rsid w:val="00823646"/>
    <w:rsid w:val="00823B97"/>
    <w:rsid w:val="008255F5"/>
    <w:rsid w:val="0082561B"/>
    <w:rsid w:val="00825648"/>
    <w:rsid w:val="00827A80"/>
    <w:rsid w:val="0083014E"/>
    <w:rsid w:val="008304A4"/>
    <w:rsid w:val="008307A6"/>
    <w:rsid w:val="00830F4F"/>
    <w:rsid w:val="00831852"/>
    <w:rsid w:val="00831B88"/>
    <w:rsid w:val="0083214A"/>
    <w:rsid w:val="00832CE1"/>
    <w:rsid w:val="008338CE"/>
    <w:rsid w:val="00833E8F"/>
    <w:rsid w:val="00834054"/>
    <w:rsid w:val="00834220"/>
    <w:rsid w:val="008350FC"/>
    <w:rsid w:val="00836A5A"/>
    <w:rsid w:val="00837467"/>
    <w:rsid w:val="00841695"/>
    <w:rsid w:val="00841970"/>
    <w:rsid w:val="00842C16"/>
    <w:rsid w:val="00842DD4"/>
    <w:rsid w:val="00844AC6"/>
    <w:rsid w:val="00844F21"/>
    <w:rsid w:val="0084512B"/>
    <w:rsid w:val="008453B0"/>
    <w:rsid w:val="00845723"/>
    <w:rsid w:val="00846D1D"/>
    <w:rsid w:val="00851EF9"/>
    <w:rsid w:val="00854873"/>
    <w:rsid w:val="00854A69"/>
    <w:rsid w:val="00854F59"/>
    <w:rsid w:val="00855D38"/>
    <w:rsid w:val="008561C8"/>
    <w:rsid w:val="008577FD"/>
    <w:rsid w:val="00857C10"/>
    <w:rsid w:val="00857ED7"/>
    <w:rsid w:val="00857F16"/>
    <w:rsid w:val="008605F0"/>
    <w:rsid w:val="00860682"/>
    <w:rsid w:val="00860B03"/>
    <w:rsid w:val="0086107E"/>
    <w:rsid w:val="00861137"/>
    <w:rsid w:val="0086116B"/>
    <w:rsid w:val="0086497A"/>
    <w:rsid w:val="00866C85"/>
    <w:rsid w:val="00867A7F"/>
    <w:rsid w:val="00867C2D"/>
    <w:rsid w:val="00867D0A"/>
    <w:rsid w:val="00870027"/>
    <w:rsid w:val="008713A1"/>
    <w:rsid w:val="00872238"/>
    <w:rsid w:val="008754AB"/>
    <w:rsid w:val="008775EC"/>
    <w:rsid w:val="00877CF0"/>
    <w:rsid w:val="00880550"/>
    <w:rsid w:val="0088060C"/>
    <w:rsid w:val="00885189"/>
    <w:rsid w:val="00890918"/>
    <w:rsid w:val="008931C6"/>
    <w:rsid w:val="00893576"/>
    <w:rsid w:val="00893DB3"/>
    <w:rsid w:val="00893E73"/>
    <w:rsid w:val="00894500"/>
    <w:rsid w:val="00894700"/>
    <w:rsid w:val="0089624E"/>
    <w:rsid w:val="00896BD2"/>
    <w:rsid w:val="0089714B"/>
    <w:rsid w:val="00897648"/>
    <w:rsid w:val="008A1A81"/>
    <w:rsid w:val="008A3836"/>
    <w:rsid w:val="008A4A6F"/>
    <w:rsid w:val="008A4C7E"/>
    <w:rsid w:val="008A62D1"/>
    <w:rsid w:val="008A7595"/>
    <w:rsid w:val="008A779A"/>
    <w:rsid w:val="008B0155"/>
    <w:rsid w:val="008B02DC"/>
    <w:rsid w:val="008B0DF3"/>
    <w:rsid w:val="008B2ABE"/>
    <w:rsid w:val="008B577E"/>
    <w:rsid w:val="008B57CE"/>
    <w:rsid w:val="008B5A9F"/>
    <w:rsid w:val="008B6905"/>
    <w:rsid w:val="008B6937"/>
    <w:rsid w:val="008B7485"/>
    <w:rsid w:val="008B7E4A"/>
    <w:rsid w:val="008C0C72"/>
    <w:rsid w:val="008C125D"/>
    <w:rsid w:val="008C1733"/>
    <w:rsid w:val="008C26DE"/>
    <w:rsid w:val="008C3B0B"/>
    <w:rsid w:val="008C7434"/>
    <w:rsid w:val="008C7672"/>
    <w:rsid w:val="008D2225"/>
    <w:rsid w:val="008D25CA"/>
    <w:rsid w:val="008D35A7"/>
    <w:rsid w:val="008D3946"/>
    <w:rsid w:val="008D4187"/>
    <w:rsid w:val="008D4752"/>
    <w:rsid w:val="008D51D4"/>
    <w:rsid w:val="008E0480"/>
    <w:rsid w:val="008E271C"/>
    <w:rsid w:val="008E3746"/>
    <w:rsid w:val="008E418E"/>
    <w:rsid w:val="008E46A9"/>
    <w:rsid w:val="008E5645"/>
    <w:rsid w:val="008E5BC6"/>
    <w:rsid w:val="008E61C7"/>
    <w:rsid w:val="008E6A25"/>
    <w:rsid w:val="008E6D27"/>
    <w:rsid w:val="008E7756"/>
    <w:rsid w:val="008E793B"/>
    <w:rsid w:val="008E7C1F"/>
    <w:rsid w:val="008F0FAB"/>
    <w:rsid w:val="008F0FC9"/>
    <w:rsid w:val="008F2872"/>
    <w:rsid w:val="008F301B"/>
    <w:rsid w:val="008F5193"/>
    <w:rsid w:val="008F52B4"/>
    <w:rsid w:val="008F52CA"/>
    <w:rsid w:val="008F5CDC"/>
    <w:rsid w:val="008F7C5C"/>
    <w:rsid w:val="009004F5"/>
    <w:rsid w:val="009013A7"/>
    <w:rsid w:val="0090178E"/>
    <w:rsid w:val="009017FB"/>
    <w:rsid w:val="009017FC"/>
    <w:rsid w:val="009031ED"/>
    <w:rsid w:val="00903E50"/>
    <w:rsid w:val="00904331"/>
    <w:rsid w:val="00904654"/>
    <w:rsid w:val="0090506B"/>
    <w:rsid w:val="009050C9"/>
    <w:rsid w:val="00905612"/>
    <w:rsid w:val="009066FC"/>
    <w:rsid w:val="00911E8B"/>
    <w:rsid w:val="009140A3"/>
    <w:rsid w:val="009144A2"/>
    <w:rsid w:val="00915048"/>
    <w:rsid w:val="0091510C"/>
    <w:rsid w:val="009163BF"/>
    <w:rsid w:val="00916867"/>
    <w:rsid w:val="009175AA"/>
    <w:rsid w:val="00921A66"/>
    <w:rsid w:val="00923719"/>
    <w:rsid w:val="00923CDC"/>
    <w:rsid w:val="009259AC"/>
    <w:rsid w:val="00925B07"/>
    <w:rsid w:val="00925EB8"/>
    <w:rsid w:val="00926951"/>
    <w:rsid w:val="00926F38"/>
    <w:rsid w:val="009272C4"/>
    <w:rsid w:val="0093089F"/>
    <w:rsid w:val="00933595"/>
    <w:rsid w:val="00933F45"/>
    <w:rsid w:val="00934301"/>
    <w:rsid w:val="00934737"/>
    <w:rsid w:val="009358B8"/>
    <w:rsid w:val="00935CD0"/>
    <w:rsid w:val="00936573"/>
    <w:rsid w:val="00936BB8"/>
    <w:rsid w:val="00936CD1"/>
    <w:rsid w:val="00936E3C"/>
    <w:rsid w:val="00940B91"/>
    <w:rsid w:val="0094116B"/>
    <w:rsid w:val="0094126D"/>
    <w:rsid w:val="00941747"/>
    <w:rsid w:val="00941D2A"/>
    <w:rsid w:val="00941EFB"/>
    <w:rsid w:val="00943304"/>
    <w:rsid w:val="00945C69"/>
    <w:rsid w:val="0094702D"/>
    <w:rsid w:val="00947AFB"/>
    <w:rsid w:val="00947E4A"/>
    <w:rsid w:val="00951AD5"/>
    <w:rsid w:val="00951D7D"/>
    <w:rsid w:val="009543DA"/>
    <w:rsid w:val="009546E0"/>
    <w:rsid w:val="00956447"/>
    <w:rsid w:val="00956D32"/>
    <w:rsid w:val="00960323"/>
    <w:rsid w:val="00961E91"/>
    <w:rsid w:val="00962406"/>
    <w:rsid w:val="009630C7"/>
    <w:rsid w:val="00964B14"/>
    <w:rsid w:val="00965BF3"/>
    <w:rsid w:val="009667AA"/>
    <w:rsid w:val="00966CB1"/>
    <w:rsid w:val="00966DBD"/>
    <w:rsid w:val="00966EE1"/>
    <w:rsid w:val="009671BB"/>
    <w:rsid w:val="00970514"/>
    <w:rsid w:val="00972B55"/>
    <w:rsid w:val="009743B7"/>
    <w:rsid w:val="00976164"/>
    <w:rsid w:val="009812C6"/>
    <w:rsid w:val="00981B42"/>
    <w:rsid w:val="0098228B"/>
    <w:rsid w:val="009828DA"/>
    <w:rsid w:val="0098493E"/>
    <w:rsid w:val="0098504A"/>
    <w:rsid w:val="00985BAB"/>
    <w:rsid w:val="00985C19"/>
    <w:rsid w:val="00986760"/>
    <w:rsid w:val="00986F19"/>
    <w:rsid w:val="00990CD3"/>
    <w:rsid w:val="00991E2C"/>
    <w:rsid w:val="00992B38"/>
    <w:rsid w:val="00993405"/>
    <w:rsid w:val="00994688"/>
    <w:rsid w:val="00995D73"/>
    <w:rsid w:val="00996192"/>
    <w:rsid w:val="009A0BCE"/>
    <w:rsid w:val="009A26FD"/>
    <w:rsid w:val="009A385E"/>
    <w:rsid w:val="009A3F2B"/>
    <w:rsid w:val="009A4308"/>
    <w:rsid w:val="009A4635"/>
    <w:rsid w:val="009A4FE1"/>
    <w:rsid w:val="009A63EF"/>
    <w:rsid w:val="009A6D2E"/>
    <w:rsid w:val="009A7D3C"/>
    <w:rsid w:val="009B1AC0"/>
    <w:rsid w:val="009B1B5F"/>
    <w:rsid w:val="009B30F4"/>
    <w:rsid w:val="009B4CA1"/>
    <w:rsid w:val="009B6673"/>
    <w:rsid w:val="009B6EC8"/>
    <w:rsid w:val="009B7DAE"/>
    <w:rsid w:val="009B7E2C"/>
    <w:rsid w:val="009C0831"/>
    <w:rsid w:val="009C118B"/>
    <w:rsid w:val="009C1399"/>
    <w:rsid w:val="009C15C7"/>
    <w:rsid w:val="009C1700"/>
    <w:rsid w:val="009C191B"/>
    <w:rsid w:val="009C2174"/>
    <w:rsid w:val="009C2BD6"/>
    <w:rsid w:val="009C40A6"/>
    <w:rsid w:val="009C6956"/>
    <w:rsid w:val="009C745C"/>
    <w:rsid w:val="009D2FAD"/>
    <w:rsid w:val="009D445F"/>
    <w:rsid w:val="009D4B8C"/>
    <w:rsid w:val="009D5FC5"/>
    <w:rsid w:val="009D62F2"/>
    <w:rsid w:val="009D6707"/>
    <w:rsid w:val="009D72AE"/>
    <w:rsid w:val="009E00A7"/>
    <w:rsid w:val="009E0FDA"/>
    <w:rsid w:val="009E1F32"/>
    <w:rsid w:val="009E3602"/>
    <w:rsid w:val="009E5789"/>
    <w:rsid w:val="009E776C"/>
    <w:rsid w:val="009F17E3"/>
    <w:rsid w:val="009F1ED9"/>
    <w:rsid w:val="009F2614"/>
    <w:rsid w:val="00A00B16"/>
    <w:rsid w:val="00A00F13"/>
    <w:rsid w:val="00A01A2A"/>
    <w:rsid w:val="00A01CC3"/>
    <w:rsid w:val="00A03269"/>
    <w:rsid w:val="00A0379E"/>
    <w:rsid w:val="00A03E4B"/>
    <w:rsid w:val="00A05483"/>
    <w:rsid w:val="00A05D2D"/>
    <w:rsid w:val="00A05F5B"/>
    <w:rsid w:val="00A0634D"/>
    <w:rsid w:val="00A0676B"/>
    <w:rsid w:val="00A0722C"/>
    <w:rsid w:val="00A07813"/>
    <w:rsid w:val="00A110CC"/>
    <w:rsid w:val="00A127C7"/>
    <w:rsid w:val="00A13A4E"/>
    <w:rsid w:val="00A13C6B"/>
    <w:rsid w:val="00A1726E"/>
    <w:rsid w:val="00A204CF"/>
    <w:rsid w:val="00A206DF"/>
    <w:rsid w:val="00A20940"/>
    <w:rsid w:val="00A212F9"/>
    <w:rsid w:val="00A21C48"/>
    <w:rsid w:val="00A23771"/>
    <w:rsid w:val="00A23D49"/>
    <w:rsid w:val="00A23EEA"/>
    <w:rsid w:val="00A26415"/>
    <w:rsid w:val="00A27004"/>
    <w:rsid w:val="00A30C29"/>
    <w:rsid w:val="00A3145F"/>
    <w:rsid w:val="00A347FD"/>
    <w:rsid w:val="00A34DD6"/>
    <w:rsid w:val="00A35386"/>
    <w:rsid w:val="00A35C61"/>
    <w:rsid w:val="00A35DF9"/>
    <w:rsid w:val="00A36819"/>
    <w:rsid w:val="00A36989"/>
    <w:rsid w:val="00A36D63"/>
    <w:rsid w:val="00A4083E"/>
    <w:rsid w:val="00A40DD1"/>
    <w:rsid w:val="00A413A1"/>
    <w:rsid w:val="00A41E5B"/>
    <w:rsid w:val="00A4242C"/>
    <w:rsid w:val="00A42AC6"/>
    <w:rsid w:val="00A43628"/>
    <w:rsid w:val="00A45145"/>
    <w:rsid w:val="00A45C1B"/>
    <w:rsid w:val="00A45D08"/>
    <w:rsid w:val="00A4696C"/>
    <w:rsid w:val="00A508F2"/>
    <w:rsid w:val="00A50ADD"/>
    <w:rsid w:val="00A512A3"/>
    <w:rsid w:val="00A52120"/>
    <w:rsid w:val="00A52389"/>
    <w:rsid w:val="00A53154"/>
    <w:rsid w:val="00A539FD"/>
    <w:rsid w:val="00A53BE9"/>
    <w:rsid w:val="00A54192"/>
    <w:rsid w:val="00A54C75"/>
    <w:rsid w:val="00A54E9E"/>
    <w:rsid w:val="00A6035E"/>
    <w:rsid w:val="00A61230"/>
    <w:rsid w:val="00A6144C"/>
    <w:rsid w:val="00A61799"/>
    <w:rsid w:val="00A621F0"/>
    <w:rsid w:val="00A62E3F"/>
    <w:rsid w:val="00A632AF"/>
    <w:rsid w:val="00A63CC6"/>
    <w:rsid w:val="00A642A1"/>
    <w:rsid w:val="00A647FF"/>
    <w:rsid w:val="00A65BF8"/>
    <w:rsid w:val="00A66617"/>
    <w:rsid w:val="00A670C5"/>
    <w:rsid w:val="00A671F8"/>
    <w:rsid w:val="00A673A4"/>
    <w:rsid w:val="00A71F10"/>
    <w:rsid w:val="00A724AE"/>
    <w:rsid w:val="00A7250E"/>
    <w:rsid w:val="00A7292E"/>
    <w:rsid w:val="00A73329"/>
    <w:rsid w:val="00A73467"/>
    <w:rsid w:val="00A7566D"/>
    <w:rsid w:val="00A75AA6"/>
    <w:rsid w:val="00A77ECF"/>
    <w:rsid w:val="00A80617"/>
    <w:rsid w:val="00A80915"/>
    <w:rsid w:val="00A81851"/>
    <w:rsid w:val="00A82013"/>
    <w:rsid w:val="00A82359"/>
    <w:rsid w:val="00A82AED"/>
    <w:rsid w:val="00A83459"/>
    <w:rsid w:val="00A84FCC"/>
    <w:rsid w:val="00A85379"/>
    <w:rsid w:val="00A865D2"/>
    <w:rsid w:val="00A91797"/>
    <w:rsid w:val="00A9222A"/>
    <w:rsid w:val="00A92A8D"/>
    <w:rsid w:val="00A92EDC"/>
    <w:rsid w:val="00A94C20"/>
    <w:rsid w:val="00A951F8"/>
    <w:rsid w:val="00A95B72"/>
    <w:rsid w:val="00A968E2"/>
    <w:rsid w:val="00AA0318"/>
    <w:rsid w:val="00AA227F"/>
    <w:rsid w:val="00AA3BC7"/>
    <w:rsid w:val="00AA42ED"/>
    <w:rsid w:val="00AA4B49"/>
    <w:rsid w:val="00AA5766"/>
    <w:rsid w:val="00AA754A"/>
    <w:rsid w:val="00AB099E"/>
    <w:rsid w:val="00AB0C10"/>
    <w:rsid w:val="00AB10D2"/>
    <w:rsid w:val="00AB30E3"/>
    <w:rsid w:val="00AB3471"/>
    <w:rsid w:val="00AB3F23"/>
    <w:rsid w:val="00AB4311"/>
    <w:rsid w:val="00AB4328"/>
    <w:rsid w:val="00AB47D2"/>
    <w:rsid w:val="00AB66EE"/>
    <w:rsid w:val="00AC1D48"/>
    <w:rsid w:val="00AC4B85"/>
    <w:rsid w:val="00AC4BC0"/>
    <w:rsid w:val="00AC6E6B"/>
    <w:rsid w:val="00AD4C88"/>
    <w:rsid w:val="00AD6131"/>
    <w:rsid w:val="00AD62FA"/>
    <w:rsid w:val="00AD63BD"/>
    <w:rsid w:val="00AD63D2"/>
    <w:rsid w:val="00AE0A2E"/>
    <w:rsid w:val="00AE2537"/>
    <w:rsid w:val="00AE256F"/>
    <w:rsid w:val="00AE2EF9"/>
    <w:rsid w:val="00AE354C"/>
    <w:rsid w:val="00AE36FA"/>
    <w:rsid w:val="00AE5288"/>
    <w:rsid w:val="00AE666D"/>
    <w:rsid w:val="00AF2C8B"/>
    <w:rsid w:val="00AF3431"/>
    <w:rsid w:val="00AF4B07"/>
    <w:rsid w:val="00AF6186"/>
    <w:rsid w:val="00AF6511"/>
    <w:rsid w:val="00AF65DD"/>
    <w:rsid w:val="00AF7A3A"/>
    <w:rsid w:val="00B03671"/>
    <w:rsid w:val="00B03B8E"/>
    <w:rsid w:val="00B04361"/>
    <w:rsid w:val="00B04E34"/>
    <w:rsid w:val="00B05460"/>
    <w:rsid w:val="00B06F70"/>
    <w:rsid w:val="00B100FB"/>
    <w:rsid w:val="00B109DB"/>
    <w:rsid w:val="00B11186"/>
    <w:rsid w:val="00B1195C"/>
    <w:rsid w:val="00B11CF7"/>
    <w:rsid w:val="00B1227C"/>
    <w:rsid w:val="00B13083"/>
    <w:rsid w:val="00B1465B"/>
    <w:rsid w:val="00B160DB"/>
    <w:rsid w:val="00B16C7D"/>
    <w:rsid w:val="00B1753A"/>
    <w:rsid w:val="00B1765B"/>
    <w:rsid w:val="00B20836"/>
    <w:rsid w:val="00B2278E"/>
    <w:rsid w:val="00B235BB"/>
    <w:rsid w:val="00B261F9"/>
    <w:rsid w:val="00B274D6"/>
    <w:rsid w:val="00B27A44"/>
    <w:rsid w:val="00B30BBF"/>
    <w:rsid w:val="00B31487"/>
    <w:rsid w:val="00B3150E"/>
    <w:rsid w:val="00B33C03"/>
    <w:rsid w:val="00B36996"/>
    <w:rsid w:val="00B36F98"/>
    <w:rsid w:val="00B40027"/>
    <w:rsid w:val="00B4033F"/>
    <w:rsid w:val="00B4040A"/>
    <w:rsid w:val="00B41C02"/>
    <w:rsid w:val="00B41D12"/>
    <w:rsid w:val="00B44E56"/>
    <w:rsid w:val="00B46543"/>
    <w:rsid w:val="00B46898"/>
    <w:rsid w:val="00B47366"/>
    <w:rsid w:val="00B47C6C"/>
    <w:rsid w:val="00B47D33"/>
    <w:rsid w:val="00B47ED7"/>
    <w:rsid w:val="00B50FDF"/>
    <w:rsid w:val="00B5173E"/>
    <w:rsid w:val="00B52BE0"/>
    <w:rsid w:val="00B54133"/>
    <w:rsid w:val="00B54441"/>
    <w:rsid w:val="00B54AFB"/>
    <w:rsid w:val="00B54FA4"/>
    <w:rsid w:val="00B551E3"/>
    <w:rsid w:val="00B554CC"/>
    <w:rsid w:val="00B55656"/>
    <w:rsid w:val="00B56247"/>
    <w:rsid w:val="00B56884"/>
    <w:rsid w:val="00B668D2"/>
    <w:rsid w:val="00B701ED"/>
    <w:rsid w:val="00B714D8"/>
    <w:rsid w:val="00B72017"/>
    <w:rsid w:val="00B72560"/>
    <w:rsid w:val="00B72FC7"/>
    <w:rsid w:val="00B73BAD"/>
    <w:rsid w:val="00B76C81"/>
    <w:rsid w:val="00B77DDA"/>
    <w:rsid w:val="00B8086C"/>
    <w:rsid w:val="00B82127"/>
    <w:rsid w:val="00B835C5"/>
    <w:rsid w:val="00B83613"/>
    <w:rsid w:val="00B84C51"/>
    <w:rsid w:val="00B84EB1"/>
    <w:rsid w:val="00B85BD2"/>
    <w:rsid w:val="00B861B4"/>
    <w:rsid w:val="00B86DFE"/>
    <w:rsid w:val="00B90990"/>
    <w:rsid w:val="00B909D9"/>
    <w:rsid w:val="00B90EA8"/>
    <w:rsid w:val="00B91404"/>
    <w:rsid w:val="00B922FF"/>
    <w:rsid w:val="00B9281E"/>
    <w:rsid w:val="00B93925"/>
    <w:rsid w:val="00B9409D"/>
    <w:rsid w:val="00B95187"/>
    <w:rsid w:val="00B95200"/>
    <w:rsid w:val="00B95886"/>
    <w:rsid w:val="00B9785E"/>
    <w:rsid w:val="00BA0D77"/>
    <w:rsid w:val="00BA1423"/>
    <w:rsid w:val="00BA2C6B"/>
    <w:rsid w:val="00BA2D55"/>
    <w:rsid w:val="00BA3525"/>
    <w:rsid w:val="00BA3E5A"/>
    <w:rsid w:val="00BA439D"/>
    <w:rsid w:val="00BA479D"/>
    <w:rsid w:val="00BA71B1"/>
    <w:rsid w:val="00BA754F"/>
    <w:rsid w:val="00BA7C91"/>
    <w:rsid w:val="00BB0637"/>
    <w:rsid w:val="00BB1D16"/>
    <w:rsid w:val="00BB3254"/>
    <w:rsid w:val="00BB345F"/>
    <w:rsid w:val="00BB363C"/>
    <w:rsid w:val="00BB4251"/>
    <w:rsid w:val="00BB4387"/>
    <w:rsid w:val="00BB5B79"/>
    <w:rsid w:val="00BB68EA"/>
    <w:rsid w:val="00BC1C27"/>
    <w:rsid w:val="00BC2F56"/>
    <w:rsid w:val="00BC3063"/>
    <w:rsid w:val="00BC33D2"/>
    <w:rsid w:val="00BC4735"/>
    <w:rsid w:val="00BC4EB2"/>
    <w:rsid w:val="00BC5608"/>
    <w:rsid w:val="00BC57C6"/>
    <w:rsid w:val="00BC5BA6"/>
    <w:rsid w:val="00BC5CFB"/>
    <w:rsid w:val="00BC6A35"/>
    <w:rsid w:val="00BC6BBF"/>
    <w:rsid w:val="00BC7E81"/>
    <w:rsid w:val="00BD1572"/>
    <w:rsid w:val="00BD5494"/>
    <w:rsid w:val="00BD6785"/>
    <w:rsid w:val="00BD7B2C"/>
    <w:rsid w:val="00BE14E3"/>
    <w:rsid w:val="00BE29DB"/>
    <w:rsid w:val="00BE2D3B"/>
    <w:rsid w:val="00BE3774"/>
    <w:rsid w:val="00BE41E5"/>
    <w:rsid w:val="00BE4AF3"/>
    <w:rsid w:val="00BE58D5"/>
    <w:rsid w:val="00BE5C53"/>
    <w:rsid w:val="00BE6797"/>
    <w:rsid w:val="00BE6F2E"/>
    <w:rsid w:val="00BF0A54"/>
    <w:rsid w:val="00BF1C7B"/>
    <w:rsid w:val="00BF3553"/>
    <w:rsid w:val="00BF4109"/>
    <w:rsid w:val="00BF4CC3"/>
    <w:rsid w:val="00BF795B"/>
    <w:rsid w:val="00BF7AB6"/>
    <w:rsid w:val="00C0081F"/>
    <w:rsid w:val="00C00D6B"/>
    <w:rsid w:val="00C01E65"/>
    <w:rsid w:val="00C03006"/>
    <w:rsid w:val="00C03A8B"/>
    <w:rsid w:val="00C04089"/>
    <w:rsid w:val="00C0477C"/>
    <w:rsid w:val="00C047DC"/>
    <w:rsid w:val="00C04B16"/>
    <w:rsid w:val="00C04CB5"/>
    <w:rsid w:val="00C04DFB"/>
    <w:rsid w:val="00C054C7"/>
    <w:rsid w:val="00C057B5"/>
    <w:rsid w:val="00C05A7C"/>
    <w:rsid w:val="00C06155"/>
    <w:rsid w:val="00C0765E"/>
    <w:rsid w:val="00C07CFB"/>
    <w:rsid w:val="00C07FD6"/>
    <w:rsid w:val="00C13132"/>
    <w:rsid w:val="00C139BF"/>
    <w:rsid w:val="00C16643"/>
    <w:rsid w:val="00C16D72"/>
    <w:rsid w:val="00C17B70"/>
    <w:rsid w:val="00C17BD4"/>
    <w:rsid w:val="00C20396"/>
    <w:rsid w:val="00C20459"/>
    <w:rsid w:val="00C22687"/>
    <w:rsid w:val="00C22A0A"/>
    <w:rsid w:val="00C237B7"/>
    <w:rsid w:val="00C23F22"/>
    <w:rsid w:val="00C25D71"/>
    <w:rsid w:val="00C2674A"/>
    <w:rsid w:val="00C3214D"/>
    <w:rsid w:val="00C32E4D"/>
    <w:rsid w:val="00C32F96"/>
    <w:rsid w:val="00C333A0"/>
    <w:rsid w:val="00C3382E"/>
    <w:rsid w:val="00C34065"/>
    <w:rsid w:val="00C34F16"/>
    <w:rsid w:val="00C3636A"/>
    <w:rsid w:val="00C36838"/>
    <w:rsid w:val="00C36A81"/>
    <w:rsid w:val="00C40211"/>
    <w:rsid w:val="00C41974"/>
    <w:rsid w:val="00C426FF"/>
    <w:rsid w:val="00C427ED"/>
    <w:rsid w:val="00C42A2A"/>
    <w:rsid w:val="00C438F3"/>
    <w:rsid w:val="00C439EE"/>
    <w:rsid w:val="00C43BF6"/>
    <w:rsid w:val="00C45080"/>
    <w:rsid w:val="00C45D68"/>
    <w:rsid w:val="00C470EE"/>
    <w:rsid w:val="00C47703"/>
    <w:rsid w:val="00C50B53"/>
    <w:rsid w:val="00C51450"/>
    <w:rsid w:val="00C51D48"/>
    <w:rsid w:val="00C524B5"/>
    <w:rsid w:val="00C5343F"/>
    <w:rsid w:val="00C53F4A"/>
    <w:rsid w:val="00C54125"/>
    <w:rsid w:val="00C54641"/>
    <w:rsid w:val="00C549A9"/>
    <w:rsid w:val="00C55B54"/>
    <w:rsid w:val="00C5612A"/>
    <w:rsid w:val="00C5672D"/>
    <w:rsid w:val="00C5730D"/>
    <w:rsid w:val="00C57F19"/>
    <w:rsid w:val="00C6098E"/>
    <w:rsid w:val="00C60A2B"/>
    <w:rsid w:val="00C6152C"/>
    <w:rsid w:val="00C6264A"/>
    <w:rsid w:val="00C65ABF"/>
    <w:rsid w:val="00C65AD6"/>
    <w:rsid w:val="00C662F1"/>
    <w:rsid w:val="00C676E8"/>
    <w:rsid w:val="00C7001C"/>
    <w:rsid w:val="00C7034C"/>
    <w:rsid w:val="00C71092"/>
    <w:rsid w:val="00C710B3"/>
    <w:rsid w:val="00C71106"/>
    <w:rsid w:val="00C72A42"/>
    <w:rsid w:val="00C72C2D"/>
    <w:rsid w:val="00C736FB"/>
    <w:rsid w:val="00C744A1"/>
    <w:rsid w:val="00C7461E"/>
    <w:rsid w:val="00C74810"/>
    <w:rsid w:val="00C748D9"/>
    <w:rsid w:val="00C76CCF"/>
    <w:rsid w:val="00C77CCE"/>
    <w:rsid w:val="00C80292"/>
    <w:rsid w:val="00C80A4F"/>
    <w:rsid w:val="00C82D74"/>
    <w:rsid w:val="00C830D6"/>
    <w:rsid w:val="00C830F3"/>
    <w:rsid w:val="00C871BB"/>
    <w:rsid w:val="00C904D0"/>
    <w:rsid w:val="00C90D68"/>
    <w:rsid w:val="00C91E17"/>
    <w:rsid w:val="00C9201D"/>
    <w:rsid w:val="00C9208F"/>
    <w:rsid w:val="00C92EAD"/>
    <w:rsid w:val="00C939FE"/>
    <w:rsid w:val="00C93E89"/>
    <w:rsid w:val="00C94A47"/>
    <w:rsid w:val="00C94CF3"/>
    <w:rsid w:val="00C95101"/>
    <w:rsid w:val="00C95B00"/>
    <w:rsid w:val="00C9659F"/>
    <w:rsid w:val="00CA0D18"/>
    <w:rsid w:val="00CA15E9"/>
    <w:rsid w:val="00CA4A41"/>
    <w:rsid w:val="00CA4BDA"/>
    <w:rsid w:val="00CA5CB7"/>
    <w:rsid w:val="00CA77FD"/>
    <w:rsid w:val="00CB0553"/>
    <w:rsid w:val="00CB0AF8"/>
    <w:rsid w:val="00CB18E0"/>
    <w:rsid w:val="00CB1F66"/>
    <w:rsid w:val="00CB23A1"/>
    <w:rsid w:val="00CB2457"/>
    <w:rsid w:val="00CB2951"/>
    <w:rsid w:val="00CB36DC"/>
    <w:rsid w:val="00CB373D"/>
    <w:rsid w:val="00CB48C9"/>
    <w:rsid w:val="00CB4B82"/>
    <w:rsid w:val="00CB4DA9"/>
    <w:rsid w:val="00CB5A2B"/>
    <w:rsid w:val="00CB630A"/>
    <w:rsid w:val="00CB6B60"/>
    <w:rsid w:val="00CC0BB5"/>
    <w:rsid w:val="00CC3C92"/>
    <w:rsid w:val="00CC40F6"/>
    <w:rsid w:val="00CC58B2"/>
    <w:rsid w:val="00CC6030"/>
    <w:rsid w:val="00CD282B"/>
    <w:rsid w:val="00CD3446"/>
    <w:rsid w:val="00CD3579"/>
    <w:rsid w:val="00CD4C35"/>
    <w:rsid w:val="00CD57D9"/>
    <w:rsid w:val="00CD6A36"/>
    <w:rsid w:val="00CD6EC2"/>
    <w:rsid w:val="00CD7369"/>
    <w:rsid w:val="00CE0B0E"/>
    <w:rsid w:val="00CE123B"/>
    <w:rsid w:val="00CE1729"/>
    <w:rsid w:val="00CE1E07"/>
    <w:rsid w:val="00CE3342"/>
    <w:rsid w:val="00CE36D9"/>
    <w:rsid w:val="00CE37E9"/>
    <w:rsid w:val="00CE3831"/>
    <w:rsid w:val="00CE5938"/>
    <w:rsid w:val="00CE60D3"/>
    <w:rsid w:val="00CE6E8E"/>
    <w:rsid w:val="00CE7278"/>
    <w:rsid w:val="00CE75F5"/>
    <w:rsid w:val="00CF0938"/>
    <w:rsid w:val="00CF185E"/>
    <w:rsid w:val="00CF2752"/>
    <w:rsid w:val="00CF3515"/>
    <w:rsid w:val="00CF3F8E"/>
    <w:rsid w:val="00CF5779"/>
    <w:rsid w:val="00CF6535"/>
    <w:rsid w:val="00CF7F7E"/>
    <w:rsid w:val="00D00239"/>
    <w:rsid w:val="00D00ABB"/>
    <w:rsid w:val="00D0118B"/>
    <w:rsid w:val="00D0189E"/>
    <w:rsid w:val="00D01AEB"/>
    <w:rsid w:val="00D02CD5"/>
    <w:rsid w:val="00D02EEC"/>
    <w:rsid w:val="00D03551"/>
    <w:rsid w:val="00D03E72"/>
    <w:rsid w:val="00D04512"/>
    <w:rsid w:val="00D06A63"/>
    <w:rsid w:val="00D06FB2"/>
    <w:rsid w:val="00D07E0E"/>
    <w:rsid w:val="00D107AE"/>
    <w:rsid w:val="00D11478"/>
    <w:rsid w:val="00D1211D"/>
    <w:rsid w:val="00D14920"/>
    <w:rsid w:val="00D15ED0"/>
    <w:rsid w:val="00D17D06"/>
    <w:rsid w:val="00D17EA8"/>
    <w:rsid w:val="00D20B66"/>
    <w:rsid w:val="00D2140C"/>
    <w:rsid w:val="00D217EA"/>
    <w:rsid w:val="00D21B3E"/>
    <w:rsid w:val="00D21FED"/>
    <w:rsid w:val="00D22355"/>
    <w:rsid w:val="00D24251"/>
    <w:rsid w:val="00D24756"/>
    <w:rsid w:val="00D25EAB"/>
    <w:rsid w:val="00D275AD"/>
    <w:rsid w:val="00D31DC7"/>
    <w:rsid w:val="00D343E2"/>
    <w:rsid w:val="00D361A2"/>
    <w:rsid w:val="00D411AF"/>
    <w:rsid w:val="00D411E0"/>
    <w:rsid w:val="00D4148B"/>
    <w:rsid w:val="00D418C9"/>
    <w:rsid w:val="00D42B09"/>
    <w:rsid w:val="00D435EF"/>
    <w:rsid w:val="00D43E37"/>
    <w:rsid w:val="00D44C2E"/>
    <w:rsid w:val="00D45414"/>
    <w:rsid w:val="00D45E24"/>
    <w:rsid w:val="00D46A3B"/>
    <w:rsid w:val="00D50216"/>
    <w:rsid w:val="00D50911"/>
    <w:rsid w:val="00D51318"/>
    <w:rsid w:val="00D51FF2"/>
    <w:rsid w:val="00D5283E"/>
    <w:rsid w:val="00D52B66"/>
    <w:rsid w:val="00D545AF"/>
    <w:rsid w:val="00D55777"/>
    <w:rsid w:val="00D566BD"/>
    <w:rsid w:val="00D578BB"/>
    <w:rsid w:val="00D57A4D"/>
    <w:rsid w:val="00D601D3"/>
    <w:rsid w:val="00D60AA7"/>
    <w:rsid w:val="00D6247D"/>
    <w:rsid w:val="00D62D5B"/>
    <w:rsid w:val="00D62D9A"/>
    <w:rsid w:val="00D62EC3"/>
    <w:rsid w:val="00D62F8B"/>
    <w:rsid w:val="00D6435F"/>
    <w:rsid w:val="00D64F31"/>
    <w:rsid w:val="00D64F52"/>
    <w:rsid w:val="00D66777"/>
    <w:rsid w:val="00D66FAF"/>
    <w:rsid w:val="00D67B18"/>
    <w:rsid w:val="00D7060E"/>
    <w:rsid w:val="00D714C8"/>
    <w:rsid w:val="00D71791"/>
    <w:rsid w:val="00D73988"/>
    <w:rsid w:val="00D74221"/>
    <w:rsid w:val="00D7428F"/>
    <w:rsid w:val="00D7595D"/>
    <w:rsid w:val="00D75E28"/>
    <w:rsid w:val="00D76FA4"/>
    <w:rsid w:val="00D771D5"/>
    <w:rsid w:val="00D772C2"/>
    <w:rsid w:val="00D8008E"/>
    <w:rsid w:val="00D80DCB"/>
    <w:rsid w:val="00D80EE1"/>
    <w:rsid w:val="00D8205C"/>
    <w:rsid w:val="00D82311"/>
    <w:rsid w:val="00D82C45"/>
    <w:rsid w:val="00D83B4E"/>
    <w:rsid w:val="00D83F15"/>
    <w:rsid w:val="00D85643"/>
    <w:rsid w:val="00D864D1"/>
    <w:rsid w:val="00D9044A"/>
    <w:rsid w:val="00D908A8"/>
    <w:rsid w:val="00D91FAD"/>
    <w:rsid w:val="00D93A6B"/>
    <w:rsid w:val="00D93C5F"/>
    <w:rsid w:val="00D959BE"/>
    <w:rsid w:val="00D977B6"/>
    <w:rsid w:val="00D97997"/>
    <w:rsid w:val="00DA1D66"/>
    <w:rsid w:val="00DA1F96"/>
    <w:rsid w:val="00DA34DE"/>
    <w:rsid w:val="00DA4040"/>
    <w:rsid w:val="00DA419E"/>
    <w:rsid w:val="00DA4A31"/>
    <w:rsid w:val="00DA5723"/>
    <w:rsid w:val="00DA7B04"/>
    <w:rsid w:val="00DB20CA"/>
    <w:rsid w:val="00DB2F34"/>
    <w:rsid w:val="00DB2F90"/>
    <w:rsid w:val="00DB2FBC"/>
    <w:rsid w:val="00DB36C2"/>
    <w:rsid w:val="00DB44E3"/>
    <w:rsid w:val="00DB49E5"/>
    <w:rsid w:val="00DB515F"/>
    <w:rsid w:val="00DB5338"/>
    <w:rsid w:val="00DB5F55"/>
    <w:rsid w:val="00DB6F63"/>
    <w:rsid w:val="00DB7725"/>
    <w:rsid w:val="00DB7DD0"/>
    <w:rsid w:val="00DC001C"/>
    <w:rsid w:val="00DC0446"/>
    <w:rsid w:val="00DC169B"/>
    <w:rsid w:val="00DC2AB9"/>
    <w:rsid w:val="00DC3B0F"/>
    <w:rsid w:val="00DC3E19"/>
    <w:rsid w:val="00DC4F52"/>
    <w:rsid w:val="00DC551F"/>
    <w:rsid w:val="00DC63F0"/>
    <w:rsid w:val="00DD06CC"/>
    <w:rsid w:val="00DD07BC"/>
    <w:rsid w:val="00DD0DF5"/>
    <w:rsid w:val="00DD1BFB"/>
    <w:rsid w:val="00DD34E4"/>
    <w:rsid w:val="00DD3E57"/>
    <w:rsid w:val="00DD4100"/>
    <w:rsid w:val="00DD435C"/>
    <w:rsid w:val="00DD5AD7"/>
    <w:rsid w:val="00DD6EE5"/>
    <w:rsid w:val="00DE028A"/>
    <w:rsid w:val="00DE386C"/>
    <w:rsid w:val="00DE4AC5"/>
    <w:rsid w:val="00DE4D35"/>
    <w:rsid w:val="00DE61E0"/>
    <w:rsid w:val="00DE76D6"/>
    <w:rsid w:val="00DF061C"/>
    <w:rsid w:val="00DF098B"/>
    <w:rsid w:val="00DF11C4"/>
    <w:rsid w:val="00DF11CD"/>
    <w:rsid w:val="00DF210C"/>
    <w:rsid w:val="00DF2D55"/>
    <w:rsid w:val="00DF3D05"/>
    <w:rsid w:val="00DF4B6A"/>
    <w:rsid w:val="00DF7462"/>
    <w:rsid w:val="00E01135"/>
    <w:rsid w:val="00E014D6"/>
    <w:rsid w:val="00E020D0"/>
    <w:rsid w:val="00E02AA2"/>
    <w:rsid w:val="00E02C09"/>
    <w:rsid w:val="00E02D8F"/>
    <w:rsid w:val="00E03D6C"/>
    <w:rsid w:val="00E04D59"/>
    <w:rsid w:val="00E05D4B"/>
    <w:rsid w:val="00E060DD"/>
    <w:rsid w:val="00E062F7"/>
    <w:rsid w:val="00E07614"/>
    <w:rsid w:val="00E0781F"/>
    <w:rsid w:val="00E07944"/>
    <w:rsid w:val="00E07DA1"/>
    <w:rsid w:val="00E123CB"/>
    <w:rsid w:val="00E170A4"/>
    <w:rsid w:val="00E17714"/>
    <w:rsid w:val="00E17DC6"/>
    <w:rsid w:val="00E20338"/>
    <w:rsid w:val="00E20E13"/>
    <w:rsid w:val="00E21DBC"/>
    <w:rsid w:val="00E21F85"/>
    <w:rsid w:val="00E22082"/>
    <w:rsid w:val="00E22F15"/>
    <w:rsid w:val="00E2485B"/>
    <w:rsid w:val="00E275D7"/>
    <w:rsid w:val="00E27A0D"/>
    <w:rsid w:val="00E27DBE"/>
    <w:rsid w:val="00E3039D"/>
    <w:rsid w:val="00E31159"/>
    <w:rsid w:val="00E31440"/>
    <w:rsid w:val="00E32AB1"/>
    <w:rsid w:val="00E336C2"/>
    <w:rsid w:val="00E33E9D"/>
    <w:rsid w:val="00E33FED"/>
    <w:rsid w:val="00E35634"/>
    <w:rsid w:val="00E35C15"/>
    <w:rsid w:val="00E35D7F"/>
    <w:rsid w:val="00E36C71"/>
    <w:rsid w:val="00E379BF"/>
    <w:rsid w:val="00E37AD9"/>
    <w:rsid w:val="00E4002D"/>
    <w:rsid w:val="00E40404"/>
    <w:rsid w:val="00E41205"/>
    <w:rsid w:val="00E42D50"/>
    <w:rsid w:val="00E42DB5"/>
    <w:rsid w:val="00E43310"/>
    <w:rsid w:val="00E43498"/>
    <w:rsid w:val="00E43A86"/>
    <w:rsid w:val="00E4416C"/>
    <w:rsid w:val="00E45748"/>
    <w:rsid w:val="00E459A3"/>
    <w:rsid w:val="00E459C6"/>
    <w:rsid w:val="00E47589"/>
    <w:rsid w:val="00E50F60"/>
    <w:rsid w:val="00E51BEF"/>
    <w:rsid w:val="00E5419F"/>
    <w:rsid w:val="00E54DC3"/>
    <w:rsid w:val="00E552E6"/>
    <w:rsid w:val="00E55BB1"/>
    <w:rsid w:val="00E56366"/>
    <w:rsid w:val="00E56371"/>
    <w:rsid w:val="00E568AA"/>
    <w:rsid w:val="00E578E8"/>
    <w:rsid w:val="00E57BA0"/>
    <w:rsid w:val="00E62BEE"/>
    <w:rsid w:val="00E64915"/>
    <w:rsid w:val="00E65B9A"/>
    <w:rsid w:val="00E6616A"/>
    <w:rsid w:val="00E661D4"/>
    <w:rsid w:val="00E6634D"/>
    <w:rsid w:val="00E66F2F"/>
    <w:rsid w:val="00E67CD8"/>
    <w:rsid w:val="00E70091"/>
    <w:rsid w:val="00E720F5"/>
    <w:rsid w:val="00E7246C"/>
    <w:rsid w:val="00E726E1"/>
    <w:rsid w:val="00E7275A"/>
    <w:rsid w:val="00E728C6"/>
    <w:rsid w:val="00E72E77"/>
    <w:rsid w:val="00E738AA"/>
    <w:rsid w:val="00E75106"/>
    <w:rsid w:val="00E765F8"/>
    <w:rsid w:val="00E76D47"/>
    <w:rsid w:val="00E77402"/>
    <w:rsid w:val="00E81AA5"/>
    <w:rsid w:val="00E83B44"/>
    <w:rsid w:val="00E8459F"/>
    <w:rsid w:val="00E84852"/>
    <w:rsid w:val="00E849F7"/>
    <w:rsid w:val="00E86733"/>
    <w:rsid w:val="00E871DD"/>
    <w:rsid w:val="00E87B37"/>
    <w:rsid w:val="00E90302"/>
    <w:rsid w:val="00E91745"/>
    <w:rsid w:val="00E920E8"/>
    <w:rsid w:val="00E935AF"/>
    <w:rsid w:val="00E95170"/>
    <w:rsid w:val="00E97396"/>
    <w:rsid w:val="00EA11A4"/>
    <w:rsid w:val="00EA185E"/>
    <w:rsid w:val="00EA308F"/>
    <w:rsid w:val="00EA33E4"/>
    <w:rsid w:val="00EA3936"/>
    <w:rsid w:val="00EA4653"/>
    <w:rsid w:val="00EA4FE8"/>
    <w:rsid w:val="00EA5175"/>
    <w:rsid w:val="00EA5388"/>
    <w:rsid w:val="00EA56FF"/>
    <w:rsid w:val="00EA592A"/>
    <w:rsid w:val="00EA61FE"/>
    <w:rsid w:val="00EA6606"/>
    <w:rsid w:val="00EA6AA1"/>
    <w:rsid w:val="00EB14E4"/>
    <w:rsid w:val="00EB1826"/>
    <w:rsid w:val="00EB1C5E"/>
    <w:rsid w:val="00EB32A5"/>
    <w:rsid w:val="00EB3349"/>
    <w:rsid w:val="00EB34ED"/>
    <w:rsid w:val="00EB3F90"/>
    <w:rsid w:val="00EB447C"/>
    <w:rsid w:val="00EB4EBE"/>
    <w:rsid w:val="00EB5421"/>
    <w:rsid w:val="00EB6EBC"/>
    <w:rsid w:val="00EB6EC4"/>
    <w:rsid w:val="00EB7BE0"/>
    <w:rsid w:val="00EC114D"/>
    <w:rsid w:val="00EC2E81"/>
    <w:rsid w:val="00EC315E"/>
    <w:rsid w:val="00EC62BC"/>
    <w:rsid w:val="00EC6484"/>
    <w:rsid w:val="00ED077C"/>
    <w:rsid w:val="00ED1190"/>
    <w:rsid w:val="00ED20B4"/>
    <w:rsid w:val="00ED3D30"/>
    <w:rsid w:val="00ED4A02"/>
    <w:rsid w:val="00ED6544"/>
    <w:rsid w:val="00ED76CF"/>
    <w:rsid w:val="00ED7D32"/>
    <w:rsid w:val="00EE0277"/>
    <w:rsid w:val="00EE028E"/>
    <w:rsid w:val="00EE084B"/>
    <w:rsid w:val="00EE13BF"/>
    <w:rsid w:val="00EE14A9"/>
    <w:rsid w:val="00EE243C"/>
    <w:rsid w:val="00EE26B4"/>
    <w:rsid w:val="00EE3E00"/>
    <w:rsid w:val="00EE48EC"/>
    <w:rsid w:val="00EE5A05"/>
    <w:rsid w:val="00EE5A9E"/>
    <w:rsid w:val="00EE5D69"/>
    <w:rsid w:val="00EE5DD2"/>
    <w:rsid w:val="00EE6C85"/>
    <w:rsid w:val="00EE6DD7"/>
    <w:rsid w:val="00EF0801"/>
    <w:rsid w:val="00EF366F"/>
    <w:rsid w:val="00EF43DD"/>
    <w:rsid w:val="00EF78AB"/>
    <w:rsid w:val="00EF7AE0"/>
    <w:rsid w:val="00EF7D57"/>
    <w:rsid w:val="00F0049F"/>
    <w:rsid w:val="00F00A79"/>
    <w:rsid w:val="00F00E86"/>
    <w:rsid w:val="00F01DE1"/>
    <w:rsid w:val="00F02166"/>
    <w:rsid w:val="00F05E43"/>
    <w:rsid w:val="00F05E7A"/>
    <w:rsid w:val="00F05F49"/>
    <w:rsid w:val="00F06EDF"/>
    <w:rsid w:val="00F07C1E"/>
    <w:rsid w:val="00F10334"/>
    <w:rsid w:val="00F105DB"/>
    <w:rsid w:val="00F1111B"/>
    <w:rsid w:val="00F1259C"/>
    <w:rsid w:val="00F131DD"/>
    <w:rsid w:val="00F132BC"/>
    <w:rsid w:val="00F13D80"/>
    <w:rsid w:val="00F1437B"/>
    <w:rsid w:val="00F14663"/>
    <w:rsid w:val="00F15845"/>
    <w:rsid w:val="00F15BD8"/>
    <w:rsid w:val="00F16AAA"/>
    <w:rsid w:val="00F17304"/>
    <w:rsid w:val="00F17E46"/>
    <w:rsid w:val="00F2066A"/>
    <w:rsid w:val="00F21161"/>
    <w:rsid w:val="00F218EF"/>
    <w:rsid w:val="00F21BC7"/>
    <w:rsid w:val="00F266A2"/>
    <w:rsid w:val="00F26BE2"/>
    <w:rsid w:val="00F273B7"/>
    <w:rsid w:val="00F30651"/>
    <w:rsid w:val="00F32269"/>
    <w:rsid w:val="00F34464"/>
    <w:rsid w:val="00F35CA5"/>
    <w:rsid w:val="00F371A9"/>
    <w:rsid w:val="00F37B65"/>
    <w:rsid w:val="00F37EA3"/>
    <w:rsid w:val="00F40397"/>
    <w:rsid w:val="00F4057D"/>
    <w:rsid w:val="00F408E3"/>
    <w:rsid w:val="00F42F58"/>
    <w:rsid w:val="00F44031"/>
    <w:rsid w:val="00F442ED"/>
    <w:rsid w:val="00F46899"/>
    <w:rsid w:val="00F4704F"/>
    <w:rsid w:val="00F47399"/>
    <w:rsid w:val="00F519CE"/>
    <w:rsid w:val="00F530F5"/>
    <w:rsid w:val="00F535B3"/>
    <w:rsid w:val="00F538C9"/>
    <w:rsid w:val="00F54108"/>
    <w:rsid w:val="00F55BDC"/>
    <w:rsid w:val="00F56A6F"/>
    <w:rsid w:val="00F5709C"/>
    <w:rsid w:val="00F5732F"/>
    <w:rsid w:val="00F606B2"/>
    <w:rsid w:val="00F60CD3"/>
    <w:rsid w:val="00F6237C"/>
    <w:rsid w:val="00F64230"/>
    <w:rsid w:val="00F64AAE"/>
    <w:rsid w:val="00F64EF1"/>
    <w:rsid w:val="00F66190"/>
    <w:rsid w:val="00F67D88"/>
    <w:rsid w:val="00F67F1D"/>
    <w:rsid w:val="00F704E8"/>
    <w:rsid w:val="00F73B5D"/>
    <w:rsid w:val="00F73F9B"/>
    <w:rsid w:val="00F75EF9"/>
    <w:rsid w:val="00F77BA9"/>
    <w:rsid w:val="00F800BE"/>
    <w:rsid w:val="00F808B5"/>
    <w:rsid w:val="00F8145C"/>
    <w:rsid w:val="00F82DD0"/>
    <w:rsid w:val="00F831CE"/>
    <w:rsid w:val="00F83D2B"/>
    <w:rsid w:val="00F8597A"/>
    <w:rsid w:val="00F85C74"/>
    <w:rsid w:val="00F85F43"/>
    <w:rsid w:val="00F85FEE"/>
    <w:rsid w:val="00F86AC9"/>
    <w:rsid w:val="00F8765F"/>
    <w:rsid w:val="00F87A96"/>
    <w:rsid w:val="00F90767"/>
    <w:rsid w:val="00F92EB3"/>
    <w:rsid w:val="00F933B0"/>
    <w:rsid w:val="00F93487"/>
    <w:rsid w:val="00F93B3A"/>
    <w:rsid w:val="00F93E19"/>
    <w:rsid w:val="00F94739"/>
    <w:rsid w:val="00F94979"/>
    <w:rsid w:val="00F96071"/>
    <w:rsid w:val="00F97563"/>
    <w:rsid w:val="00F97C95"/>
    <w:rsid w:val="00F97EF1"/>
    <w:rsid w:val="00FA0486"/>
    <w:rsid w:val="00FA0F59"/>
    <w:rsid w:val="00FA1645"/>
    <w:rsid w:val="00FA2472"/>
    <w:rsid w:val="00FA35EC"/>
    <w:rsid w:val="00FA4372"/>
    <w:rsid w:val="00FA4550"/>
    <w:rsid w:val="00FA65D1"/>
    <w:rsid w:val="00FA66F4"/>
    <w:rsid w:val="00FA685B"/>
    <w:rsid w:val="00FA693A"/>
    <w:rsid w:val="00FB0C01"/>
    <w:rsid w:val="00FB0F60"/>
    <w:rsid w:val="00FB2CBC"/>
    <w:rsid w:val="00FB3DBF"/>
    <w:rsid w:val="00FB530A"/>
    <w:rsid w:val="00FB5362"/>
    <w:rsid w:val="00FB57AB"/>
    <w:rsid w:val="00FB5BB6"/>
    <w:rsid w:val="00FB6AF1"/>
    <w:rsid w:val="00FB760E"/>
    <w:rsid w:val="00FC011B"/>
    <w:rsid w:val="00FC0C5F"/>
    <w:rsid w:val="00FC11A0"/>
    <w:rsid w:val="00FC18F2"/>
    <w:rsid w:val="00FC1A5F"/>
    <w:rsid w:val="00FC20DD"/>
    <w:rsid w:val="00FC39E5"/>
    <w:rsid w:val="00FC3A78"/>
    <w:rsid w:val="00FC4904"/>
    <w:rsid w:val="00FC6887"/>
    <w:rsid w:val="00FC708E"/>
    <w:rsid w:val="00FC74EC"/>
    <w:rsid w:val="00FC79C5"/>
    <w:rsid w:val="00FD1005"/>
    <w:rsid w:val="00FD119E"/>
    <w:rsid w:val="00FD1F6E"/>
    <w:rsid w:val="00FD385F"/>
    <w:rsid w:val="00FD4215"/>
    <w:rsid w:val="00FD487E"/>
    <w:rsid w:val="00FD516D"/>
    <w:rsid w:val="00FD5ECE"/>
    <w:rsid w:val="00FD5F9D"/>
    <w:rsid w:val="00FD6C75"/>
    <w:rsid w:val="00FD6EEC"/>
    <w:rsid w:val="00FE0626"/>
    <w:rsid w:val="00FE2DFA"/>
    <w:rsid w:val="00FE5878"/>
    <w:rsid w:val="00FE6A38"/>
    <w:rsid w:val="00FE6C5F"/>
    <w:rsid w:val="00FE71B3"/>
    <w:rsid w:val="00FF0BF1"/>
    <w:rsid w:val="00FF1DEF"/>
    <w:rsid w:val="00FF2D29"/>
    <w:rsid w:val="00FF41DF"/>
    <w:rsid w:val="00FF42C5"/>
    <w:rsid w:val="00FF510C"/>
    <w:rsid w:val="00FF559E"/>
    <w:rsid w:val="00FF6694"/>
    <w:rsid w:val="00FF7055"/>
  </w:rsids>
  <m:mathPr>
    <m:mathFont m:val="Cambria Math"/>
    <m:brkBin m:val="before"/>
    <m:brkBinSub m:val="--"/>
    <m:smallFrac m:val="off"/>
    <m:dispDef/>
    <m:lMargin m:val="0"/>
    <m:rMargin m:val="0"/>
    <m:defJc m:val="centerGroup"/>
    <m:wrapIndent m:val="1440"/>
    <m:intLim m:val="subSup"/>
    <m:naryLim m:val="undOvr"/>
  </m:mathPr>
  <w:uiCompat97To2003/>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metricconverter"/>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sl-SI" w:eastAsia="sl-SI"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9E0FDA"/>
    <w:pPr>
      <w:jc w:val="both"/>
    </w:pPr>
    <w:rPr>
      <w:rFonts w:eastAsia="MS Mincho"/>
      <w:sz w:val="24"/>
      <w:lang w:val="en-US" w:eastAsia="en-US"/>
    </w:rPr>
  </w:style>
  <w:style w:type="paragraph" w:styleId="Heading1">
    <w:name w:val="heading 1"/>
    <w:basedOn w:val="Normal"/>
    <w:next w:val="Normal"/>
    <w:link w:val="Heading1Char"/>
    <w:uiPriority w:val="99"/>
    <w:qFormat/>
    <w:rsid w:val="009E0FDA"/>
    <w:pPr>
      <w:spacing w:before="480"/>
      <w:contextualSpacing/>
      <w:outlineLvl w:val="0"/>
    </w:pPr>
    <w:rPr>
      <w:rFonts w:eastAsia="MS Gothic"/>
      <w:b/>
      <w:bCs/>
      <w:color w:val="333333"/>
      <w:sz w:val="28"/>
      <w:szCs w:val="28"/>
    </w:rPr>
  </w:style>
  <w:style w:type="paragraph" w:styleId="Heading2">
    <w:name w:val="heading 2"/>
    <w:basedOn w:val="Normal"/>
    <w:next w:val="Normal"/>
    <w:link w:val="Heading2Char"/>
    <w:uiPriority w:val="99"/>
    <w:qFormat/>
    <w:rsid w:val="009E0FDA"/>
    <w:pPr>
      <w:spacing w:before="200"/>
      <w:outlineLvl w:val="1"/>
    </w:pPr>
    <w:rPr>
      <w:rFonts w:eastAsia="MS Gothic"/>
      <w:b/>
      <w:bCs/>
      <w:color w:val="4D4D4D"/>
      <w:sz w:val="26"/>
      <w:szCs w:val="26"/>
    </w:rPr>
  </w:style>
  <w:style w:type="paragraph" w:styleId="Heading3">
    <w:name w:val="heading 3"/>
    <w:basedOn w:val="Normal"/>
    <w:next w:val="Normal"/>
    <w:link w:val="Heading3Char"/>
    <w:uiPriority w:val="99"/>
    <w:qFormat/>
    <w:rsid w:val="009E0FDA"/>
    <w:pPr>
      <w:spacing w:before="200" w:line="271" w:lineRule="auto"/>
      <w:outlineLvl w:val="2"/>
    </w:pPr>
    <w:rPr>
      <w:rFonts w:eastAsia="MS Gothic"/>
      <w:b/>
      <w:bCs/>
      <w:color w:val="5F5F5F"/>
    </w:rPr>
  </w:style>
  <w:style w:type="paragraph" w:styleId="Heading4">
    <w:name w:val="heading 4"/>
    <w:basedOn w:val="Normal"/>
    <w:next w:val="Normal"/>
    <w:link w:val="Heading4Char"/>
    <w:uiPriority w:val="99"/>
    <w:qFormat/>
    <w:rsid w:val="009E0FDA"/>
    <w:pPr>
      <w:spacing w:before="200"/>
      <w:outlineLvl w:val="3"/>
    </w:pPr>
    <w:rPr>
      <w:rFonts w:eastAsia="MS Gothic"/>
      <w:b/>
      <w:bCs/>
      <w:i/>
      <w:iCs/>
      <w:color w:val="777777"/>
    </w:rPr>
  </w:style>
  <w:style w:type="paragraph" w:styleId="Heading5">
    <w:name w:val="heading 5"/>
    <w:basedOn w:val="Normal"/>
    <w:next w:val="Normal"/>
    <w:link w:val="Heading5Char"/>
    <w:uiPriority w:val="99"/>
    <w:qFormat/>
    <w:rsid w:val="009E0FDA"/>
    <w:pPr>
      <w:spacing w:before="200"/>
      <w:outlineLvl w:val="4"/>
    </w:pPr>
    <w:rPr>
      <w:rFonts w:eastAsia="MS Gothic"/>
      <w:b/>
      <w:bCs/>
      <w:color w:val="808080"/>
    </w:rPr>
  </w:style>
  <w:style w:type="paragraph" w:styleId="Heading6">
    <w:name w:val="heading 6"/>
    <w:basedOn w:val="Normal"/>
    <w:next w:val="Normal"/>
    <w:link w:val="Heading6Char"/>
    <w:uiPriority w:val="99"/>
    <w:qFormat/>
    <w:rsid w:val="009E0FDA"/>
    <w:pPr>
      <w:spacing w:line="271" w:lineRule="auto"/>
      <w:outlineLvl w:val="5"/>
    </w:pPr>
    <w:rPr>
      <w:rFonts w:eastAsia="MS Gothic"/>
      <w:b/>
      <w:bCs/>
      <w:i/>
      <w:iCs/>
      <w:color w:val="7F7F7F"/>
    </w:rPr>
  </w:style>
  <w:style w:type="paragraph" w:styleId="Heading7">
    <w:name w:val="heading 7"/>
    <w:basedOn w:val="Normal"/>
    <w:next w:val="Normal"/>
    <w:link w:val="Heading7Char"/>
    <w:uiPriority w:val="99"/>
    <w:qFormat/>
    <w:rsid w:val="009E0FDA"/>
    <w:pPr>
      <w:outlineLvl w:val="6"/>
    </w:pPr>
    <w:rPr>
      <w:rFonts w:eastAsia="MS Gothic"/>
      <w:i/>
      <w:iCs/>
    </w:rPr>
  </w:style>
  <w:style w:type="paragraph" w:styleId="Heading8">
    <w:name w:val="heading 8"/>
    <w:basedOn w:val="Normal"/>
    <w:next w:val="Normal"/>
    <w:link w:val="Heading8Char"/>
    <w:uiPriority w:val="99"/>
    <w:qFormat/>
    <w:rsid w:val="009E0FDA"/>
    <w:pPr>
      <w:outlineLvl w:val="7"/>
    </w:pPr>
    <w:rPr>
      <w:rFonts w:eastAsia="MS Gothic"/>
      <w:sz w:val="20"/>
      <w:szCs w:val="20"/>
    </w:rPr>
  </w:style>
  <w:style w:type="paragraph" w:styleId="Heading9">
    <w:name w:val="heading 9"/>
    <w:basedOn w:val="Normal"/>
    <w:next w:val="Normal"/>
    <w:link w:val="Heading9Char"/>
    <w:uiPriority w:val="99"/>
    <w:qFormat/>
    <w:rsid w:val="009E0FDA"/>
    <w:pPr>
      <w:outlineLvl w:val="8"/>
    </w:pPr>
    <w:rPr>
      <w:rFonts w:eastAsia="MS Gothic"/>
      <w:i/>
      <w:iCs/>
      <w:spacing w:val="5"/>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semiHidden/>
    <w:locked/>
    <w:rsid w:val="009E0FDA"/>
    <w:rPr>
      <w:rFonts w:ascii="Times New Roman" w:eastAsia="MS Gothic" w:hAnsi="Times New Roman" w:cs="Times New Roman"/>
      <w:b/>
      <w:bCs/>
      <w:color w:val="333333"/>
      <w:sz w:val="28"/>
      <w:szCs w:val="28"/>
    </w:rPr>
  </w:style>
  <w:style w:type="character" w:customStyle="1" w:styleId="Heading2Char">
    <w:name w:val="Heading 2 Char"/>
    <w:basedOn w:val="DefaultParagraphFont"/>
    <w:link w:val="Heading2"/>
    <w:uiPriority w:val="99"/>
    <w:semiHidden/>
    <w:locked/>
    <w:rsid w:val="009E0FDA"/>
    <w:rPr>
      <w:rFonts w:ascii="Times New Roman" w:eastAsia="MS Gothic" w:hAnsi="Times New Roman" w:cs="Times New Roman"/>
      <w:b/>
      <w:bCs/>
      <w:color w:val="4D4D4D"/>
      <w:sz w:val="26"/>
      <w:szCs w:val="26"/>
    </w:rPr>
  </w:style>
  <w:style w:type="character" w:customStyle="1" w:styleId="Heading3Char">
    <w:name w:val="Heading 3 Char"/>
    <w:basedOn w:val="DefaultParagraphFont"/>
    <w:link w:val="Heading3"/>
    <w:uiPriority w:val="99"/>
    <w:semiHidden/>
    <w:locked/>
    <w:rsid w:val="009E0FDA"/>
    <w:rPr>
      <w:rFonts w:ascii="Times New Roman" w:eastAsia="MS Gothic" w:hAnsi="Times New Roman" w:cs="Times New Roman"/>
      <w:b/>
      <w:bCs/>
      <w:color w:val="5F5F5F"/>
      <w:sz w:val="24"/>
    </w:rPr>
  </w:style>
  <w:style w:type="character" w:customStyle="1" w:styleId="Heading4Char">
    <w:name w:val="Heading 4 Char"/>
    <w:basedOn w:val="DefaultParagraphFont"/>
    <w:link w:val="Heading4"/>
    <w:uiPriority w:val="99"/>
    <w:semiHidden/>
    <w:locked/>
    <w:rsid w:val="009E0FDA"/>
    <w:rPr>
      <w:rFonts w:ascii="Times New Roman" w:eastAsia="MS Gothic" w:hAnsi="Times New Roman" w:cs="Times New Roman"/>
      <w:b/>
      <w:bCs/>
      <w:i/>
      <w:iCs/>
      <w:color w:val="777777"/>
      <w:sz w:val="24"/>
    </w:rPr>
  </w:style>
  <w:style w:type="character" w:customStyle="1" w:styleId="Heading5Char">
    <w:name w:val="Heading 5 Char"/>
    <w:basedOn w:val="DefaultParagraphFont"/>
    <w:link w:val="Heading5"/>
    <w:uiPriority w:val="99"/>
    <w:semiHidden/>
    <w:locked/>
    <w:rsid w:val="009E0FDA"/>
    <w:rPr>
      <w:rFonts w:ascii="Times New Roman" w:eastAsia="MS Gothic" w:hAnsi="Times New Roman" w:cs="Times New Roman"/>
      <w:b/>
      <w:bCs/>
      <w:color w:val="808080"/>
      <w:sz w:val="24"/>
    </w:rPr>
  </w:style>
  <w:style w:type="character" w:customStyle="1" w:styleId="Heading6Char">
    <w:name w:val="Heading 6 Char"/>
    <w:basedOn w:val="DefaultParagraphFont"/>
    <w:link w:val="Heading6"/>
    <w:uiPriority w:val="99"/>
    <w:semiHidden/>
    <w:locked/>
    <w:rsid w:val="009E0FDA"/>
    <w:rPr>
      <w:rFonts w:ascii="Times New Roman" w:eastAsia="MS Gothic" w:hAnsi="Times New Roman" w:cs="Times New Roman"/>
      <w:b/>
      <w:bCs/>
      <w:i/>
      <w:iCs/>
      <w:color w:val="7F7F7F"/>
      <w:sz w:val="24"/>
    </w:rPr>
  </w:style>
  <w:style w:type="character" w:customStyle="1" w:styleId="Heading7Char">
    <w:name w:val="Heading 7 Char"/>
    <w:basedOn w:val="DefaultParagraphFont"/>
    <w:link w:val="Heading7"/>
    <w:uiPriority w:val="99"/>
    <w:semiHidden/>
    <w:locked/>
    <w:rsid w:val="009E0FDA"/>
    <w:rPr>
      <w:rFonts w:ascii="Times New Roman" w:eastAsia="MS Gothic" w:hAnsi="Times New Roman" w:cs="Times New Roman"/>
      <w:i/>
      <w:iCs/>
      <w:sz w:val="24"/>
    </w:rPr>
  </w:style>
  <w:style w:type="character" w:customStyle="1" w:styleId="Heading8Char">
    <w:name w:val="Heading 8 Char"/>
    <w:basedOn w:val="DefaultParagraphFont"/>
    <w:link w:val="Heading8"/>
    <w:uiPriority w:val="99"/>
    <w:semiHidden/>
    <w:locked/>
    <w:rsid w:val="009E0FDA"/>
    <w:rPr>
      <w:rFonts w:ascii="Times New Roman" w:eastAsia="MS Gothic" w:hAnsi="Times New Roman" w:cs="Times New Roman"/>
      <w:sz w:val="20"/>
      <w:szCs w:val="20"/>
    </w:rPr>
  </w:style>
  <w:style w:type="character" w:customStyle="1" w:styleId="Heading9Char">
    <w:name w:val="Heading 9 Char"/>
    <w:basedOn w:val="DefaultParagraphFont"/>
    <w:link w:val="Heading9"/>
    <w:uiPriority w:val="99"/>
    <w:semiHidden/>
    <w:locked/>
    <w:rsid w:val="009E0FDA"/>
    <w:rPr>
      <w:rFonts w:ascii="Times New Roman" w:eastAsia="MS Gothic" w:hAnsi="Times New Roman" w:cs="Times New Roman"/>
      <w:i/>
      <w:iCs/>
      <w:spacing w:val="5"/>
      <w:sz w:val="20"/>
      <w:szCs w:val="20"/>
    </w:rPr>
  </w:style>
  <w:style w:type="paragraph" w:styleId="BalloonText">
    <w:name w:val="Balloon Text"/>
    <w:basedOn w:val="Normal"/>
    <w:link w:val="BalloonTextChar"/>
    <w:uiPriority w:val="99"/>
    <w:semiHidden/>
    <w:rsid w:val="009E0FD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E0FDA"/>
    <w:rPr>
      <w:rFonts w:ascii="Tahoma" w:eastAsia="MS Mincho" w:hAnsi="Tahoma" w:cs="Tahoma"/>
      <w:sz w:val="16"/>
      <w:szCs w:val="16"/>
    </w:rPr>
  </w:style>
  <w:style w:type="character" w:styleId="BookTitle">
    <w:name w:val="Book Title"/>
    <w:basedOn w:val="DefaultParagraphFont"/>
    <w:uiPriority w:val="99"/>
    <w:qFormat/>
    <w:rsid w:val="009E0FDA"/>
    <w:rPr>
      <w:rFonts w:cs="Times New Roman"/>
      <w:i/>
      <w:smallCaps/>
      <w:spacing w:val="5"/>
    </w:rPr>
  </w:style>
  <w:style w:type="paragraph" w:customStyle="1" w:styleId="ECHRHeader">
    <w:name w:val="ECHR_Header"/>
    <w:aliases w:val="Ju_Header"/>
    <w:basedOn w:val="Header"/>
    <w:uiPriority w:val="99"/>
    <w:rsid w:val="009E0FDA"/>
    <w:pPr>
      <w:tabs>
        <w:tab w:val="clear" w:pos="4536"/>
        <w:tab w:val="clear" w:pos="9072"/>
        <w:tab w:val="center" w:pos="3686"/>
        <w:tab w:val="right" w:pos="7371"/>
      </w:tabs>
      <w:jc w:val="left"/>
    </w:pPr>
    <w:rPr>
      <w:sz w:val="18"/>
    </w:rPr>
  </w:style>
  <w:style w:type="paragraph" w:customStyle="1" w:styleId="ECHRFooter">
    <w:name w:val="ECHR_Footer"/>
    <w:aliases w:val="Footer_ECHR"/>
    <w:basedOn w:val="Footer"/>
    <w:uiPriority w:val="99"/>
    <w:semiHidden/>
    <w:rsid w:val="009E0FDA"/>
    <w:pPr>
      <w:jc w:val="left"/>
    </w:pPr>
    <w:rPr>
      <w:sz w:val="8"/>
    </w:rPr>
  </w:style>
  <w:style w:type="character" w:styleId="Strong">
    <w:name w:val="Strong"/>
    <w:basedOn w:val="DefaultParagraphFont"/>
    <w:uiPriority w:val="99"/>
    <w:qFormat/>
    <w:rsid w:val="009E0FDA"/>
    <w:rPr>
      <w:rFonts w:cs="Times New Roman"/>
      <w:b/>
    </w:rPr>
  </w:style>
  <w:style w:type="paragraph" w:styleId="NoSpacing">
    <w:name w:val="No Spacing"/>
    <w:basedOn w:val="Normal"/>
    <w:link w:val="NoSpacingChar"/>
    <w:uiPriority w:val="99"/>
    <w:qFormat/>
    <w:rsid w:val="009E0FDA"/>
  </w:style>
  <w:style w:type="character" w:customStyle="1" w:styleId="NoSpacingChar">
    <w:name w:val="No Spacing Char"/>
    <w:basedOn w:val="DefaultParagraphFont"/>
    <w:link w:val="NoSpacing"/>
    <w:uiPriority w:val="99"/>
    <w:semiHidden/>
    <w:locked/>
    <w:rsid w:val="009E0FDA"/>
    <w:rPr>
      <w:rFonts w:eastAsia="MS Mincho" w:cs="Times New Roman"/>
      <w:sz w:val="24"/>
    </w:rPr>
  </w:style>
  <w:style w:type="paragraph" w:customStyle="1" w:styleId="ECHRFooterLine">
    <w:name w:val="ECHR_Footer_Line"/>
    <w:aliases w:val="Footer_Line"/>
    <w:basedOn w:val="Normal"/>
    <w:next w:val="ECHRFooter"/>
    <w:uiPriority w:val="99"/>
    <w:semiHidden/>
    <w:rsid w:val="009E0FDA"/>
    <w:pPr>
      <w:pBdr>
        <w:top w:val="single" w:sz="6" w:space="1" w:color="5F5F5F"/>
      </w:pBdr>
      <w:tabs>
        <w:tab w:val="center" w:pos="4536"/>
        <w:tab w:val="right" w:pos="9696"/>
      </w:tabs>
      <w:ind w:left="-680" w:right="-680"/>
      <w:jc w:val="left"/>
    </w:pPr>
    <w:rPr>
      <w:color w:val="5F5F5F"/>
    </w:rPr>
  </w:style>
  <w:style w:type="paragraph" w:customStyle="1" w:styleId="JuAppQuestion">
    <w:name w:val="Ju_App_Question"/>
    <w:basedOn w:val="Normal"/>
    <w:uiPriority w:val="99"/>
    <w:rsid w:val="009E0FDA"/>
    <w:pPr>
      <w:numPr>
        <w:numId w:val="44"/>
      </w:numPr>
      <w:jc w:val="left"/>
    </w:pPr>
    <w:rPr>
      <w:b/>
    </w:rPr>
  </w:style>
  <w:style w:type="paragraph" w:customStyle="1" w:styleId="OpiPara">
    <w:name w:val="Opi_Para"/>
    <w:basedOn w:val="ECHRPara"/>
    <w:uiPriority w:val="99"/>
    <w:semiHidden/>
    <w:rsid w:val="009E0FDA"/>
  </w:style>
  <w:style w:type="paragraph" w:customStyle="1" w:styleId="JuParaSub">
    <w:name w:val="Ju_Para_Sub"/>
    <w:basedOn w:val="ECHRPara"/>
    <w:uiPriority w:val="99"/>
    <w:rsid w:val="009E0FDA"/>
    <w:pPr>
      <w:ind w:left="284"/>
    </w:pPr>
  </w:style>
  <w:style w:type="paragraph" w:customStyle="1" w:styleId="ECHRTitleCentre3">
    <w:name w:val="ECHR_Title_Centre_3"/>
    <w:aliases w:val="Ju_H_Article"/>
    <w:basedOn w:val="Normal"/>
    <w:next w:val="ECHRParaQuote"/>
    <w:uiPriority w:val="99"/>
    <w:rsid w:val="009E0FDA"/>
    <w:pPr>
      <w:keepNext/>
      <w:keepLines/>
      <w:spacing w:before="240" w:after="120"/>
      <w:jc w:val="center"/>
      <w:outlineLvl w:val="3"/>
    </w:pPr>
    <w:rPr>
      <w:b/>
      <w:sz w:val="20"/>
    </w:rPr>
  </w:style>
  <w:style w:type="paragraph" w:customStyle="1" w:styleId="ECHRTitleCentre1">
    <w:name w:val="ECHR_Title_Centre_1"/>
    <w:aliases w:val="Opi_H_Head"/>
    <w:basedOn w:val="Normal"/>
    <w:next w:val="OpiPara"/>
    <w:uiPriority w:val="99"/>
    <w:rsid w:val="009E0FDA"/>
    <w:pPr>
      <w:keepNext/>
      <w:keepLines/>
      <w:spacing w:after="240"/>
      <w:jc w:val="center"/>
      <w:outlineLvl w:val="0"/>
    </w:pPr>
    <w:rPr>
      <w:sz w:val="28"/>
    </w:rPr>
  </w:style>
  <w:style w:type="paragraph" w:customStyle="1" w:styleId="OpiParaSub">
    <w:name w:val="Opi_Para_Sub"/>
    <w:basedOn w:val="JuParaSub"/>
    <w:uiPriority w:val="99"/>
    <w:semiHidden/>
    <w:rsid w:val="009E0FDA"/>
  </w:style>
  <w:style w:type="paragraph" w:customStyle="1" w:styleId="OpiQuot">
    <w:name w:val="Opi_Quot"/>
    <w:basedOn w:val="ECHRParaQuote"/>
    <w:uiPriority w:val="99"/>
    <w:semiHidden/>
    <w:rsid w:val="009E0FDA"/>
  </w:style>
  <w:style w:type="paragraph" w:customStyle="1" w:styleId="OpiQuotSub">
    <w:name w:val="Opi_Quot_Sub"/>
    <w:basedOn w:val="JuQuotSub"/>
    <w:uiPriority w:val="99"/>
    <w:semiHidden/>
    <w:rsid w:val="009E0FDA"/>
  </w:style>
  <w:style w:type="paragraph" w:customStyle="1" w:styleId="ECHRTitleCentre2">
    <w:name w:val="ECHR_Title_Centre_2"/>
    <w:aliases w:val="Dec_H_Case"/>
    <w:basedOn w:val="Normal"/>
    <w:next w:val="ECHRPara"/>
    <w:uiPriority w:val="99"/>
    <w:rsid w:val="009E0FDA"/>
    <w:pPr>
      <w:spacing w:after="240"/>
      <w:jc w:val="center"/>
      <w:outlineLvl w:val="0"/>
    </w:pPr>
  </w:style>
  <w:style w:type="paragraph" w:customStyle="1" w:styleId="JuTitle">
    <w:name w:val="Ju_Title"/>
    <w:basedOn w:val="Normal"/>
    <w:next w:val="ECHRPara"/>
    <w:uiPriority w:val="99"/>
    <w:rsid w:val="009E0FDA"/>
    <w:pPr>
      <w:spacing w:before="720" w:after="240"/>
      <w:jc w:val="center"/>
      <w:outlineLvl w:val="0"/>
    </w:pPr>
    <w:rPr>
      <w:b/>
      <w:caps/>
    </w:rPr>
  </w:style>
  <w:style w:type="paragraph" w:styleId="Title">
    <w:name w:val="Title"/>
    <w:basedOn w:val="Normal"/>
    <w:next w:val="Normal"/>
    <w:link w:val="TitleChar"/>
    <w:uiPriority w:val="99"/>
    <w:qFormat/>
    <w:rsid w:val="009E0FDA"/>
    <w:pPr>
      <w:pBdr>
        <w:bottom w:val="single" w:sz="4" w:space="1" w:color="auto"/>
      </w:pBdr>
      <w:contextualSpacing/>
    </w:pPr>
    <w:rPr>
      <w:rFonts w:eastAsia="MS Gothic"/>
      <w:spacing w:val="5"/>
      <w:sz w:val="52"/>
      <w:szCs w:val="52"/>
    </w:rPr>
  </w:style>
  <w:style w:type="character" w:customStyle="1" w:styleId="TitleChar">
    <w:name w:val="Title Char"/>
    <w:basedOn w:val="DefaultParagraphFont"/>
    <w:link w:val="Title"/>
    <w:uiPriority w:val="99"/>
    <w:semiHidden/>
    <w:locked/>
    <w:rsid w:val="009E0FDA"/>
    <w:rPr>
      <w:rFonts w:ascii="Times New Roman" w:eastAsia="MS Gothic" w:hAnsi="Times New Roman" w:cs="Times New Roman"/>
      <w:spacing w:val="5"/>
      <w:sz w:val="52"/>
      <w:szCs w:val="52"/>
    </w:rPr>
  </w:style>
  <w:style w:type="paragraph" w:customStyle="1" w:styleId="JuQuotSub">
    <w:name w:val="Ju_Quot_Sub"/>
    <w:basedOn w:val="ECHRParaQuote"/>
    <w:uiPriority w:val="99"/>
    <w:rsid w:val="009E0FDA"/>
    <w:pPr>
      <w:ind w:left="567"/>
    </w:pPr>
  </w:style>
  <w:style w:type="paragraph" w:customStyle="1" w:styleId="ECHRHeading3">
    <w:name w:val="ECHR_Heading_3"/>
    <w:aliases w:val="Ju_H_1."/>
    <w:basedOn w:val="Heading3"/>
    <w:next w:val="ECHRPara"/>
    <w:uiPriority w:val="99"/>
    <w:rsid w:val="009E0FDA"/>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Heading4"/>
    <w:next w:val="ECHRPara"/>
    <w:link w:val="JuHaChar"/>
    <w:uiPriority w:val="99"/>
    <w:rsid w:val="009E0FDA"/>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Heading5"/>
    <w:next w:val="ECHRPara"/>
    <w:uiPriority w:val="99"/>
    <w:rsid w:val="009E0FDA"/>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Heading6"/>
    <w:next w:val="ECHRPara"/>
    <w:uiPriority w:val="99"/>
    <w:rsid w:val="009E0FDA"/>
    <w:pPr>
      <w:keepNext/>
      <w:keepLines/>
      <w:tabs>
        <w:tab w:val="left" w:pos="1372"/>
      </w:tabs>
      <w:spacing w:before="240" w:after="120" w:line="240" w:lineRule="auto"/>
      <w:ind w:left="1373" w:hanging="335"/>
    </w:pPr>
    <w:rPr>
      <w:b w:val="0"/>
      <w:color w:val="auto"/>
      <w:sz w:val="20"/>
    </w:rPr>
  </w:style>
  <w:style w:type="paragraph" w:customStyle="1" w:styleId="ECHRHeading7">
    <w:name w:val="ECHR_Heading_7"/>
    <w:aliases w:val="Ju_H_–"/>
    <w:basedOn w:val="Heading7"/>
    <w:next w:val="ECHRPara"/>
    <w:uiPriority w:val="99"/>
    <w:rsid w:val="009E0FDA"/>
    <w:pPr>
      <w:keepNext/>
      <w:keepLines/>
      <w:spacing w:before="240" w:after="120"/>
      <w:ind w:left="1236"/>
    </w:pPr>
    <w:rPr>
      <w:sz w:val="20"/>
    </w:rPr>
  </w:style>
  <w:style w:type="paragraph" w:customStyle="1" w:styleId="JuInitialled">
    <w:name w:val="Ju_Initialled"/>
    <w:basedOn w:val="Normal"/>
    <w:uiPriority w:val="99"/>
    <w:rsid w:val="009E0FDA"/>
    <w:pPr>
      <w:tabs>
        <w:tab w:val="center" w:pos="6407"/>
      </w:tabs>
      <w:spacing w:before="720"/>
      <w:jc w:val="right"/>
    </w:pPr>
  </w:style>
  <w:style w:type="paragraph" w:customStyle="1" w:styleId="OpiHA">
    <w:name w:val="Opi_H_A"/>
    <w:basedOn w:val="ECHRHeading1"/>
    <w:next w:val="OpiPara"/>
    <w:uiPriority w:val="99"/>
    <w:semiHidden/>
    <w:rsid w:val="009E0FDA"/>
    <w:pPr>
      <w:tabs>
        <w:tab w:val="clear" w:pos="357"/>
      </w:tabs>
      <w:outlineLvl w:val="1"/>
    </w:pPr>
    <w:rPr>
      <w:b/>
    </w:rPr>
  </w:style>
  <w:style w:type="paragraph" w:styleId="Header">
    <w:name w:val="header"/>
    <w:basedOn w:val="Normal"/>
    <w:link w:val="HeaderChar"/>
    <w:uiPriority w:val="99"/>
    <w:semiHidden/>
    <w:rsid w:val="009E0FDA"/>
    <w:pPr>
      <w:tabs>
        <w:tab w:val="center" w:pos="4536"/>
        <w:tab w:val="right" w:pos="9072"/>
      </w:tabs>
    </w:pPr>
    <w:rPr>
      <w:rFonts w:eastAsia="Times New Roman"/>
    </w:rPr>
  </w:style>
  <w:style w:type="character" w:customStyle="1" w:styleId="HeaderChar">
    <w:name w:val="Header Char"/>
    <w:basedOn w:val="DefaultParagraphFont"/>
    <w:link w:val="Header"/>
    <w:uiPriority w:val="99"/>
    <w:semiHidden/>
    <w:locked/>
    <w:rsid w:val="009E0FDA"/>
    <w:rPr>
      <w:rFonts w:cs="Times New Roman"/>
      <w:sz w:val="24"/>
    </w:rPr>
  </w:style>
  <w:style w:type="paragraph" w:customStyle="1" w:styleId="ECHRHeading1">
    <w:name w:val="ECHR_Heading_1"/>
    <w:aliases w:val="Ju_H_I_Roman"/>
    <w:basedOn w:val="Heading1"/>
    <w:next w:val="ECHRPara"/>
    <w:link w:val="JuHIRomanChar"/>
    <w:uiPriority w:val="99"/>
    <w:rsid w:val="009E0FDA"/>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Heading2"/>
    <w:next w:val="ECHRPara"/>
    <w:uiPriority w:val="99"/>
    <w:rsid w:val="009E0FDA"/>
    <w:pPr>
      <w:keepNext/>
      <w:keepLines/>
      <w:tabs>
        <w:tab w:val="left" w:pos="584"/>
      </w:tabs>
      <w:spacing w:before="360" w:after="240"/>
      <w:ind w:left="584" w:hanging="352"/>
    </w:pPr>
    <w:rPr>
      <w:color w:val="auto"/>
      <w:sz w:val="24"/>
    </w:rPr>
  </w:style>
  <w:style w:type="character" w:customStyle="1" w:styleId="JUNAMES">
    <w:name w:val="JU_NAMES"/>
    <w:uiPriority w:val="99"/>
    <w:rsid w:val="009E0FDA"/>
    <w:rPr>
      <w:smallCaps/>
    </w:rPr>
  </w:style>
  <w:style w:type="character" w:customStyle="1" w:styleId="JuITMark">
    <w:name w:val="Ju_ITMark"/>
    <w:basedOn w:val="DefaultParagraphFont"/>
    <w:uiPriority w:val="99"/>
    <w:rsid w:val="009E0FDA"/>
    <w:rPr>
      <w:rFonts w:cs="Times New Roman"/>
      <w:color w:val="auto"/>
      <w:sz w:val="14"/>
    </w:rPr>
  </w:style>
  <w:style w:type="paragraph" w:customStyle="1" w:styleId="ECHRDecisionBody">
    <w:name w:val="ECHR_Decision_Body"/>
    <w:aliases w:val="Ju_Judges"/>
    <w:basedOn w:val="Normal"/>
    <w:uiPriority w:val="99"/>
    <w:rsid w:val="009E0FDA"/>
    <w:pPr>
      <w:tabs>
        <w:tab w:val="left" w:pos="567"/>
        <w:tab w:val="left" w:pos="1134"/>
      </w:tabs>
      <w:jc w:val="left"/>
    </w:pPr>
  </w:style>
  <w:style w:type="paragraph" w:customStyle="1" w:styleId="ECHRPara">
    <w:name w:val="ECHR_Para"/>
    <w:aliases w:val="Ju_Para"/>
    <w:basedOn w:val="Normal"/>
    <w:link w:val="ECHRParaChar"/>
    <w:uiPriority w:val="99"/>
    <w:rsid w:val="009E0FDA"/>
    <w:pPr>
      <w:ind w:firstLine="284"/>
    </w:pPr>
  </w:style>
  <w:style w:type="paragraph" w:customStyle="1" w:styleId="JuList">
    <w:name w:val="Ju_List"/>
    <w:basedOn w:val="Normal"/>
    <w:link w:val="JuListChar"/>
    <w:uiPriority w:val="99"/>
    <w:rsid w:val="009E0FDA"/>
    <w:pPr>
      <w:ind w:left="340" w:hanging="340"/>
    </w:pPr>
  </w:style>
  <w:style w:type="paragraph" w:customStyle="1" w:styleId="JuSigned">
    <w:name w:val="Ju_Signed"/>
    <w:basedOn w:val="Normal"/>
    <w:next w:val="JuParaLast"/>
    <w:uiPriority w:val="99"/>
    <w:rsid w:val="009E0FDA"/>
    <w:pPr>
      <w:tabs>
        <w:tab w:val="center" w:pos="851"/>
        <w:tab w:val="center" w:pos="6407"/>
      </w:tabs>
      <w:spacing w:before="720"/>
      <w:jc w:val="left"/>
    </w:pPr>
  </w:style>
  <w:style w:type="paragraph" w:styleId="Revision">
    <w:name w:val="Revision"/>
    <w:hidden/>
    <w:uiPriority w:val="99"/>
    <w:semiHidden/>
    <w:rsid w:val="000055E6"/>
    <w:rPr>
      <w:rFonts w:eastAsia="MS Mincho"/>
      <w:sz w:val="24"/>
      <w:lang w:val="en-US" w:eastAsia="en-US"/>
    </w:rPr>
  </w:style>
  <w:style w:type="character" w:styleId="SubtleEmphasis">
    <w:name w:val="Subtle Emphasis"/>
    <w:basedOn w:val="DefaultParagraphFont"/>
    <w:uiPriority w:val="99"/>
    <w:qFormat/>
    <w:rsid w:val="009E0FDA"/>
    <w:rPr>
      <w:rFonts w:cs="Times New Roman"/>
      <w:i/>
    </w:rPr>
  </w:style>
  <w:style w:type="table" w:customStyle="1" w:styleId="ECHRTable">
    <w:name w:val="ECHR_Table"/>
    <w:uiPriority w:val="99"/>
    <w:rsid w:val="00860B03"/>
    <w:rPr>
      <w:sz w:val="20"/>
      <w:szCs w:val="20"/>
      <w:lang w:val="en-GB" w:eastAsia="zh-CN"/>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TableBoxHeader">
    <w:name w:val="ECHR_Table_Box_Header"/>
    <w:uiPriority w:val="99"/>
    <w:rsid w:val="004C086C"/>
    <w:rPr>
      <w:rFonts w:ascii="Verdana" w:hAnsi="Verdana"/>
      <w:sz w:val="20"/>
      <w:szCs w:val="20"/>
      <w:lang w:val="en-GB" w:eastAsia="zh-CN"/>
    </w:rPr>
    <w:tblPr>
      <w:tblInd w:w="0" w:type="dxa"/>
      <w:tblCellMar>
        <w:top w:w="57" w:type="dxa"/>
        <w:left w:w="57" w:type="dxa"/>
        <w:bottom w:w="57" w:type="dxa"/>
        <w:right w:w="57" w:type="dxa"/>
      </w:tblCellMar>
    </w:tblPr>
    <w:tcPr>
      <w:shd w:val="clear" w:color="auto" w:fill="F8F8F8"/>
    </w:tcPr>
  </w:style>
  <w:style w:type="paragraph" w:customStyle="1" w:styleId="ECHRTitle1">
    <w:name w:val="ECHR_Title_1"/>
    <w:aliases w:val="Ju_H_Head"/>
    <w:basedOn w:val="Normal"/>
    <w:next w:val="ECHRPara"/>
    <w:uiPriority w:val="99"/>
    <w:rsid w:val="009E0FDA"/>
    <w:pPr>
      <w:keepNext/>
      <w:keepLines/>
      <w:spacing w:before="720" w:after="240"/>
      <w:outlineLvl w:val="0"/>
    </w:pPr>
    <w:rPr>
      <w:sz w:val="28"/>
    </w:rPr>
  </w:style>
  <w:style w:type="character" w:styleId="Emphasis">
    <w:name w:val="Emphasis"/>
    <w:basedOn w:val="DefaultParagraphFont"/>
    <w:uiPriority w:val="99"/>
    <w:qFormat/>
    <w:rsid w:val="009E0FDA"/>
    <w:rPr>
      <w:rFonts w:cs="Times New Roman"/>
      <w:b/>
      <w:i/>
      <w:spacing w:val="10"/>
      <w:shd w:val="clear" w:color="auto" w:fill="auto"/>
    </w:rPr>
  </w:style>
  <w:style w:type="paragraph" w:styleId="Footer">
    <w:name w:val="footer"/>
    <w:basedOn w:val="Normal"/>
    <w:link w:val="FooterChar"/>
    <w:uiPriority w:val="99"/>
    <w:semiHidden/>
    <w:rsid w:val="009E0FDA"/>
    <w:pPr>
      <w:tabs>
        <w:tab w:val="center" w:pos="4536"/>
        <w:tab w:val="right" w:pos="9696"/>
      </w:tabs>
      <w:ind w:left="-680" w:right="-680"/>
    </w:pPr>
    <w:rPr>
      <w:rFonts w:eastAsia="Times New Roman"/>
    </w:rPr>
  </w:style>
  <w:style w:type="character" w:customStyle="1" w:styleId="FooterChar">
    <w:name w:val="Footer Char"/>
    <w:basedOn w:val="DefaultParagraphFont"/>
    <w:link w:val="Footer"/>
    <w:uiPriority w:val="99"/>
    <w:semiHidden/>
    <w:locked/>
    <w:rsid w:val="009E0FDA"/>
    <w:rPr>
      <w:rFonts w:cs="Times New Roman"/>
      <w:sz w:val="24"/>
    </w:rPr>
  </w:style>
  <w:style w:type="character" w:styleId="FootnoteReference">
    <w:name w:val="footnote reference"/>
    <w:basedOn w:val="DefaultParagraphFont"/>
    <w:uiPriority w:val="99"/>
    <w:semiHidden/>
    <w:rsid w:val="009E0FDA"/>
    <w:rPr>
      <w:rFonts w:cs="Times New Roman"/>
      <w:vertAlign w:val="superscript"/>
    </w:rPr>
  </w:style>
  <w:style w:type="paragraph" w:styleId="FootnoteText">
    <w:name w:val="footnote text"/>
    <w:basedOn w:val="Normal"/>
    <w:link w:val="FootnoteTextChar"/>
    <w:uiPriority w:val="99"/>
    <w:semiHidden/>
    <w:rsid w:val="009E0FDA"/>
    <w:rPr>
      <w:sz w:val="20"/>
      <w:szCs w:val="20"/>
    </w:rPr>
  </w:style>
  <w:style w:type="character" w:customStyle="1" w:styleId="FootnoteTextChar">
    <w:name w:val="Footnote Text Char"/>
    <w:basedOn w:val="DefaultParagraphFont"/>
    <w:link w:val="FootnoteText"/>
    <w:uiPriority w:val="99"/>
    <w:semiHidden/>
    <w:locked/>
    <w:rsid w:val="009E0FDA"/>
    <w:rPr>
      <w:rFonts w:eastAsia="MS Mincho" w:cs="Times New Roman"/>
      <w:sz w:val="20"/>
      <w:szCs w:val="20"/>
    </w:rPr>
  </w:style>
  <w:style w:type="character" w:styleId="Hyperlink">
    <w:name w:val="Hyperlink"/>
    <w:basedOn w:val="DefaultParagraphFont"/>
    <w:uiPriority w:val="99"/>
    <w:semiHidden/>
    <w:rsid w:val="009E0FDA"/>
    <w:rPr>
      <w:rFonts w:cs="Times New Roman"/>
      <w:color w:val="0072BC"/>
      <w:u w:val="single"/>
    </w:rPr>
  </w:style>
  <w:style w:type="character" w:styleId="IntenseEmphasis">
    <w:name w:val="Intense Emphasis"/>
    <w:basedOn w:val="DefaultParagraphFont"/>
    <w:uiPriority w:val="99"/>
    <w:qFormat/>
    <w:rsid w:val="009E0FDA"/>
    <w:rPr>
      <w:rFonts w:cs="Times New Roman"/>
      <w:b/>
    </w:rPr>
  </w:style>
  <w:style w:type="paragraph" w:styleId="IntenseQuote">
    <w:name w:val="Intense Quote"/>
    <w:basedOn w:val="Normal"/>
    <w:next w:val="Normal"/>
    <w:link w:val="IntenseQuoteChar"/>
    <w:uiPriority w:val="99"/>
    <w:qFormat/>
    <w:rsid w:val="009E0FDA"/>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99"/>
    <w:semiHidden/>
    <w:locked/>
    <w:rsid w:val="009E0FDA"/>
    <w:rPr>
      <w:rFonts w:eastAsia="MS Mincho" w:cs="Times New Roman"/>
      <w:b/>
      <w:bCs/>
      <w:i/>
      <w:iCs/>
      <w:sz w:val="24"/>
    </w:rPr>
  </w:style>
  <w:style w:type="character" w:styleId="IntenseReference">
    <w:name w:val="Intense Reference"/>
    <w:basedOn w:val="DefaultParagraphFont"/>
    <w:uiPriority w:val="99"/>
    <w:qFormat/>
    <w:rsid w:val="009E0FDA"/>
    <w:rPr>
      <w:rFonts w:cs="Times New Roman"/>
      <w:smallCaps/>
      <w:spacing w:val="5"/>
      <w:u w:val="single"/>
    </w:rPr>
  </w:style>
  <w:style w:type="paragraph" w:styleId="ListParagraph">
    <w:name w:val="List Paragraph"/>
    <w:basedOn w:val="Normal"/>
    <w:uiPriority w:val="99"/>
    <w:qFormat/>
    <w:rsid w:val="009E0FDA"/>
    <w:pPr>
      <w:ind w:left="720"/>
      <w:contextualSpacing/>
    </w:pPr>
  </w:style>
  <w:style w:type="table" w:customStyle="1" w:styleId="LtrTableAddress">
    <w:name w:val="Ltr_Table_Address"/>
    <w:uiPriority w:val="99"/>
    <w:rsid w:val="001E6F32"/>
    <w:rPr>
      <w:sz w:val="20"/>
      <w:szCs w:val="20"/>
    </w:rPr>
    <w:tblPr>
      <w:tblInd w:w="5103" w:type="dxa"/>
      <w:tblCellMar>
        <w:top w:w="0" w:type="dxa"/>
        <w:left w:w="108" w:type="dxa"/>
        <w:bottom w:w="0" w:type="dxa"/>
        <w:right w:w="108" w:type="dxa"/>
      </w:tblCellMar>
    </w:tblPr>
  </w:style>
  <w:style w:type="paragraph" w:styleId="Quote">
    <w:name w:val="Quote"/>
    <w:basedOn w:val="Normal"/>
    <w:next w:val="Normal"/>
    <w:link w:val="QuoteChar"/>
    <w:uiPriority w:val="99"/>
    <w:qFormat/>
    <w:rsid w:val="009E0FDA"/>
    <w:pPr>
      <w:spacing w:before="200"/>
      <w:ind w:left="360" w:right="360"/>
    </w:pPr>
    <w:rPr>
      <w:i/>
      <w:iCs/>
    </w:rPr>
  </w:style>
  <w:style w:type="character" w:customStyle="1" w:styleId="QuoteChar">
    <w:name w:val="Quote Char"/>
    <w:basedOn w:val="DefaultParagraphFont"/>
    <w:link w:val="Quote"/>
    <w:uiPriority w:val="99"/>
    <w:semiHidden/>
    <w:locked/>
    <w:rsid w:val="009E0FDA"/>
    <w:rPr>
      <w:rFonts w:eastAsia="MS Mincho" w:cs="Times New Roman"/>
      <w:i/>
      <w:iCs/>
      <w:sz w:val="24"/>
    </w:rPr>
  </w:style>
  <w:style w:type="character" w:styleId="SubtleReference">
    <w:name w:val="Subtle Reference"/>
    <w:basedOn w:val="DefaultParagraphFont"/>
    <w:uiPriority w:val="99"/>
    <w:qFormat/>
    <w:rsid w:val="009E0FDA"/>
    <w:rPr>
      <w:rFonts w:cs="Times New Roman"/>
      <w:smallCaps/>
    </w:rPr>
  </w:style>
  <w:style w:type="table" w:styleId="TableGrid">
    <w:name w:val="Table Grid"/>
    <w:basedOn w:val="TableNormal"/>
    <w:uiPriority w:val="99"/>
    <w:rsid w:val="009E0FDA"/>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99"/>
    <w:semiHidden/>
    <w:rsid w:val="009E0FDA"/>
    <w:pPr>
      <w:spacing w:before="120" w:after="60"/>
      <w:ind w:left="340" w:right="340" w:hanging="340"/>
    </w:pPr>
    <w:rPr>
      <w:color w:val="0D0D0D"/>
    </w:rPr>
  </w:style>
  <w:style w:type="paragraph" w:styleId="TOC2">
    <w:name w:val="toc 2"/>
    <w:basedOn w:val="Normal"/>
    <w:next w:val="Normal"/>
    <w:autoRedefine/>
    <w:uiPriority w:val="99"/>
    <w:semiHidden/>
    <w:rsid w:val="009E0FDA"/>
    <w:pPr>
      <w:spacing w:after="60"/>
      <w:ind w:left="680" w:right="340" w:hanging="340"/>
    </w:pPr>
  </w:style>
  <w:style w:type="paragraph" w:styleId="TOC3">
    <w:name w:val="toc 3"/>
    <w:basedOn w:val="Normal"/>
    <w:next w:val="Normal"/>
    <w:autoRedefine/>
    <w:uiPriority w:val="99"/>
    <w:semiHidden/>
    <w:rsid w:val="009E0FDA"/>
    <w:pPr>
      <w:spacing w:after="60"/>
      <w:ind w:left="1020" w:right="340" w:hanging="340"/>
    </w:pPr>
  </w:style>
  <w:style w:type="paragraph" w:styleId="TOC4">
    <w:name w:val="toc 4"/>
    <w:basedOn w:val="Normal"/>
    <w:next w:val="Normal"/>
    <w:autoRedefine/>
    <w:uiPriority w:val="99"/>
    <w:semiHidden/>
    <w:rsid w:val="009E0FDA"/>
    <w:pPr>
      <w:tabs>
        <w:tab w:val="right" w:leader="dot" w:pos="9017"/>
      </w:tabs>
      <w:spacing w:after="60"/>
      <w:ind w:left="1361" w:right="340" w:hanging="340"/>
    </w:pPr>
  </w:style>
  <w:style w:type="paragraph" w:styleId="TOC5">
    <w:name w:val="toc 5"/>
    <w:basedOn w:val="Normal"/>
    <w:next w:val="Normal"/>
    <w:autoRedefine/>
    <w:uiPriority w:val="99"/>
    <w:semiHidden/>
    <w:rsid w:val="009E0FDA"/>
    <w:pPr>
      <w:spacing w:after="60"/>
      <w:ind w:left="1701" w:right="340" w:hanging="340"/>
    </w:pPr>
  </w:style>
  <w:style w:type="paragraph" w:styleId="TOCHeading">
    <w:name w:val="TOC Heading"/>
    <w:basedOn w:val="Heading1"/>
    <w:next w:val="Normal"/>
    <w:uiPriority w:val="99"/>
    <w:qFormat/>
    <w:rsid w:val="009E0FDA"/>
    <w:pPr>
      <w:outlineLvl w:val="9"/>
    </w:pPr>
    <w:rPr>
      <w:color w:val="474747"/>
    </w:rPr>
  </w:style>
  <w:style w:type="table" w:customStyle="1" w:styleId="UGTable">
    <w:name w:val="UG_Table"/>
    <w:uiPriority w:val="99"/>
    <w:rsid w:val="00572845"/>
    <w:rPr>
      <w:rFonts w:eastAsia="MS Mincho"/>
      <w:sz w:val="20"/>
      <w:szCs w:val="20"/>
      <w:lang w:val="en-GB" w:eastAsia="en-GB"/>
    </w:rPr>
    <w:tblPr>
      <w:tblInd w:w="-964" w:type="dxa"/>
      <w:tblCellMar>
        <w:top w:w="0" w:type="dxa"/>
        <w:left w:w="57" w:type="dxa"/>
        <w:bottom w:w="57" w:type="dxa"/>
        <w:right w:w="113" w:type="dxa"/>
      </w:tblCellMar>
    </w:tblPr>
  </w:style>
  <w:style w:type="table" w:customStyle="1" w:styleId="UGTableWhiteBox">
    <w:name w:val="UG_Table_White_Box"/>
    <w:uiPriority w:val="99"/>
    <w:rsid w:val="003609FA"/>
    <w:rPr>
      <w:rFonts w:eastAsia="MS Mincho"/>
      <w:sz w:val="20"/>
      <w:szCs w:val="20"/>
      <w:lang w:val="en-GB" w:eastAsia="en-GB"/>
    </w:rPr>
    <w:tblPr>
      <w:tblInd w:w="113" w:type="dxa"/>
      <w:tblBorders>
        <w:top w:val="single" w:sz="4" w:space="0" w:color="B9B9B9"/>
        <w:left w:val="single" w:sz="4" w:space="0" w:color="B9B9B9"/>
        <w:bottom w:val="single" w:sz="4" w:space="0" w:color="B9B9B9"/>
        <w:right w:val="single" w:sz="4" w:space="0" w:color="B9B9B9"/>
      </w:tblBorders>
      <w:tblCellMar>
        <w:top w:w="113" w:type="dxa"/>
        <w:left w:w="113" w:type="dxa"/>
        <w:bottom w:w="113" w:type="dxa"/>
        <w:right w:w="113" w:type="dxa"/>
      </w:tblCellMar>
    </w:tblPr>
    <w:tcPr>
      <w:shd w:val="clear" w:color="auto" w:fill="FFFFFF"/>
    </w:tcPr>
  </w:style>
  <w:style w:type="table" w:customStyle="1" w:styleId="PCFTableStyle">
    <w:name w:val="PCF_Table_Style"/>
    <w:uiPriority w:val="99"/>
    <w:rsid w:val="00810B38"/>
    <w:rPr>
      <w:color w:val="000000"/>
      <w:sz w:val="18"/>
      <w:szCs w:val="20"/>
      <w:lang w:eastAsia="zh-CN"/>
    </w:rPr>
    <w:tblPr>
      <w:tblInd w:w="0" w:type="dxa"/>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CellMar>
        <w:top w:w="0" w:type="dxa"/>
        <w:left w:w="108" w:type="dxa"/>
        <w:bottom w:w="0" w:type="dxa"/>
        <w:right w:w="108" w:type="dxa"/>
      </w:tblCellMar>
    </w:tblPr>
  </w:style>
  <w:style w:type="table" w:customStyle="1" w:styleId="ECHRTableFax">
    <w:name w:val="ECHR_Table_Fax"/>
    <w:uiPriority w:val="99"/>
    <w:rsid w:val="00893576"/>
    <w:rPr>
      <w:color w:val="000000"/>
      <w:sz w:val="20"/>
      <w:szCs w:val="20"/>
    </w:rPr>
    <w:tblPr>
      <w:tblInd w:w="-680" w:type="dxa"/>
      <w:tblBorders>
        <w:insideH w:val="single" w:sz="4" w:space="0" w:color="C6C6C6"/>
        <w:insideV w:val="single" w:sz="4" w:space="0" w:color="C6C6C6"/>
      </w:tblBorders>
      <w:tblCellMar>
        <w:top w:w="142" w:type="dxa"/>
        <w:left w:w="108" w:type="dxa"/>
        <w:bottom w:w="142" w:type="dxa"/>
        <w:right w:w="108" w:type="dxa"/>
      </w:tblCellMar>
    </w:tblPr>
    <w:trPr>
      <w:cantSplit/>
    </w:trPr>
  </w:style>
  <w:style w:type="table" w:customStyle="1" w:styleId="ECHRTableMemo">
    <w:name w:val="ECHR_Table_Memo"/>
    <w:uiPriority w:val="99"/>
    <w:rsid w:val="00210338"/>
    <w:rPr>
      <w:sz w:val="20"/>
      <w:szCs w:val="20"/>
      <w:lang w:eastAsia="zh-CN"/>
    </w:rPr>
    <w:tblPr>
      <w:jc w:val="center"/>
      <w:tblInd w:w="0" w:type="dxa"/>
      <w:tblCellMar>
        <w:top w:w="113" w:type="dxa"/>
        <w:left w:w="0" w:type="dxa"/>
        <w:bottom w:w="113" w:type="dxa"/>
        <w:right w:w="0" w:type="dxa"/>
      </w:tblCellMar>
    </w:tblPr>
    <w:trPr>
      <w:jc w:val="center"/>
    </w:trPr>
  </w:style>
  <w:style w:type="table" w:customStyle="1" w:styleId="ECHRDNTable">
    <w:name w:val="ECHR_DN_Table"/>
    <w:aliases w:val="DN_Table"/>
    <w:uiPriority w:val="99"/>
    <w:rsid w:val="0090506B"/>
    <w:rPr>
      <w:sz w:val="20"/>
      <w:szCs w:val="20"/>
      <w:lang w:eastAsia="zh-CN"/>
    </w:rPr>
    <w:tblPr>
      <w:jc w:val="center"/>
      <w:tblInd w:w="0" w:type="dxa"/>
      <w:tblBorders>
        <w:left w:val="single" w:sz="4" w:space="0" w:color="949494"/>
        <w:bottom w:val="single" w:sz="4" w:space="0" w:color="949494"/>
        <w:right w:val="single" w:sz="4" w:space="0" w:color="949494"/>
        <w:insideH w:val="single" w:sz="4" w:space="0" w:color="949494"/>
        <w:insideV w:val="single" w:sz="4" w:space="0" w:color="949494"/>
      </w:tblBorders>
      <w:tblCellMar>
        <w:top w:w="57" w:type="dxa"/>
        <w:left w:w="108" w:type="dxa"/>
        <w:bottom w:w="57" w:type="dxa"/>
        <w:right w:w="108" w:type="dxa"/>
      </w:tblCellMar>
    </w:tblPr>
    <w:trPr>
      <w:jc w:val="center"/>
    </w:trPr>
  </w:style>
  <w:style w:type="paragraph" w:styleId="TOAHeading">
    <w:name w:val="toa heading"/>
    <w:basedOn w:val="Normal"/>
    <w:next w:val="Normal"/>
    <w:uiPriority w:val="99"/>
    <w:semiHidden/>
    <w:rsid w:val="009E0FDA"/>
    <w:pPr>
      <w:spacing w:before="120"/>
    </w:pPr>
    <w:rPr>
      <w:rFonts w:eastAsia="MS Gothic"/>
      <w:b/>
      <w:bCs/>
      <w:color w:val="474747"/>
      <w:szCs w:val="24"/>
    </w:rPr>
  </w:style>
  <w:style w:type="paragraph" w:customStyle="1" w:styleId="ECHRParaQuote">
    <w:name w:val="ECHR_Para_Quote"/>
    <w:aliases w:val="Ju_Quot"/>
    <w:basedOn w:val="Normal"/>
    <w:link w:val="JuQuotChar"/>
    <w:uiPriority w:val="99"/>
    <w:rsid w:val="009E0FDA"/>
    <w:pPr>
      <w:spacing w:before="120" w:after="120"/>
      <w:ind w:left="425" w:firstLine="142"/>
    </w:pPr>
    <w:rPr>
      <w:sz w:val="20"/>
    </w:rPr>
  </w:style>
  <w:style w:type="table" w:customStyle="1" w:styleId="ECHRTableSimpleBox">
    <w:name w:val="ECHR_Table_Simple_Box"/>
    <w:uiPriority w:val="99"/>
    <w:rsid w:val="00AE354C"/>
    <w:rPr>
      <w:sz w:val="20"/>
      <w:szCs w:val="20"/>
    </w:rPr>
    <w:tblPr>
      <w:tblInd w:w="0" w:type="dxa"/>
      <w:tblBorders>
        <w:top w:val="single" w:sz="4" w:space="0" w:color="9F9F9F"/>
        <w:left w:val="single" w:sz="4" w:space="0" w:color="9F9F9F"/>
        <w:bottom w:val="single" w:sz="4" w:space="0" w:color="9F9F9F"/>
        <w:right w:val="single" w:sz="4" w:space="0" w:color="9F9F9F"/>
      </w:tblBorders>
      <w:tblCellMar>
        <w:top w:w="113" w:type="dxa"/>
        <w:left w:w="108" w:type="dxa"/>
        <w:bottom w:w="113" w:type="dxa"/>
        <w:right w:w="108" w:type="dxa"/>
      </w:tblCellMar>
    </w:tblPr>
  </w:style>
  <w:style w:type="table" w:customStyle="1" w:styleId="ECHRTableNoLines">
    <w:name w:val="ECHR_Table_No_Lines"/>
    <w:uiPriority w:val="99"/>
    <w:rsid w:val="00F218EF"/>
    <w:rPr>
      <w:sz w:val="20"/>
      <w:szCs w:val="20"/>
      <w:lang w:eastAsia="zh-CN"/>
    </w:rPr>
    <w:tblPr>
      <w:tblInd w:w="0" w:type="dxa"/>
      <w:tblCellMar>
        <w:top w:w="85" w:type="dxa"/>
        <w:left w:w="142" w:type="dxa"/>
        <w:bottom w:w="28" w:type="dxa"/>
        <w:right w:w="142" w:type="dxa"/>
      </w:tblCellMar>
    </w:tblPr>
  </w:style>
  <w:style w:type="table" w:customStyle="1" w:styleId="ECHRTableForInternalUse">
    <w:name w:val="ECHR_Table_For_Internal_Use"/>
    <w:uiPriority w:val="99"/>
    <w:rsid w:val="005474E7"/>
    <w:rPr>
      <w:color w:val="636363"/>
      <w:sz w:val="18"/>
      <w:szCs w:val="20"/>
      <w:lang w:eastAsia="zh-CN"/>
    </w:rPr>
    <w:tblPr>
      <w:tblStyleColBandSize w:val="1"/>
      <w:jc w:val="right"/>
      <w:tblInd w:w="0" w:type="dxa"/>
      <w:tblCellMar>
        <w:top w:w="113" w:type="dxa"/>
        <w:left w:w="108" w:type="dxa"/>
        <w:bottom w:w="28" w:type="dxa"/>
        <w:right w:w="108" w:type="dxa"/>
      </w:tblCellMar>
    </w:tblPr>
    <w:trPr>
      <w:jc w:val="right"/>
    </w:trPr>
  </w:style>
  <w:style w:type="table" w:customStyle="1" w:styleId="ECHRListTable">
    <w:name w:val="ECHR_List_Table"/>
    <w:uiPriority w:val="99"/>
    <w:rsid w:val="009E0FDA"/>
    <w:rPr>
      <w:sz w:val="20"/>
      <w:szCs w:val="20"/>
      <w:lang w:eastAsia="zh-CN"/>
    </w:rPr>
    <w:tblPr>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HeaderTable">
    <w:name w:val="ECHR_Header_Table"/>
    <w:uiPriority w:val="99"/>
    <w:rsid w:val="00661971"/>
    <w:rPr>
      <w:sz w:val="20"/>
      <w:szCs w:val="20"/>
      <w:lang w:eastAsia="zh-CN"/>
    </w:rPr>
    <w:tblPr>
      <w:tblInd w:w="-680" w:type="dxa"/>
      <w:tblBorders>
        <w:bottom w:val="single" w:sz="6" w:space="0" w:color="949494"/>
      </w:tblBorders>
      <w:tblCellMar>
        <w:top w:w="0" w:type="dxa"/>
        <w:left w:w="0" w:type="dxa"/>
        <w:bottom w:w="28" w:type="dxa"/>
        <w:right w:w="0" w:type="dxa"/>
      </w:tblCellMar>
    </w:tblPr>
  </w:style>
  <w:style w:type="table" w:customStyle="1" w:styleId="ECHRTableOddBanded">
    <w:name w:val="ECHR_Table_Odd_Banded"/>
    <w:uiPriority w:val="99"/>
    <w:rsid w:val="00860B03"/>
    <w:rPr>
      <w:sz w:val="20"/>
      <w:szCs w:val="20"/>
      <w:lang w:eastAsia="zh-CN"/>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HeaderTableReduced">
    <w:name w:val="ECHR_Header_Table_Reduced"/>
    <w:uiPriority w:val="99"/>
    <w:rsid w:val="00B52BE0"/>
    <w:rPr>
      <w:sz w:val="20"/>
      <w:szCs w:val="20"/>
      <w:lang w:eastAsia="zh-CN"/>
    </w:rPr>
    <w:tblPr>
      <w:tblInd w:w="-680" w:type="dxa"/>
      <w:tblCellMar>
        <w:top w:w="0" w:type="dxa"/>
        <w:left w:w="0" w:type="dxa"/>
        <w:bottom w:w="0" w:type="dxa"/>
        <w:right w:w="0" w:type="dxa"/>
      </w:tblCellMar>
    </w:tblPr>
  </w:style>
  <w:style w:type="paragraph" w:customStyle="1" w:styleId="JuParaLast">
    <w:name w:val="Ju_Para_Last"/>
    <w:basedOn w:val="Normal"/>
    <w:next w:val="ECHRPara"/>
    <w:uiPriority w:val="99"/>
    <w:rsid w:val="009E0FDA"/>
    <w:pPr>
      <w:keepNext/>
      <w:keepLines/>
      <w:spacing w:before="240"/>
      <w:ind w:firstLine="284"/>
    </w:pPr>
  </w:style>
  <w:style w:type="paragraph" w:customStyle="1" w:styleId="JuCase">
    <w:name w:val="Ju_Case"/>
    <w:basedOn w:val="Normal"/>
    <w:next w:val="ECHRPara"/>
    <w:uiPriority w:val="99"/>
    <w:rsid w:val="009E0FDA"/>
    <w:pPr>
      <w:ind w:firstLine="284"/>
    </w:pPr>
    <w:rPr>
      <w:b/>
    </w:rPr>
  </w:style>
  <w:style w:type="character" w:styleId="PageNumber">
    <w:name w:val="page number"/>
    <w:basedOn w:val="DefaultParagraphFont"/>
    <w:uiPriority w:val="99"/>
    <w:semiHidden/>
    <w:rsid w:val="00DE61E0"/>
    <w:rPr>
      <w:rFonts w:cs="Times New Roman"/>
      <w:sz w:val="18"/>
    </w:rPr>
  </w:style>
  <w:style w:type="paragraph" w:customStyle="1" w:styleId="JuLista">
    <w:name w:val="Ju_List_a"/>
    <w:basedOn w:val="JuList"/>
    <w:uiPriority w:val="99"/>
    <w:rsid w:val="009E0FDA"/>
    <w:pPr>
      <w:ind w:left="346" w:firstLine="0"/>
    </w:pPr>
  </w:style>
  <w:style w:type="paragraph" w:customStyle="1" w:styleId="JuListi">
    <w:name w:val="Ju_List_i"/>
    <w:basedOn w:val="Normal"/>
    <w:next w:val="JuLista"/>
    <w:uiPriority w:val="99"/>
    <w:rsid w:val="009E0FDA"/>
    <w:pPr>
      <w:ind w:left="794"/>
    </w:pPr>
  </w:style>
  <w:style w:type="character" w:styleId="CommentReference">
    <w:name w:val="annotation reference"/>
    <w:basedOn w:val="DefaultParagraphFont"/>
    <w:uiPriority w:val="99"/>
    <w:semiHidden/>
    <w:rsid w:val="00DE61E0"/>
    <w:rPr>
      <w:rFonts w:cs="Times New Roman"/>
      <w:sz w:val="16"/>
    </w:rPr>
  </w:style>
  <w:style w:type="paragraph" w:styleId="CommentText">
    <w:name w:val="annotation text"/>
    <w:basedOn w:val="Normal"/>
    <w:link w:val="CommentTextChar"/>
    <w:uiPriority w:val="99"/>
    <w:semiHidden/>
    <w:rsid w:val="00DE61E0"/>
    <w:rPr>
      <w:sz w:val="20"/>
    </w:rPr>
  </w:style>
  <w:style w:type="character" w:customStyle="1" w:styleId="CommentTextChar">
    <w:name w:val="Comment Text Char"/>
    <w:basedOn w:val="DefaultParagraphFont"/>
    <w:link w:val="CommentText"/>
    <w:uiPriority w:val="99"/>
    <w:semiHidden/>
    <w:locked/>
    <w:rsid w:val="00DE61E0"/>
    <w:rPr>
      <w:rFonts w:eastAsia="MS Mincho" w:cs="Times New Roman"/>
      <w:sz w:val="20"/>
    </w:rPr>
  </w:style>
  <w:style w:type="paragraph" w:styleId="CommentSubject">
    <w:name w:val="annotation subject"/>
    <w:basedOn w:val="CommentText"/>
    <w:next w:val="CommentText"/>
    <w:link w:val="CommentSubjectChar"/>
    <w:uiPriority w:val="99"/>
    <w:semiHidden/>
    <w:rsid w:val="00DE61E0"/>
    <w:rPr>
      <w:b/>
      <w:bCs/>
    </w:rPr>
  </w:style>
  <w:style w:type="character" w:customStyle="1" w:styleId="CommentSubjectChar">
    <w:name w:val="Comment Subject Char"/>
    <w:basedOn w:val="CommentTextChar"/>
    <w:link w:val="CommentSubject"/>
    <w:uiPriority w:val="99"/>
    <w:semiHidden/>
    <w:locked/>
    <w:rsid w:val="00DE61E0"/>
    <w:rPr>
      <w:b/>
      <w:bCs/>
    </w:rPr>
  </w:style>
  <w:style w:type="character" w:styleId="EndnoteReference">
    <w:name w:val="endnote reference"/>
    <w:basedOn w:val="DefaultParagraphFont"/>
    <w:uiPriority w:val="99"/>
    <w:semiHidden/>
    <w:rsid w:val="00DE61E0"/>
    <w:rPr>
      <w:rFonts w:cs="Times New Roman"/>
      <w:vertAlign w:val="superscript"/>
    </w:rPr>
  </w:style>
  <w:style w:type="paragraph" w:styleId="EndnoteText">
    <w:name w:val="endnote text"/>
    <w:basedOn w:val="Normal"/>
    <w:link w:val="EndnoteTextChar"/>
    <w:uiPriority w:val="99"/>
    <w:semiHidden/>
    <w:rsid w:val="00DE61E0"/>
    <w:rPr>
      <w:sz w:val="20"/>
    </w:rPr>
  </w:style>
  <w:style w:type="character" w:customStyle="1" w:styleId="EndnoteTextChar">
    <w:name w:val="Endnote Text Char"/>
    <w:basedOn w:val="DefaultParagraphFont"/>
    <w:link w:val="EndnoteText"/>
    <w:uiPriority w:val="99"/>
    <w:semiHidden/>
    <w:locked/>
    <w:rsid w:val="00DE61E0"/>
    <w:rPr>
      <w:rFonts w:eastAsia="MS Mincho" w:cs="Times New Roman"/>
      <w:sz w:val="20"/>
    </w:rPr>
  </w:style>
  <w:style w:type="character" w:styleId="FollowedHyperlink">
    <w:name w:val="FollowedHyperlink"/>
    <w:basedOn w:val="DefaultParagraphFont"/>
    <w:uiPriority w:val="99"/>
    <w:semiHidden/>
    <w:rsid w:val="00DE61E0"/>
    <w:rPr>
      <w:rFonts w:cs="Times New Roman"/>
      <w:color w:val="800080"/>
      <w:u w:val="single"/>
    </w:rPr>
  </w:style>
  <w:style w:type="paragraph" w:styleId="DocumentMap">
    <w:name w:val="Document Map"/>
    <w:basedOn w:val="Normal"/>
    <w:link w:val="DocumentMapChar"/>
    <w:uiPriority w:val="99"/>
    <w:semiHidden/>
    <w:rsid w:val="00DE61E0"/>
    <w:pPr>
      <w:shd w:val="clear" w:color="auto" w:fill="000080"/>
    </w:pPr>
    <w:rPr>
      <w:rFonts w:ascii="Tahoma" w:hAnsi="Tahoma" w:cs="Tahoma"/>
      <w:sz w:val="20"/>
    </w:rPr>
  </w:style>
  <w:style w:type="character" w:customStyle="1" w:styleId="DocumentMapChar">
    <w:name w:val="Document Map Char"/>
    <w:basedOn w:val="DefaultParagraphFont"/>
    <w:link w:val="DocumentMap"/>
    <w:uiPriority w:val="99"/>
    <w:semiHidden/>
    <w:locked/>
    <w:rsid w:val="00DE61E0"/>
    <w:rPr>
      <w:rFonts w:ascii="Tahoma" w:eastAsia="MS Mincho" w:hAnsi="Tahoma" w:cs="Tahoma"/>
      <w:sz w:val="20"/>
      <w:shd w:val="clear" w:color="auto" w:fill="000080"/>
    </w:rPr>
  </w:style>
  <w:style w:type="paragraph" w:styleId="ListBullet">
    <w:name w:val="List Bullet"/>
    <w:basedOn w:val="Normal"/>
    <w:uiPriority w:val="99"/>
    <w:semiHidden/>
    <w:rsid w:val="00DE61E0"/>
    <w:pPr>
      <w:numPr>
        <w:numId w:val="40"/>
      </w:numPr>
    </w:pPr>
  </w:style>
  <w:style w:type="paragraph" w:customStyle="1" w:styleId="OpiTranslation">
    <w:name w:val="Opi_Translation"/>
    <w:basedOn w:val="Normal"/>
    <w:next w:val="OpiPara"/>
    <w:uiPriority w:val="99"/>
    <w:semiHidden/>
    <w:rsid w:val="009E0FDA"/>
    <w:pPr>
      <w:jc w:val="center"/>
      <w:outlineLvl w:val="0"/>
    </w:pPr>
    <w:rPr>
      <w:i/>
    </w:rPr>
  </w:style>
  <w:style w:type="paragraph" w:styleId="Subtitle">
    <w:name w:val="Subtitle"/>
    <w:basedOn w:val="Normal"/>
    <w:next w:val="Normal"/>
    <w:link w:val="SubtitleChar"/>
    <w:uiPriority w:val="99"/>
    <w:qFormat/>
    <w:rsid w:val="009E0FDA"/>
    <w:pPr>
      <w:spacing w:after="600"/>
    </w:pPr>
    <w:rPr>
      <w:rFonts w:eastAsia="MS Gothic"/>
      <w:i/>
      <w:iCs/>
      <w:spacing w:val="13"/>
      <w:szCs w:val="24"/>
    </w:rPr>
  </w:style>
  <w:style w:type="character" w:customStyle="1" w:styleId="SubtitleChar">
    <w:name w:val="Subtitle Char"/>
    <w:basedOn w:val="DefaultParagraphFont"/>
    <w:link w:val="Subtitle"/>
    <w:uiPriority w:val="99"/>
    <w:semiHidden/>
    <w:locked/>
    <w:rsid w:val="009E0FDA"/>
    <w:rPr>
      <w:rFonts w:ascii="Times New Roman" w:eastAsia="MS Gothic" w:hAnsi="Times New Roman" w:cs="Times New Roman"/>
      <w:i/>
      <w:iCs/>
      <w:spacing w:val="13"/>
      <w:sz w:val="24"/>
      <w:szCs w:val="24"/>
    </w:rPr>
  </w:style>
  <w:style w:type="paragraph" w:styleId="Bibliography">
    <w:name w:val="Bibliography"/>
    <w:basedOn w:val="Normal"/>
    <w:next w:val="Normal"/>
    <w:uiPriority w:val="99"/>
    <w:semiHidden/>
    <w:rsid w:val="00DE61E0"/>
  </w:style>
  <w:style w:type="paragraph" w:styleId="BlockText">
    <w:name w:val="Block Text"/>
    <w:basedOn w:val="Normal"/>
    <w:uiPriority w:val="99"/>
    <w:semiHidden/>
    <w:rsid w:val="00DE61E0"/>
    <w:pPr>
      <w:pBdr>
        <w:top w:val="single" w:sz="2" w:space="10" w:color="0072BC" w:shadow="1" w:frame="1"/>
        <w:left w:val="single" w:sz="2" w:space="10" w:color="0072BC" w:shadow="1" w:frame="1"/>
        <w:bottom w:val="single" w:sz="2" w:space="10" w:color="0072BC" w:shadow="1" w:frame="1"/>
        <w:right w:val="single" w:sz="2" w:space="10" w:color="0072BC" w:shadow="1" w:frame="1"/>
      </w:pBdr>
      <w:ind w:left="1152" w:right="1152"/>
    </w:pPr>
    <w:rPr>
      <w:i/>
      <w:iCs/>
      <w:color w:val="0072BC"/>
    </w:rPr>
  </w:style>
  <w:style w:type="paragraph" w:styleId="BodyText">
    <w:name w:val="Body Text"/>
    <w:basedOn w:val="Normal"/>
    <w:link w:val="BodyTextChar"/>
    <w:uiPriority w:val="99"/>
    <w:semiHidden/>
    <w:rsid w:val="00DE61E0"/>
    <w:pPr>
      <w:spacing w:after="120"/>
    </w:pPr>
  </w:style>
  <w:style w:type="character" w:customStyle="1" w:styleId="BodyTextChar">
    <w:name w:val="Body Text Char"/>
    <w:basedOn w:val="DefaultParagraphFont"/>
    <w:link w:val="BodyText"/>
    <w:uiPriority w:val="99"/>
    <w:semiHidden/>
    <w:locked/>
    <w:rsid w:val="00DE61E0"/>
    <w:rPr>
      <w:rFonts w:eastAsia="MS Mincho" w:cs="Times New Roman"/>
      <w:sz w:val="24"/>
    </w:rPr>
  </w:style>
  <w:style w:type="paragraph" w:styleId="BodyText2">
    <w:name w:val="Body Text 2"/>
    <w:basedOn w:val="Normal"/>
    <w:link w:val="BodyText2Char"/>
    <w:uiPriority w:val="99"/>
    <w:semiHidden/>
    <w:rsid w:val="00DE61E0"/>
    <w:pPr>
      <w:spacing w:after="120" w:line="480" w:lineRule="auto"/>
    </w:pPr>
  </w:style>
  <w:style w:type="character" w:customStyle="1" w:styleId="BodyText2Char">
    <w:name w:val="Body Text 2 Char"/>
    <w:basedOn w:val="DefaultParagraphFont"/>
    <w:link w:val="BodyText2"/>
    <w:uiPriority w:val="99"/>
    <w:semiHidden/>
    <w:locked/>
    <w:rsid w:val="00DE61E0"/>
    <w:rPr>
      <w:rFonts w:eastAsia="MS Mincho" w:cs="Times New Roman"/>
      <w:sz w:val="24"/>
    </w:rPr>
  </w:style>
  <w:style w:type="paragraph" w:styleId="BodyText3">
    <w:name w:val="Body Text 3"/>
    <w:basedOn w:val="Normal"/>
    <w:link w:val="BodyText3Char"/>
    <w:uiPriority w:val="99"/>
    <w:semiHidden/>
    <w:rsid w:val="00DE61E0"/>
    <w:pPr>
      <w:spacing w:after="120"/>
    </w:pPr>
    <w:rPr>
      <w:sz w:val="16"/>
      <w:szCs w:val="16"/>
    </w:rPr>
  </w:style>
  <w:style w:type="character" w:customStyle="1" w:styleId="BodyText3Char">
    <w:name w:val="Body Text 3 Char"/>
    <w:basedOn w:val="DefaultParagraphFont"/>
    <w:link w:val="BodyText3"/>
    <w:uiPriority w:val="99"/>
    <w:semiHidden/>
    <w:locked/>
    <w:rsid w:val="00DE61E0"/>
    <w:rPr>
      <w:rFonts w:eastAsia="MS Mincho" w:cs="Times New Roman"/>
      <w:sz w:val="16"/>
      <w:szCs w:val="16"/>
    </w:rPr>
  </w:style>
  <w:style w:type="paragraph" w:styleId="BodyTextFirstIndent">
    <w:name w:val="Body Text First Indent"/>
    <w:basedOn w:val="BodyText"/>
    <w:link w:val="BodyTextFirstIndentChar"/>
    <w:uiPriority w:val="99"/>
    <w:semiHidden/>
    <w:rsid w:val="00DE61E0"/>
    <w:pPr>
      <w:spacing w:after="0"/>
      <w:ind w:firstLine="360"/>
    </w:pPr>
  </w:style>
  <w:style w:type="character" w:customStyle="1" w:styleId="BodyTextFirstIndentChar">
    <w:name w:val="Body Text First Indent Char"/>
    <w:basedOn w:val="BodyTextChar"/>
    <w:link w:val="BodyTextFirstIndent"/>
    <w:uiPriority w:val="99"/>
    <w:semiHidden/>
    <w:locked/>
    <w:rsid w:val="00DE61E0"/>
  </w:style>
  <w:style w:type="paragraph" w:styleId="BodyTextIndent">
    <w:name w:val="Body Text Indent"/>
    <w:basedOn w:val="Normal"/>
    <w:link w:val="BodyTextIndentChar"/>
    <w:uiPriority w:val="99"/>
    <w:semiHidden/>
    <w:rsid w:val="00DE61E0"/>
    <w:pPr>
      <w:spacing w:after="120"/>
      <w:ind w:left="283"/>
    </w:pPr>
  </w:style>
  <w:style w:type="character" w:customStyle="1" w:styleId="BodyTextIndentChar">
    <w:name w:val="Body Text Indent Char"/>
    <w:basedOn w:val="DefaultParagraphFont"/>
    <w:link w:val="BodyTextIndent"/>
    <w:uiPriority w:val="99"/>
    <w:semiHidden/>
    <w:locked/>
    <w:rsid w:val="00DE61E0"/>
    <w:rPr>
      <w:rFonts w:eastAsia="MS Mincho" w:cs="Times New Roman"/>
      <w:sz w:val="24"/>
    </w:rPr>
  </w:style>
  <w:style w:type="paragraph" w:styleId="BodyTextFirstIndent2">
    <w:name w:val="Body Text First Indent 2"/>
    <w:basedOn w:val="BodyTextIndent"/>
    <w:link w:val="BodyTextFirstIndent2Char"/>
    <w:uiPriority w:val="99"/>
    <w:semiHidden/>
    <w:rsid w:val="00DE61E0"/>
    <w:pPr>
      <w:spacing w:after="0"/>
      <w:ind w:left="360" w:firstLine="360"/>
    </w:pPr>
  </w:style>
  <w:style w:type="character" w:customStyle="1" w:styleId="BodyTextFirstIndent2Char">
    <w:name w:val="Body Text First Indent 2 Char"/>
    <w:basedOn w:val="BodyTextIndentChar"/>
    <w:link w:val="BodyTextFirstIndent2"/>
    <w:uiPriority w:val="99"/>
    <w:semiHidden/>
    <w:locked/>
    <w:rsid w:val="00DE61E0"/>
  </w:style>
  <w:style w:type="paragraph" w:styleId="BodyTextIndent2">
    <w:name w:val="Body Text Indent 2"/>
    <w:basedOn w:val="Normal"/>
    <w:link w:val="BodyTextIndent2Char"/>
    <w:uiPriority w:val="99"/>
    <w:semiHidden/>
    <w:rsid w:val="00DE61E0"/>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DE61E0"/>
    <w:rPr>
      <w:rFonts w:eastAsia="MS Mincho" w:cs="Times New Roman"/>
      <w:sz w:val="24"/>
    </w:rPr>
  </w:style>
  <w:style w:type="paragraph" w:styleId="BodyTextIndent3">
    <w:name w:val="Body Text Indent 3"/>
    <w:basedOn w:val="Normal"/>
    <w:link w:val="BodyTextIndent3Char"/>
    <w:uiPriority w:val="99"/>
    <w:semiHidden/>
    <w:rsid w:val="00DE61E0"/>
    <w:pPr>
      <w:spacing w:after="120"/>
      <w:ind w:left="283"/>
    </w:pPr>
    <w:rPr>
      <w:sz w:val="16"/>
      <w:szCs w:val="16"/>
    </w:rPr>
  </w:style>
  <w:style w:type="character" w:customStyle="1" w:styleId="BodyTextIndent3Char">
    <w:name w:val="Body Text Indent 3 Char"/>
    <w:basedOn w:val="DefaultParagraphFont"/>
    <w:link w:val="BodyTextIndent3"/>
    <w:uiPriority w:val="99"/>
    <w:semiHidden/>
    <w:locked/>
    <w:rsid w:val="00DE61E0"/>
    <w:rPr>
      <w:rFonts w:eastAsia="MS Mincho" w:cs="Times New Roman"/>
      <w:sz w:val="16"/>
      <w:szCs w:val="16"/>
    </w:rPr>
  </w:style>
  <w:style w:type="paragraph" w:styleId="Caption">
    <w:name w:val="caption"/>
    <w:basedOn w:val="Normal"/>
    <w:next w:val="Normal"/>
    <w:uiPriority w:val="99"/>
    <w:qFormat/>
    <w:rsid w:val="00DE61E0"/>
    <w:pPr>
      <w:spacing w:after="200"/>
    </w:pPr>
    <w:rPr>
      <w:b/>
      <w:bCs/>
      <w:color w:val="0072BC"/>
      <w:sz w:val="18"/>
      <w:szCs w:val="18"/>
    </w:rPr>
  </w:style>
  <w:style w:type="paragraph" w:styleId="Closing">
    <w:name w:val="Closing"/>
    <w:basedOn w:val="Normal"/>
    <w:link w:val="ClosingChar"/>
    <w:uiPriority w:val="99"/>
    <w:semiHidden/>
    <w:rsid w:val="00DE61E0"/>
    <w:pPr>
      <w:ind w:left="4252"/>
    </w:pPr>
  </w:style>
  <w:style w:type="character" w:customStyle="1" w:styleId="ClosingChar">
    <w:name w:val="Closing Char"/>
    <w:basedOn w:val="DefaultParagraphFont"/>
    <w:link w:val="Closing"/>
    <w:uiPriority w:val="99"/>
    <w:semiHidden/>
    <w:locked/>
    <w:rsid w:val="00DE61E0"/>
    <w:rPr>
      <w:rFonts w:eastAsia="MS Mincho" w:cs="Times New Roman"/>
      <w:sz w:val="24"/>
    </w:rPr>
  </w:style>
  <w:style w:type="table" w:styleId="ColorfulGrid">
    <w:name w:val="Colorful Grid"/>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0072BC"/>
      </w:rPr>
      <w:tblPr/>
      <w:tcPr>
        <w:shd w:val="clear" w:color="auto" w:fill="000000"/>
      </w:tcPr>
    </w:tblStylePr>
    <w:tblStylePr w:type="lastCol">
      <w:rPr>
        <w:rFonts w:cs="Times New Roman"/>
        <w:color w:val="0072BC"/>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ColorfulGrid-Accent1">
    <w:name w:val="Colorful Grid Accent 1"/>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BEE5FF"/>
    </w:tcPr>
    <w:tblStylePr w:type="firstRow">
      <w:rPr>
        <w:rFonts w:cs="Times New Roman"/>
        <w:b/>
        <w:bCs/>
      </w:rPr>
      <w:tblPr/>
      <w:tcPr>
        <w:shd w:val="clear" w:color="auto" w:fill="7ECBFF"/>
      </w:tcPr>
    </w:tblStylePr>
    <w:tblStylePr w:type="lastRow">
      <w:rPr>
        <w:rFonts w:cs="Times New Roman"/>
        <w:b/>
        <w:bCs/>
        <w:color w:val="000000"/>
      </w:rPr>
      <w:tblPr/>
      <w:tcPr>
        <w:shd w:val="clear" w:color="auto" w:fill="7ECBFF"/>
      </w:tcPr>
    </w:tblStylePr>
    <w:tblStylePr w:type="firstCol">
      <w:rPr>
        <w:rFonts w:cs="Times New Roman"/>
        <w:color w:val="0072BC"/>
      </w:rPr>
      <w:tblPr/>
      <w:tcPr>
        <w:shd w:val="clear" w:color="auto" w:fill="00548C"/>
      </w:tcPr>
    </w:tblStylePr>
    <w:tblStylePr w:type="lastCol">
      <w:rPr>
        <w:rFonts w:cs="Times New Roman"/>
        <w:color w:val="0072BC"/>
      </w:rPr>
      <w:tblPr/>
      <w:tcPr>
        <w:shd w:val="clear" w:color="auto" w:fill="00548C"/>
      </w:tc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ColorfulGrid-Accent2">
    <w:name w:val="Colorful Grid Accent 2"/>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FFBFBF"/>
    </w:tcPr>
    <w:tblStylePr w:type="firstRow">
      <w:rPr>
        <w:rFonts w:cs="Times New Roman"/>
        <w:b/>
        <w:bCs/>
      </w:rPr>
      <w:tblPr/>
      <w:tcPr>
        <w:shd w:val="clear" w:color="auto" w:fill="FF7F7F"/>
      </w:tcPr>
    </w:tblStylePr>
    <w:tblStylePr w:type="lastRow">
      <w:rPr>
        <w:rFonts w:cs="Times New Roman"/>
        <w:b/>
        <w:bCs/>
        <w:color w:val="000000"/>
      </w:rPr>
      <w:tblPr/>
      <w:tcPr>
        <w:shd w:val="clear" w:color="auto" w:fill="FF7F7F"/>
      </w:tcPr>
    </w:tblStylePr>
    <w:tblStylePr w:type="firstCol">
      <w:rPr>
        <w:rFonts w:cs="Times New Roman"/>
        <w:color w:val="0072BC"/>
      </w:rPr>
      <w:tblPr/>
      <w:tcPr>
        <w:shd w:val="clear" w:color="auto" w:fill="8F0000"/>
      </w:tcPr>
    </w:tblStylePr>
    <w:tblStylePr w:type="lastCol">
      <w:rPr>
        <w:rFonts w:cs="Times New Roman"/>
        <w:color w:val="0072BC"/>
      </w:rPr>
      <w:tblPr/>
      <w:tcPr>
        <w:shd w:val="clear" w:color="auto" w:fill="8F0000"/>
      </w:tc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ColorfulGrid-Accent3">
    <w:name w:val="Colorful Grid Accent 3"/>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ColorfulGrid-Accent4">
    <w:name w:val="Colorful Grid Accent 4"/>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EAEAEA"/>
    </w:tcPr>
    <w:tblStylePr w:type="firstRow">
      <w:rPr>
        <w:rFonts w:cs="Times New Roman"/>
        <w:b/>
        <w:bCs/>
      </w:rPr>
      <w:tblPr/>
      <w:tcPr>
        <w:shd w:val="clear" w:color="auto" w:fill="D5D5D5"/>
      </w:tcPr>
    </w:tblStylePr>
    <w:tblStylePr w:type="lastRow">
      <w:rPr>
        <w:rFonts w:cs="Times New Roman"/>
        <w:b/>
        <w:bCs/>
        <w:color w:val="000000"/>
      </w:rPr>
      <w:tblPr/>
      <w:tcPr>
        <w:shd w:val="clear" w:color="auto" w:fill="D5D5D5"/>
      </w:tcPr>
    </w:tblStylePr>
    <w:tblStylePr w:type="firstCol">
      <w:rPr>
        <w:rFonts w:cs="Times New Roman"/>
        <w:color w:val="0072BC"/>
      </w:rPr>
      <w:tblPr/>
      <w:tcPr>
        <w:shd w:val="clear" w:color="auto" w:fill="707070"/>
      </w:tcPr>
    </w:tblStylePr>
    <w:tblStylePr w:type="lastCol">
      <w:rPr>
        <w:rFonts w:cs="Times New Roman"/>
        <w:color w:val="0072BC"/>
      </w:rPr>
      <w:tblPr/>
      <w:tcPr>
        <w:shd w:val="clear" w:color="auto" w:fill="707070"/>
      </w:tc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ColorfulGrid-Accent5">
    <w:name w:val="Colorful Grid Accent 5"/>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ColorfulGrid-Accent6">
    <w:name w:val="Colorful Grid Accent 6"/>
    <w:basedOn w:val="TableNormal"/>
    <w:uiPriority w:val="99"/>
    <w:semiHidden/>
    <w:rsid w:val="00DE61E0"/>
    <w:rPr>
      <w:color w:val="000000"/>
      <w:sz w:val="20"/>
      <w:szCs w:val="20"/>
      <w:lang w:val="fr-FR" w:eastAsia="fr-FR"/>
    </w:rPr>
    <w:tblPr>
      <w:tblStyleRowBandSize w:val="1"/>
      <w:tblStyleColBandSize w:val="1"/>
      <w:tblInd w:w="0" w:type="dxa"/>
      <w:tblBorders>
        <w:insideH w:val="single" w:sz="4" w:space="0" w:color="0072BC"/>
      </w:tblBorders>
      <w:tblCellMar>
        <w:top w:w="0" w:type="dxa"/>
        <w:left w:w="108" w:type="dxa"/>
        <w:bottom w:w="0" w:type="dxa"/>
        <w:right w:w="108" w:type="dxa"/>
      </w:tblCellMar>
    </w:tblPr>
    <w:tcPr>
      <w:shd w:val="clear" w:color="auto" w:fill="DBDBDB"/>
    </w:tcPr>
    <w:tblStylePr w:type="firstRow">
      <w:rPr>
        <w:rFonts w:cs="Times New Roman"/>
        <w:b/>
        <w:bCs/>
      </w:rPr>
      <w:tblPr/>
      <w:tcPr>
        <w:shd w:val="clear" w:color="auto" w:fill="B7B7B7"/>
      </w:tcPr>
    </w:tblStylePr>
    <w:tblStylePr w:type="lastRow">
      <w:rPr>
        <w:rFonts w:cs="Times New Roman"/>
        <w:b/>
        <w:bCs/>
        <w:color w:val="000000"/>
      </w:rPr>
      <w:tblPr/>
      <w:tcPr>
        <w:shd w:val="clear" w:color="auto" w:fill="B7B7B7"/>
      </w:tcPr>
    </w:tblStylePr>
    <w:tblStylePr w:type="firstCol">
      <w:rPr>
        <w:rFonts w:cs="Times New Roman"/>
        <w:color w:val="0072BC"/>
      </w:rPr>
      <w:tblPr/>
      <w:tcPr>
        <w:shd w:val="clear" w:color="auto" w:fill="393939"/>
      </w:tcPr>
    </w:tblStylePr>
    <w:tblStylePr w:type="lastCol">
      <w:rPr>
        <w:rFonts w:cs="Times New Roman"/>
        <w:color w:val="0072BC"/>
      </w:rPr>
      <w:tblPr/>
      <w:tcPr>
        <w:shd w:val="clear" w:color="auto" w:fill="393939"/>
      </w:tc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ColorfulList">
    <w:name w:val="Colorful List"/>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cPr>
    </w:tblStylePr>
    <w:tblStylePr w:type="band1Horz">
      <w:rPr>
        <w:rFonts w:cs="Times New Roman"/>
      </w:rPr>
      <w:tblPr/>
      <w:tcPr>
        <w:shd w:val="clear" w:color="auto" w:fill="CCCCCC"/>
      </w:tcPr>
    </w:tblStylePr>
  </w:style>
  <w:style w:type="table" w:styleId="ColorfulList-Accent1">
    <w:name w:val="Colorful List Accent 1"/>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DFF2F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AFDFFF"/>
      </w:tcPr>
    </w:tblStylePr>
    <w:tblStylePr w:type="band1Horz">
      <w:rPr>
        <w:rFonts w:cs="Times New Roman"/>
      </w:rPr>
      <w:tblPr/>
      <w:tcPr>
        <w:shd w:val="clear" w:color="auto" w:fill="BEE5FF"/>
      </w:tcPr>
    </w:tblStylePr>
  </w:style>
  <w:style w:type="table" w:styleId="ColorfulList-Accent2">
    <w:name w:val="Colorful List Accent 2"/>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FFDFD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FFB0B0"/>
      </w:tcPr>
    </w:tblStylePr>
    <w:tblStylePr w:type="band1Horz">
      <w:rPr>
        <w:rFonts w:cs="Times New Roman"/>
      </w:rPr>
      <w:tblPr/>
      <w:tcPr>
        <w:shd w:val="clear" w:color="auto" w:fill="FFBFBF"/>
      </w:tcPr>
    </w:tblStylePr>
  </w:style>
  <w:style w:type="table" w:styleId="ColorfulList-Accent3">
    <w:name w:val="Colorful List Accent 3"/>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EFEFEF"/>
    </w:tcPr>
    <w:tblStylePr w:type="firstRow">
      <w:rPr>
        <w:rFonts w:cs="Times New Roman"/>
        <w:b/>
        <w:bCs/>
        <w:color w:val="0072BC"/>
      </w:rPr>
      <w:tblPr/>
      <w:tcPr>
        <w:tcBorders>
          <w:bottom w:val="single" w:sz="12" w:space="0" w:color="0072BC"/>
        </w:tcBorders>
        <w:shd w:val="clear" w:color="auto" w:fill="787878"/>
      </w:tcPr>
    </w:tblStylePr>
    <w:tblStylePr w:type="lastRow">
      <w:rPr>
        <w:rFonts w:cs="Times New Roman"/>
        <w:b/>
        <w:bCs/>
        <w:color w:val="787878"/>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ColorfulList-Accent4">
    <w:name w:val="Colorful List Accent 4"/>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F4F4F4"/>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E5E5E5"/>
      </w:tcPr>
    </w:tblStylePr>
    <w:tblStylePr w:type="band1Horz">
      <w:rPr>
        <w:rFonts w:cs="Times New Roman"/>
      </w:rPr>
      <w:tblPr/>
      <w:tcPr>
        <w:shd w:val="clear" w:color="auto" w:fill="EAEAEA"/>
      </w:tcPr>
    </w:tblStylePr>
  </w:style>
  <w:style w:type="table" w:styleId="ColorfulList-Accent5">
    <w:name w:val="Colorful List Accent 5"/>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EFEFEF"/>
    </w:tcPr>
    <w:tblStylePr w:type="firstRow">
      <w:rPr>
        <w:rFonts w:cs="Times New Roman"/>
        <w:b/>
        <w:bCs/>
        <w:color w:val="0072BC"/>
      </w:rPr>
      <w:tblPr/>
      <w:tcPr>
        <w:tcBorders>
          <w:bottom w:val="single" w:sz="12" w:space="0" w:color="0072BC"/>
        </w:tcBorders>
        <w:shd w:val="clear" w:color="auto" w:fill="3D3D3D"/>
      </w:tcPr>
    </w:tblStylePr>
    <w:tblStylePr w:type="lastRow">
      <w:rPr>
        <w:rFonts w:cs="Times New Roman"/>
        <w:b/>
        <w:bCs/>
        <w:color w:val="3D3D3D"/>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ColorfulList-Accent6">
    <w:name w:val="Colorful List Accent 6"/>
    <w:basedOn w:val="TableNormal"/>
    <w:uiPriority w:val="99"/>
    <w:semiHidden/>
    <w:rsid w:val="00DE61E0"/>
    <w:rPr>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EDEDED"/>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3D3"/>
      </w:tcPr>
    </w:tblStylePr>
    <w:tblStylePr w:type="band1Horz">
      <w:rPr>
        <w:rFonts w:cs="Times New Roman"/>
      </w:rPr>
      <w:tblPr/>
      <w:tcPr>
        <w:shd w:val="clear" w:color="auto" w:fill="DBDBDB"/>
      </w:tcPr>
    </w:tblStylePr>
  </w:style>
  <w:style w:type="table" w:styleId="ColorfulShading">
    <w:name w:val="Colorful Shading"/>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C00000"/>
        <w:left w:val="single" w:sz="4" w:space="0" w:color="000000"/>
        <w:bottom w:val="single" w:sz="4" w:space="0" w:color="000000"/>
        <w:right w:val="single" w:sz="4" w:space="0" w:color="000000"/>
        <w:insideH w:val="single" w:sz="4" w:space="0" w:color="0072BC"/>
        <w:insideV w:val="single" w:sz="4" w:space="0" w:color="0072BC"/>
      </w:tblBorders>
      <w:tblCellMar>
        <w:top w:w="0" w:type="dxa"/>
        <w:left w:w="108" w:type="dxa"/>
        <w:bottom w:w="0" w:type="dxa"/>
        <w:right w:w="108" w:type="dxa"/>
      </w:tblCellMar>
    </w:tblPr>
    <w:tcPr>
      <w:shd w:val="clear" w:color="auto" w:fill="E6E6E6"/>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0000"/>
      </w:tcPr>
    </w:tblStylePr>
    <w:tblStylePr w:type="firstCol">
      <w:rPr>
        <w:rFonts w:cs="Times New Roman"/>
        <w:color w:val="0072BC"/>
      </w:rPr>
      <w:tblPr/>
      <w:tcPr>
        <w:tcBorders>
          <w:top w:val="nil"/>
          <w:left w:val="nil"/>
          <w:bottom w:val="nil"/>
          <w:right w:val="nil"/>
          <w:insideH w:val="single" w:sz="4" w:space="0" w:color="000000"/>
          <w:insideV w:val="nil"/>
        </w:tcBorders>
        <w:shd w:val="clear" w:color="auto" w:fill="000000"/>
      </w:tcPr>
    </w:tblStylePr>
    <w:tblStylePr w:type="lastCol">
      <w:rPr>
        <w:rFonts w:cs="Times New Roman"/>
        <w:color w:val="0072BC"/>
      </w:rPr>
      <w:tblPr/>
      <w:tcPr>
        <w:tcBorders>
          <w:top w:val="nil"/>
          <w:left w:val="nil"/>
          <w:bottom w:val="nil"/>
          <w:right w:val="nil"/>
          <w:insideH w:val="nil"/>
          <w:insideV w:val="nil"/>
        </w:tcBorders>
        <w:shd w:val="clear" w:color="auto" w:fill="000000"/>
      </w:tcPr>
    </w:tblStylePr>
    <w:tblStylePr w:type="band1Vert">
      <w:rPr>
        <w:rFonts w:cs="Times New Roman"/>
      </w:rPr>
      <w:tblPr/>
      <w:tcPr>
        <w:shd w:val="clear" w:color="auto" w:fill="999999"/>
      </w:tcPr>
    </w:tblStylePr>
    <w:tblStylePr w:type="band1Horz">
      <w:rPr>
        <w:rFonts w:cs="Times New Roman"/>
      </w:rPr>
      <w:tblPr/>
      <w:tcPr>
        <w:shd w:val="clear" w:color="auto" w:fill="808080"/>
      </w:tcPr>
    </w:tblStylePr>
    <w:tblStylePr w:type="neCell">
      <w:rPr>
        <w:rFonts w:cs="Times New Roman"/>
        <w:color w:val="000000"/>
      </w:rPr>
    </w:tblStylePr>
    <w:tblStylePr w:type="nwCell">
      <w:rPr>
        <w:rFonts w:cs="Times New Roman"/>
        <w:color w:val="000000"/>
      </w:rPr>
    </w:tblStylePr>
  </w:style>
  <w:style w:type="table" w:styleId="ColorfulShading-Accent1">
    <w:name w:val="Colorful Shading Accent 1"/>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C00000"/>
        <w:left w:val="single" w:sz="4" w:space="0" w:color="0072BC"/>
        <w:bottom w:val="single" w:sz="4" w:space="0" w:color="0072BC"/>
        <w:right w:val="single" w:sz="4" w:space="0" w:color="0072BC"/>
        <w:insideH w:val="single" w:sz="4" w:space="0" w:color="0072BC"/>
        <w:insideV w:val="single" w:sz="4" w:space="0" w:color="0072BC"/>
      </w:tblBorders>
      <w:tblCellMar>
        <w:top w:w="0" w:type="dxa"/>
        <w:left w:w="108" w:type="dxa"/>
        <w:bottom w:w="0" w:type="dxa"/>
        <w:right w:w="108" w:type="dxa"/>
      </w:tblCellMar>
    </w:tblPr>
    <w:tcPr>
      <w:shd w:val="clear" w:color="auto" w:fill="DFF2F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4470"/>
      </w:tcPr>
    </w:tblStylePr>
    <w:tblStylePr w:type="firstCol">
      <w:rPr>
        <w:rFonts w:cs="Times New Roman"/>
        <w:color w:val="0072BC"/>
      </w:rPr>
      <w:tblPr/>
      <w:tcPr>
        <w:tcBorders>
          <w:top w:val="nil"/>
          <w:left w:val="nil"/>
          <w:bottom w:val="nil"/>
          <w:right w:val="nil"/>
          <w:insideH w:val="single" w:sz="4" w:space="0" w:color="004470"/>
          <w:insideV w:val="nil"/>
        </w:tcBorders>
        <w:shd w:val="clear" w:color="auto" w:fill="004470"/>
      </w:tcPr>
    </w:tblStylePr>
    <w:tblStylePr w:type="lastCol">
      <w:rPr>
        <w:rFonts w:cs="Times New Roman"/>
        <w:color w:val="0072BC"/>
      </w:rPr>
      <w:tblPr/>
      <w:tcPr>
        <w:tcBorders>
          <w:top w:val="nil"/>
          <w:left w:val="nil"/>
          <w:bottom w:val="nil"/>
          <w:right w:val="nil"/>
          <w:insideH w:val="nil"/>
          <w:insideV w:val="nil"/>
        </w:tcBorders>
        <w:shd w:val="clear" w:color="auto" w:fill="004470"/>
      </w:tcPr>
    </w:tblStylePr>
    <w:tblStylePr w:type="band1Vert">
      <w:rPr>
        <w:rFonts w:cs="Times New Roman"/>
      </w:rPr>
      <w:tblPr/>
      <w:tcPr>
        <w:shd w:val="clear" w:color="auto" w:fill="7ECBFF"/>
      </w:tcPr>
    </w:tblStylePr>
    <w:tblStylePr w:type="band1Horz">
      <w:rPr>
        <w:rFonts w:cs="Times New Roman"/>
      </w:rPr>
      <w:tblPr/>
      <w:tcPr>
        <w:shd w:val="clear" w:color="auto" w:fill="5EBFFF"/>
      </w:tcPr>
    </w:tblStylePr>
    <w:tblStylePr w:type="neCell">
      <w:rPr>
        <w:rFonts w:cs="Times New Roman"/>
        <w:color w:val="000000"/>
      </w:rPr>
    </w:tblStylePr>
    <w:tblStylePr w:type="nwCell">
      <w:rPr>
        <w:rFonts w:cs="Times New Roman"/>
        <w:color w:val="000000"/>
      </w:rPr>
    </w:tblStylePr>
  </w:style>
  <w:style w:type="table" w:styleId="ColorfulShading-Accent2">
    <w:name w:val="Colorful Shading Accent 2"/>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C00000"/>
        <w:left w:val="single" w:sz="4" w:space="0" w:color="C00000"/>
        <w:bottom w:val="single" w:sz="4" w:space="0" w:color="C00000"/>
        <w:right w:val="single" w:sz="4" w:space="0" w:color="C00000"/>
        <w:insideH w:val="single" w:sz="4" w:space="0" w:color="0072BC"/>
        <w:insideV w:val="single" w:sz="4" w:space="0" w:color="0072BC"/>
      </w:tblBorders>
      <w:tblCellMar>
        <w:top w:w="0" w:type="dxa"/>
        <w:left w:w="108" w:type="dxa"/>
        <w:bottom w:w="0" w:type="dxa"/>
        <w:right w:w="108" w:type="dxa"/>
      </w:tblCellMar>
    </w:tblPr>
    <w:tcPr>
      <w:shd w:val="clear" w:color="auto" w:fill="FFDFD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730000"/>
      </w:tcPr>
    </w:tblStylePr>
    <w:tblStylePr w:type="firstCol">
      <w:rPr>
        <w:rFonts w:cs="Times New Roman"/>
        <w:color w:val="0072BC"/>
      </w:rPr>
      <w:tblPr/>
      <w:tcPr>
        <w:tcBorders>
          <w:top w:val="nil"/>
          <w:left w:val="nil"/>
          <w:bottom w:val="nil"/>
          <w:right w:val="nil"/>
          <w:insideH w:val="single" w:sz="4" w:space="0" w:color="730000"/>
          <w:insideV w:val="nil"/>
        </w:tcBorders>
        <w:shd w:val="clear" w:color="auto" w:fill="730000"/>
      </w:tcPr>
    </w:tblStylePr>
    <w:tblStylePr w:type="lastCol">
      <w:rPr>
        <w:rFonts w:cs="Times New Roman"/>
        <w:color w:val="0072BC"/>
      </w:rPr>
      <w:tblPr/>
      <w:tcPr>
        <w:tcBorders>
          <w:top w:val="nil"/>
          <w:left w:val="nil"/>
          <w:bottom w:val="nil"/>
          <w:right w:val="nil"/>
          <w:insideH w:val="nil"/>
          <w:insideV w:val="nil"/>
        </w:tcBorders>
        <w:shd w:val="clear" w:color="auto" w:fill="730000"/>
      </w:tcPr>
    </w:tblStylePr>
    <w:tblStylePr w:type="band1Vert">
      <w:rPr>
        <w:rFonts w:cs="Times New Roman"/>
      </w:rPr>
      <w:tblPr/>
      <w:tcPr>
        <w:shd w:val="clear" w:color="auto" w:fill="FF7F7F"/>
      </w:tcPr>
    </w:tblStylePr>
    <w:tblStylePr w:type="band1Horz">
      <w:rPr>
        <w:rFonts w:cs="Times New Roman"/>
      </w:rPr>
      <w:tblPr/>
      <w:tcPr>
        <w:shd w:val="clear" w:color="auto" w:fill="FF6060"/>
      </w:tcPr>
    </w:tblStylePr>
    <w:tblStylePr w:type="neCell">
      <w:rPr>
        <w:rFonts w:cs="Times New Roman"/>
        <w:color w:val="000000"/>
      </w:rPr>
    </w:tblStylePr>
    <w:tblStylePr w:type="nwCell">
      <w:rPr>
        <w:rFonts w:cs="Times New Roman"/>
        <w:color w:val="000000"/>
      </w:rPr>
    </w:tblStylePr>
  </w:style>
  <w:style w:type="table" w:styleId="ColorfulShading-Accent3">
    <w:name w:val="Colorful Shading Accent 3"/>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969696"/>
        <w:left w:val="single" w:sz="4" w:space="0" w:color="5F5F5F"/>
        <w:bottom w:val="single" w:sz="4" w:space="0" w:color="5F5F5F"/>
        <w:right w:val="single" w:sz="4" w:space="0" w:color="5F5F5F"/>
        <w:insideH w:val="single" w:sz="4" w:space="0" w:color="0072BC"/>
        <w:insideV w:val="single" w:sz="4" w:space="0" w:color="0072BC"/>
      </w:tblBorders>
      <w:tblCellMar>
        <w:top w:w="0" w:type="dxa"/>
        <w:left w:w="108" w:type="dxa"/>
        <w:bottom w:w="0" w:type="dxa"/>
        <w:right w:w="108" w:type="dxa"/>
      </w:tblCellMar>
    </w:tblPr>
    <w:tcPr>
      <w:shd w:val="clear" w:color="auto" w:fill="EFEFEF"/>
    </w:tcPr>
    <w:tblStylePr w:type="firstRow">
      <w:rPr>
        <w:rFonts w:cs="Times New Roman"/>
        <w:b/>
        <w:bCs/>
      </w:rPr>
      <w:tblPr/>
      <w:tcPr>
        <w:tcBorders>
          <w:top w:val="nil"/>
          <w:left w:val="nil"/>
          <w:bottom w:val="single" w:sz="24" w:space="0" w:color="969696"/>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style>
  <w:style w:type="table" w:styleId="ColorfulShading-Accent4">
    <w:name w:val="Colorful Shading Accent 4"/>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5F5F5F"/>
        <w:left w:val="single" w:sz="4" w:space="0" w:color="969696"/>
        <w:bottom w:val="single" w:sz="4" w:space="0" w:color="969696"/>
        <w:right w:val="single" w:sz="4" w:space="0" w:color="969696"/>
        <w:insideH w:val="single" w:sz="4" w:space="0" w:color="0072BC"/>
        <w:insideV w:val="single" w:sz="4" w:space="0" w:color="0072BC"/>
      </w:tblBorders>
      <w:tblCellMar>
        <w:top w:w="0" w:type="dxa"/>
        <w:left w:w="108" w:type="dxa"/>
        <w:bottom w:w="0" w:type="dxa"/>
        <w:right w:w="108" w:type="dxa"/>
      </w:tblCellMar>
    </w:tblPr>
    <w:tcPr>
      <w:shd w:val="clear" w:color="auto" w:fill="F4F4F4"/>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5A5A5A"/>
      </w:tcPr>
    </w:tblStylePr>
    <w:tblStylePr w:type="firstCol">
      <w:rPr>
        <w:rFonts w:cs="Times New Roman"/>
        <w:color w:val="0072BC"/>
      </w:rPr>
      <w:tblPr/>
      <w:tcPr>
        <w:tcBorders>
          <w:top w:val="nil"/>
          <w:left w:val="nil"/>
          <w:bottom w:val="nil"/>
          <w:right w:val="nil"/>
          <w:insideH w:val="single" w:sz="4" w:space="0" w:color="5A5A5A"/>
          <w:insideV w:val="nil"/>
        </w:tcBorders>
        <w:shd w:val="clear" w:color="auto" w:fill="5A5A5A"/>
      </w:tcPr>
    </w:tblStylePr>
    <w:tblStylePr w:type="lastCol">
      <w:rPr>
        <w:rFonts w:cs="Times New Roman"/>
        <w:color w:val="0072BC"/>
      </w:rPr>
      <w:tblPr/>
      <w:tcPr>
        <w:tcBorders>
          <w:top w:val="nil"/>
          <w:left w:val="nil"/>
          <w:bottom w:val="nil"/>
          <w:right w:val="nil"/>
          <w:insideH w:val="nil"/>
          <w:insideV w:val="nil"/>
        </w:tcBorders>
        <w:shd w:val="clear" w:color="auto" w:fill="5A5A5A"/>
      </w:tcPr>
    </w:tblStylePr>
    <w:tblStylePr w:type="band1Vert">
      <w:rPr>
        <w:rFonts w:cs="Times New Roman"/>
      </w:rPr>
      <w:tblPr/>
      <w:tcPr>
        <w:shd w:val="clear" w:color="auto" w:fill="D5D5D5"/>
      </w:tcPr>
    </w:tblStylePr>
    <w:tblStylePr w:type="band1Horz">
      <w:rPr>
        <w:rFonts w:cs="Times New Roman"/>
      </w:rPr>
      <w:tblPr/>
      <w:tcPr>
        <w:shd w:val="clear" w:color="auto" w:fill="CACACA"/>
      </w:tcPr>
    </w:tblStylePr>
    <w:tblStylePr w:type="neCell">
      <w:rPr>
        <w:rFonts w:cs="Times New Roman"/>
        <w:color w:val="000000"/>
      </w:rPr>
    </w:tblStylePr>
    <w:tblStylePr w:type="nwCell">
      <w:rPr>
        <w:rFonts w:cs="Times New Roman"/>
        <w:color w:val="000000"/>
      </w:rPr>
    </w:tblStylePr>
  </w:style>
  <w:style w:type="table" w:styleId="ColorfulShading-Accent5">
    <w:name w:val="Colorful Shading Accent 5"/>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4D4D4D"/>
        <w:left w:val="single" w:sz="4" w:space="0" w:color="5F5F5F"/>
        <w:bottom w:val="single" w:sz="4" w:space="0" w:color="5F5F5F"/>
        <w:right w:val="single" w:sz="4" w:space="0" w:color="5F5F5F"/>
        <w:insideH w:val="single" w:sz="4" w:space="0" w:color="0072BC"/>
        <w:insideV w:val="single" w:sz="4" w:space="0" w:color="0072BC"/>
      </w:tblBorders>
      <w:tblCellMar>
        <w:top w:w="0" w:type="dxa"/>
        <w:left w:w="108" w:type="dxa"/>
        <w:bottom w:w="0" w:type="dxa"/>
        <w:right w:w="108" w:type="dxa"/>
      </w:tblCellMar>
    </w:tblPr>
    <w:tcPr>
      <w:shd w:val="clear" w:color="auto" w:fill="EFEFEF"/>
    </w:tcPr>
    <w:tblStylePr w:type="firstRow">
      <w:rPr>
        <w:rFonts w:cs="Times New Roman"/>
        <w:b/>
        <w:bCs/>
      </w:rPr>
      <w:tblPr/>
      <w:tcPr>
        <w:tcBorders>
          <w:top w:val="nil"/>
          <w:left w:val="nil"/>
          <w:bottom w:val="single" w:sz="24" w:space="0" w:color="4D4D4D"/>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tblStylePr w:type="neCell">
      <w:rPr>
        <w:rFonts w:cs="Times New Roman"/>
        <w:color w:val="000000"/>
      </w:rPr>
    </w:tblStylePr>
    <w:tblStylePr w:type="nwCell">
      <w:rPr>
        <w:rFonts w:cs="Times New Roman"/>
        <w:color w:val="000000"/>
      </w:rPr>
    </w:tblStylePr>
  </w:style>
  <w:style w:type="table" w:styleId="ColorfulShading-Accent6">
    <w:name w:val="Colorful Shading Accent 6"/>
    <w:basedOn w:val="TableNormal"/>
    <w:uiPriority w:val="99"/>
    <w:semiHidden/>
    <w:rsid w:val="00DE61E0"/>
    <w:rPr>
      <w:color w:val="000000"/>
      <w:sz w:val="20"/>
      <w:szCs w:val="20"/>
      <w:lang w:val="fr-FR" w:eastAsia="fr-FR"/>
    </w:rPr>
    <w:tblPr>
      <w:tblStyleRowBandSize w:val="1"/>
      <w:tblStyleColBandSize w:val="1"/>
      <w:tblInd w:w="0" w:type="dxa"/>
      <w:tblBorders>
        <w:top w:val="single" w:sz="24" w:space="0" w:color="5F5F5F"/>
        <w:left w:val="single" w:sz="4" w:space="0" w:color="4D4D4D"/>
        <w:bottom w:val="single" w:sz="4" w:space="0" w:color="4D4D4D"/>
        <w:right w:val="single" w:sz="4" w:space="0" w:color="4D4D4D"/>
        <w:insideH w:val="single" w:sz="4" w:space="0" w:color="0072BC"/>
        <w:insideV w:val="single" w:sz="4" w:space="0" w:color="0072BC"/>
      </w:tblBorders>
      <w:tblCellMar>
        <w:top w:w="0" w:type="dxa"/>
        <w:left w:w="108" w:type="dxa"/>
        <w:bottom w:w="0" w:type="dxa"/>
        <w:right w:w="108" w:type="dxa"/>
      </w:tblCellMar>
    </w:tblPr>
    <w:tcPr>
      <w:shd w:val="clear" w:color="auto" w:fill="EDEDED"/>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2E2E2E"/>
      </w:tcPr>
    </w:tblStylePr>
    <w:tblStylePr w:type="firstCol">
      <w:rPr>
        <w:rFonts w:cs="Times New Roman"/>
        <w:color w:val="0072BC"/>
      </w:rPr>
      <w:tblPr/>
      <w:tcPr>
        <w:tcBorders>
          <w:top w:val="nil"/>
          <w:left w:val="nil"/>
          <w:bottom w:val="nil"/>
          <w:right w:val="nil"/>
          <w:insideH w:val="single" w:sz="4" w:space="0" w:color="2E2E2E"/>
          <w:insideV w:val="nil"/>
        </w:tcBorders>
        <w:shd w:val="clear" w:color="auto" w:fill="2E2E2E"/>
      </w:tcPr>
    </w:tblStylePr>
    <w:tblStylePr w:type="lastCol">
      <w:rPr>
        <w:rFonts w:cs="Times New Roman"/>
        <w:color w:val="0072BC"/>
      </w:rPr>
      <w:tblPr/>
      <w:tcPr>
        <w:tcBorders>
          <w:top w:val="nil"/>
          <w:left w:val="nil"/>
          <w:bottom w:val="nil"/>
          <w:right w:val="nil"/>
          <w:insideH w:val="nil"/>
          <w:insideV w:val="nil"/>
        </w:tcBorders>
        <w:shd w:val="clear" w:color="auto" w:fill="2E2E2E"/>
      </w:tcPr>
    </w:tblStylePr>
    <w:tblStylePr w:type="band1Vert">
      <w:rPr>
        <w:rFonts w:cs="Times New Roman"/>
      </w:rPr>
      <w:tblPr/>
      <w:tcPr>
        <w:shd w:val="clear" w:color="auto" w:fill="B7B7B7"/>
      </w:tcPr>
    </w:tblStylePr>
    <w:tblStylePr w:type="band1Horz">
      <w:rPr>
        <w:rFonts w:cs="Times New Roman"/>
      </w:rPr>
      <w:tblPr/>
      <w:tcPr>
        <w:shd w:val="clear" w:color="auto" w:fill="A6A6A6"/>
      </w:tcPr>
    </w:tblStylePr>
    <w:tblStylePr w:type="neCell">
      <w:rPr>
        <w:rFonts w:cs="Times New Roman"/>
        <w:color w:val="000000"/>
      </w:rPr>
    </w:tblStylePr>
    <w:tblStylePr w:type="nwCell">
      <w:rPr>
        <w:rFonts w:cs="Times New Roman"/>
        <w:color w:val="000000"/>
      </w:rPr>
    </w:tblStylePr>
  </w:style>
  <w:style w:type="table" w:styleId="DarkList">
    <w:name w:val="Dark List"/>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0000"/>
      </w:tcPr>
    </w:tblStylePr>
    <w:tblStylePr w:type="firstCol">
      <w:rPr>
        <w:rFonts w:cs="Times New Roman"/>
      </w:rPr>
      <w:tblPr/>
      <w:tcPr>
        <w:tcBorders>
          <w:top w:val="nil"/>
          <w:left w:val="nil"/>
          <w:bottom w:val="nil"/>
          <w:right w:val="single" w:sz="18" w:space="0" w:color="0072BC"/>
          <w:insideH w:val="nil"/>
          <w:insideV w:val="nil"/>
        </w:tcBorders>
        <w:shd w:val="clear" w:color="auto" w:fill="000000"/>
      </w:tcPr>
    </w:tblStylePr>
    <w:tblStylePr w:type="lastCol">
      <w:rPr>
        <w:rFonts w:cs="Times New Roman"/>
      </w:rPr>
      <w:tblPr/>
      <w:tcPr>
        <w:tcBorders>
          <w:top w:val="nil"/>
          <w:left w:val="single" w:sz="18" w:space="0" w:color="0072BC"/>
          <w:bottom w:val="nil"/>
          <w:right w:val="nil"/>
          <w:insideH w:val="nil"/>
          <w:insideV w:val="nil"/>
        </w:tcBorders>
        <w:shd w:val="clear" w:color="auto" w:fill="000000"/>
      </w:tcPr>
    </w:tblStylePr>
    <w:tblStylePr w:type="band1Vert">
      <w:rPr>
        <w:rFonts w:cs="Times New Roman"/>
      </w:rPr>
      <w:tblPr/>
      <w:tcPr>
        <w:tcBorders>
          <w:top w:val="nil"/>
          <w:left w:val="nil"/>
          <w:bottom w:val="nil"/>
          <w:right w:val="nil"/>
          <w:insideH w:val="nil"/>
          <w:insideV w:val="nil"/>
        </w:tcBorders>
        <w:shd w:val="clear" w:color="auto" w:fill="000000"/>
      </w:tcPr>
    </w:tblStylePr>
    <w:tblStylePr w:type="band1Horz">
      <w:rPr>
        <w:rFonts w:cs="Times New Roman"/>
      </w:rPr>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0072BC"/>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385D"/>
      </w:tcPr>
    </w:tblStylePr>
    <w:tblStylePr w:type="firstCol">
      <w:rPr>
        <w:rFonts w:cs="Times New Roman"/>
      </w:rPr>
      <w:tblPr/>
      <w:tcPr>
        <w:tcBorders>
          <w:top w:val="nil"/>
          <w:left w:val="nil"/>
          <w:bottom w:val="nil"/>
          <w:right w:val="single" w:sz="18" w:space="0" w:color="0072BC"/>
          <w:insideH w:val="nil"/>
          <w:insideV w:val="nil"/>
        </w:tcBorders>
        <w:shd w:val="clear" w:color="auto" w:fill="00548C"/>
      </w:tcPr>
    </w:tblStylePr>
    <w:tblStylePr w:type="lastCol">
      <w:rPr>
        <w:rFonts w:cs="Times New Roman"/>
      </w:rPr>
      <w:tblPr/>
      <w:tcPr>
        <w:tcBorders>
          <w:top w:val="nil"/>
          <w:left w:val="single" w:sz="18" w:space="0" w:color="0072BC"/>
          <w:bottom w:val="nil"/>
          <w:right w:val="nil"/>
          <w:insideH w:val="nil"/>
          <w:insideV w:val="nil"/>
        </w:tcBorders>
        <w:shd w:val="clear" w:color="auto" w:fill="00548C"/>
      </w:tcPr>
    </w:tblStylePr>
    <w:tblStylePr w:type="band1Vert">
      <w:rPr>
        <w:rFonts w:cs="Times New Roman"/>
      </w:rPr>
      <w:tblPr/>
      <w:tcPr>
        <w:tcBorders>
          <w:top w:val="nil"/>
          <w:left w:val="nil"/>
          <w:bottom w:val="nil"/>
          <w:right w:val="nil"/>
          <w:insideH w:val="nil"/>
          <w:insideV w:val="nil"/>
        </w:tcBorders>
        <w:shd w:val="clear" w:color="auto" w:fill="00548C"/>
      </w:tcPr>
    </w:tblStylePr>
    <w:tblStylePr w:type="band1Horz">
      <w:rPr>
        <w:rFonts w:cs="Times New Roman"/>
      </w:rPr>
      <w:tblPr/>
      <w:tcPr>
        <w:tcBorders>
          <w:top w:val="nil"/>
          <w:left w:val="nil"/>
          <w:bottom w:val="nil"/>
          <w:right w:val="nil"/>
          <w:insideH w:val="nil"/>
          <w:insideV w:val="nil"/>
        </w:tcBorders>
        <w:shd w:val="clear" w:color="auto" w:fill="00548C"/>
      </w:tcPr>
    </w:tblStylePr>
  </w:style>
  <w:style w:type="table" w:styleId="DarkList-Accent2">
    <w:name w:val="Dark List Accent 2"/>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C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5F0000"/>
      </w:tcPr>
    </w:tblStylePr>
    <w:tblStylePr w:type="firstCol">
      <w:rPr>
        <w:rFonts w:cs="Times New Roman"/>
      </w:rPr>
      <w:tblPr/>
      <w:tcPr>
        <w:tcBorders>
          <w:top w:val="nil"/>
          <w:left w:val="nil"/>
          <w:bottom w:val="nil"/>
          <w:right w:val="single" w:sz="18" w:space="0" w:color="0072BC"/>
          <w:insideH w:val="nil"/>
          <w:insideV w:val="nil"/>
        </w:tcBorders>
        <w:shd w:val="clear" w:color="auto" w:fill="8F0000"/>
      </w:tcPr>
    </w:tblStylePr>
    <w:tblStylePr w:type="lastCol">
      <w:rPr>
        <w:rFonts w:cs="Times New Roman"/>
      </w:rPr>
      <w:tblPr/>
      <w:tcPr>
        <w:tcBorders>
          <w:top w:val="nil"/>
          <w:left w:val="single" w:sz="18" w:space="0" w:color="0072BC"/>
          <w:bottom w:val="nil"/>
          <w:right w:val="nil"/>
          <w:insideH w:val="nil"/>
          <w:insideV w:val="nil"/>
        </w:tcBorders>
        <w:shd w:val="clear" w:color="auto" w:fill="8F0000"/>
      </w:tcPr>
    </w:tblStylePr>
    <w:tblStylePr w:type="band1Vert">
      <w:rPr>
        <w:rFonts w:cs="Times New Roman"/>
      </w:rPr>
      <w:tblPr/>
      <w:tcPr>
        <w:tcBorders>
          <w:top w:val="nil"/>
          <w:left w:val="nil"/>
          <w:bottom w:val="nil"/>
          <w:right w:val="nil"/>
          <w:insideH w:val="nil"/>
          <w:insideV w:val="nil"/>
        </w:tcBorders>
        <w:shd w:val="clear" w:color="auto" w:fill="8F0000"/>
      </w:tcPr>
    </w:tblStylePr>
    <w:tblStylePr w:type="band1Horz">
      <w:rPr>
        <w:rFonts w:cs="Times New Roman"/>
      </w:rPr>
      <w:tblPr/>
      <w:tcPr>
        <w:tcBorders>
          <w:top w:val="nil"/>
          <w:left w:val="nil"/>
          <w:bottom w:val="nil"/>
          <w:right w:val="nil"/>
          <w:insideH w:val="nil"/>
          <w:insideV w:val="nil"/>
        </w:tcBorders>
        <w:shd w:val="clear" w:color="auto" w:fill="8F0000"/>
      </w:tcPr>
    </w:tblStylePr>
  </w:style>
  <w:style w:type="table" w:styleId="DarkList-Accent3">
    <w:name w:val="Dark List Accent 3"/>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DarkList-Accent4">
    <w:name w:val="Dark List Accent 4"/>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969696"/>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4A4A4A"/>
      </w:tcPr>
    </w:tblStylePr>
    <w:tblStylePr w:type="firstCol">
      <w:rPr>
        <w:rFonts w:cs="Times New Roman"/>
      </w:rPr>
      <w:tblPr/>
      <w:tcPr>
        <w:tcBorders>
          <w:top w:val="nil"/>
          <w:left w:val="nil"/>
          <w:bottom w:val="nil"/>
          <w:right w:val="single" w:sz="18" w:space="0" w:color="0072BC"/>
          <w:insideH w:val="nil"/>
          <w:insideV w:val="nil"/>
        </w:tcBorders>
        <w:shd w:val="clear" w:color="auto" w:fill="707070"/>
      </w:tcPr>
    </w:tblStylePr>
    <w:tblStylePr w:type="lastCol">
      <w:rPr>
        <w:rFonts w:cs="Times New Roman"/>
      </w:rPr>
      <w:tblPr/>
      <w:tcPr>
        <w:tcBorders>
          <w:top w:val="nil"/>
          <w:left w:val="single" w:sz="18" w:space="0" w:color="0072BC"/>
          <w:bottom w:val="nil"/>
          <w:right w:val="nil"/>
          <w:insideH w:val="nil"/>
          <w:insideV w:val="nil"/>
        </w:tcBorders>
        <w:shd w:val="clear" w:color="auto" w:fill="707070"/>
      </w:tcPr>
    </w:tblStylePr>
    <w:tblStylePr w:type="band1Vert">
      <w:rPr>
        <w:rFonts w:cs="Times New Roman"/>
      </w:rPr>
      <w:tblPr/>
      <w:tcPr>
        <w:tcBorders>
          <w:top w:val="nil"/>
          <w:left w:val="nil"/>
          <w:bottom w:val="nil"/>
          <w:right w:val="nil"/>
          <w:insideH w:val="nil"/>
          <w:insideV w:val="nil"/>
        </w:tcBorders>
        <w:shd w:val="clear" w:color="auto" w:fill="707070"/>
      </w:tcPr>
    </w:tblStylePr>
    <w:tblStylePr w:type="band1Horz">
      <w:rPr>
        <w:rFonts w:cs="Times New Roman"/>
      </w:rPr>
      <w:tblPr/>
      <w:tcPr>
        <w:tcBorders>
          <w:top w:val="nil"/>
          <w:left w:val="nil"/>
          <w:bottom w:val="nil"/>
          <w:right w:val="nil"/>
          <w:insideH w:val="nil"/>
          <w:insideV w:val="nil"/>
        </w:tcBorders>
        <w:shd w:val="clear" w:color="auto" w:fill="707070"/>
      </w:tcPr>
    </w:tblStylePr>
  </w:style>
  <w:style w:type="table" w:styleId="DarkList-Accent5">
    <w:name w:val="Dark List Accent 5"/>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DarkList-Accent6">
    <w:name w:val="Dark List Accent 6"/>
    <w:basedOn w:val="TableNormal"/>
    <w:uiPriority w:val="99"/>
    <w:semiHidden/>
    <w:rsid w:val="00DE61E0"/>
    <w:rPr>
      <w:color w:val="0072BC"/>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4D4D4D"/>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62626"/>
      </w:tcPr>
    </w:tblStylePr>
    <w:tblStylePr w:type="firstCol">
      <w:rPr>
        <w:rFonts w:cs="Times New Roman"/>
      </w:rPr>
      <w:tblPr/>
      <w:tcPr>
        <w:tcBorders>
          <w:top w:val="nil"/>
          <w:left w:val="nil"/>
          <w:bottom w:val="nil"/>
          <w:right w:val="single" w:sz="18" w:space="0" w:color="0072BC"/>
          <w:insideH w:val="nil"/>
          <w:insideV w:val="nil"/>
        </w:tcBorders>
        <w:shd w:val="clear" w:color="auto" w:fill="393939"/>
      </w:tcPr>
    </w:tblStylePr>
    <w:tblStylePr w:type="lastCol">
      <w:rPr>
        <w:rFonts w:cs="Times New Roman"/>
      </w:rPr>
      <w:tblPr/>
      <w:tcPr>
        <w:tcBorders>
          <w:top w:val="nil"/>
          <w:left w:val="single" w:sz="18" w:space="0" w:color="0072BC"/>
          <w:bottom w:val="nil"/>
          <w:right w:val="nil"/>
          <w:insideH w:val="nil"/>
          <w:insideV w:val="nil"/>
        </w:tcBorders>
        <w:shd w:val="clear" w:color="auto" w:fill="393939"/>
      </w:tcPr>
    </w:tblStylePr>
    <w:tblStylePr w:type="band1Vert">
      <w:rPr>
        <w:rFonts w:cs="Times New Roman"/>
      </w:rPr>
      <w:tblPr/>
      <w:tcPr>
        <w:tcBorders>
          <w:top w:val="nil"/>
          <w:left w:val="nil"/>
          <w:bottom w:val="nil"/>
          <w:right w:val="nil"/>
          <w:insideH w:val="nil"/>
          <w:insideV w:val="nil"/>
        </w:tcBorders>
        <w:shd w:val="clear" w:color="auto" w:fill="393939"/>
      </w:tcPr>
    </w:tblStylePr>
    <w:tblStylePr w:type="band1Horz">
      <w:rPr>
        <w:rFonts w:cs="Times New Roman"/>
      </w:rPr>
      <w:tblPr/>
      <w:tcPr>
        <w:tcBorders>
          <w:top w:val="nil"/>
          <w:left w:val="nil"/>
          <w:bottom w:val="nil"/>
          <w:right w:val="nil"/>
          <w:insideH w:val="nil"/>
          <w:insideV w:val="nil"/>
        </w:tcBorders>
        <w:shd w:val="clear" w:color="auto" w:fill="393939"/>
      </w:tcPr>
    </w:tblStylePr>
  </w:style>
  <w:style w:type="paragraph" w:styleId="Date">
    <w:name w:val="Date"/>
    <w:basedOn w:val="Normal"/>
    <w:next w:val="Normal"/>
    <w:link w:val="DateChar"/>
    <w:uiPriority w:val="99"/>
    <w:semiHidden/>
    <w:rsid w:val="00DE61E0"/>
  </w:style>
  <w:style w:type="character" w:customStyle="1" w:styleId="DateChar">
    <w:name w:val="Date Char"/>
    <w:basedOn w:val="DefaultParagraphFont"/>
    <w:link w:val="Date"/>
    <w:uiPriority w:val="99"/>
    <w:semiHidden/>
    <w:locked/>
    <w:rsid w:val="00DE61E0"/>
    <w:rPr>
      <w:rFonts w:eastAsia="MS Mincho" w:cs="Times New Roman"/>
      <w:sz w:val="24"/>
    </w:rPr>
  </w:style>
  <w:style w:type="paragraph" w:styleId="E-mailSignature">
    <w:name w:val="E-mail Signature"/>
    <w:basedOn w:val="Normal"/>
    <w:link w:val="E-mailSignatureChar"/>
    <w:uiPriority w:val="99"/>
    <w:semiHidden/>
    <w:rsid w:val="00DE61E0"/>
  </w:style>
  <w:style w:type="character" w:customStyle="1" w:styleId="E-mailSignatureChar">
    <w:name w:val="E-mail Signature Char"/>
    <w:basedOn w:val="DefaultParagraphFont"/>
    <w:link w:val="E-mailSignature"/>
    <w:uiPriority w:val="99"/>
    <w:semiHidden/>
    <w:locked/>
    <w:rsid w:val="00DE61E0"/>
    <w:rPr>
      <w:rFonts w:eastAsia="MS Mincho" w:cs="Times New Roman"/>
      <w:sz w:val="24"/>
    </w:rPr>
  </w:style>
  <w:style w:type="paragraph" w:styleId="EnvelopeAddress">
    <w:name w:val="envelope address"/>
    <w:basedOn w:val="Normal"/>
    <w:uiPriority w:val="99"/>
    <w:semiHidden/>
    <w:rsid w:val="00DE61E0"/>
    <w:pPr>
      <w:framePr w:w="7938" w:h="1985" w:hRule="exact" w:hSpace="141" w:wrap="auto" w:hAnchor="page" w:xAlign="center" w:yAlign="bottom"/>
      <w:ind w:left="2835"/>
    </w:pPr>
    <w:rPr>
      <w:rFonts w:eastAsia="MS Gothic"/>
      <w:szCs w:val="24"/>
    </w:rPr>
  </w:style>
  <w:style w:type="paragraph" w:styleId="EnvelopeReturn">
    <w:name w:val="envelope return"/>
    <w:basedOn w:val="Normal"/>
    <w:uiPriority w:val="99"/>
    <w:semiHidden/>
    <w:rsid w:val="00DE61E0"/>
    <w:rPr>
      <w:rFonts w:eastAsia="MS Gothic"/>
      <w:sz w:val="20"/>
      <w:szCs w:val="20"/>
    </w:rPr>
  </w:style>
  <w:style w:type="character" w:styleId="HTMLAcronym">
    <w:name w:val="HTML Acronym"/>
    <w:basedOn w:val="DefaultParagraphFont"/>
    <w:uiPriority w:val="99"/>
    <w:semiHidden/>
    <w:rsid w:val="00DE61E0"/>
    <w:rPr>
      <w:rFonts w:cs="Times New Roman"/>
    </w:rPr>
  </w:style>
  <w:style w:type="paragraph" w:styleId="HTMLAddress">
    <w:name w:val="HTML Address"/>
    <w:basedOn w:val="Normal"/>
    <w:link w:val="HTMLAddressChar"/>
    <w:uiPriority w:val="99"/>
    <w:semiHidden/>
    <w:rsid w:val="00DE61E0"/>
    <w:rPr>
      <w:i/>
      <w:iCs/>
    </w:rPr>
  </w:style>
  <w:style w:type="character" w:customStyle="1" w:styleId="HTMLAddressChar">
    <w:name w:val="HTML Address Char"/>
    <w:basedOn w:val="DefaultParagraphFont"/>
    <w:link w:val="HTMLAddress"/>
    <w:uiPriority w:val="99"/>
    <w:semiHidden/>
    <w:locked/>
    <w:rsid w:val="00DE61E0"/>
    <w:rPr>
      <w:rFonts w:eastAsia="MS Mincho" w:cs="Times New Roman"/>
      <w:i/>
      <w:iCs/>
      <w:sz w:val="24"/>
    </w:rPr>
  </w:style>
  <w:style w:type="character" w:styleId="HTMLCite">
    <w:name w:val="HTML Cite"/>
    <w:basedOn w:val="DefaultParagraphFont"/>
    <w:uiPriority w:val="99"/>
    <w:semiHidden/>
    <w:rsid w:val="00DE61E0"/>
    <w:rPr>
      <w:rFonts w:cs="Times New Roman"/>
      <w:i/>
      <w:iCs/>
    </w:rPr>
  </w:style>
  <w:style w:type="character" w:styleId="HTMLCode">
    <w:name w:val="HTML Code"/>
    <w:basedOn w:val="DefaultParagraphFont"/>
    <w:uiPriority w:val="99"/>
    <w:semiHidden/>
    <w:rsid w:val="00DE61E0"/>
    <w:rPr>
      <w:rFonts w:ascii="Consolas" w:hAnsi="Consolas" w:cs="Consolas"/>
      <w:sz w:val="20"/>
      <w:szCs w:val="20"/>
    </w:rPr>
  </w:style>
  <w:style w:type="character" w:styleId="HTMLDefinition">
    <w:name w:val="HTML Definition"/>
    <w:basedOn w:val="DefaultParagraphFont"/>
    <w:uiPriority w:val="99"/>
    <w:semiHidden/>
    <w:rsid w:val="00DE61E0"/>
    <w:rPr>
      <w:rFonts w:cs="Times New Roman"/>
      <w:i/>
      <w:iCs/>
    </w:rPr>
  </w:style>
  <w:style w:type="character" w:styleId="HTMLKeyboard">
    <w:name w:val="HTML Keyboard"/>
    <w:basedOn w:val="DefaultParagraphFont"/>
    <w:uiPriority w:val="99"/>
    <w:semiHidden/>
    <w:rsid w:val="00DE61E0"/>
    <w:rPr>
      <w:rFonts w:ascii="Consolas" w:hAnsi="Consolas" w:cs="Consolas"/>
      <w:sz w:val="20"/>
      <w:szCs w:val="20"/>
    </w:rPr>
  </w:style>
  <w:style w:type="paragraph" w:styleId="HTMLPreformatted">
    <w:name w:val="HTML Preformatted"/>
    <w:basedOn w:val="Normal"/>
    <w:link w:val="HTMLPreformattedChar"/>
    <w:uiPriority w:val="99"/>
    <w:semiHidden/>
    <w:rsid w:val="00DE61E0"/>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locked/>
    <w:rsid w:val="00DE61E0"/>
    <w:rPr>
      <w:rFonts w:ascii="Consolas" w:eastAsia="MS Mincho" w:hAnsi="Consolas" w:cs="Consolas"/>
      <w:sz w:val="20"/>
      <w:szCs w:val="20"/>
    </w:rPr>
  </w:style>
  <w:style w:type="character" w:styleId="HTMLSample">
    <w:name w:val="HTML Sample"/>
    <w:basedOn w:val="DefaultParagraphFont"/>
    <w:uiPriority w:val="99"/>
    <w:semiHidden/>
    <w:rsid w:val="00DE61E0"/>
    <w:rPr>
      <w:rFonts w:ascii="Consolas" w:hAnsi="Consolas" w:cs="Consolas"/>
      <w:sz w:val="24"/>
      <w:szCs w:val="24"/>
    </w:rPr>
  </w:style>
  <w:style w:type="character" w:styleId="HTMLTypewriter">
    <w:name w:val="HTML Typewriter"/>
    <w:basedOn w:val="DefaultParagraphFont"/>
    <w:uiPriority w:val="99"/>
    <w:semiHidden/>
    <w:rsid w:val="00DE61E0"/>
    <w:rPr>
      <w:rFonts w:ascii="Consolas" w:hAnsi="Consolas" w:cs="Consolas"/>
      <w:sz w:val="20"/>
      <w:szCs w:val="20"/>
    </w:rPr>
  </w:style>
  <w:style w:type="character" w:styleId="HTMLVariable">
    <w:name w:val="HTML Variable"/>
    <w:basedOn w:val="DefaultParagraphFont"/>
    <w:uiPriority w:val="99"/>
    <w:semiHidden/>
    <w:rsid w:val="00DE61E0"/>
    <w:rPr>
      <w:rFonts w:cs="Times New Roman"/>
      <w:i/>
      <w:iCs/>
    </w:rPr>
  </w:style>
  <w:style w:type="paragraph" w:styleId="Index1">
    <w:name w:val="index 1"/>
    <w:basedOn w:val="Normal"/>
    <w:next w:val="Normal"/>
    <w:autoRedefine/>
    <w:uiPriority w:val="99"/>
    <w:semiHidden/>
    <w:rsid w:val="00DE61E0"/>
    <w:pPr>
      <w:ind w:left="240" w:hanging="240"/>
    </w:pPr>
  </w:style>
  <w:style w:type="paragraph" w:styleId="Index2">
    <w:name w:val="index 2"/>
    <w:basedOn w:val="Normal"/>
    <w:next w:val="Normal"/>
    <w:autoRedefine/>
    <w:uiPriority w:val="99"/>
    <w:semiHidden/>
    <w:rsid w:val="00DE61E0"/>
    <w:pPr>
      <w:ind w:left="480" w:hanging="240"/>
    </w:pPr>
  </w:style>
  <w:style w:type="paragraph" w:styleId="Index3">
    <w:name w:val="index 3"/>
    <w:basedOn w:val="Normal"/>
    <w:next w:val="Normal"/>
    <w:autoRedefine/>
    <w:uiPriority w:val="99"/>
    <w:semiHidden/>
    <w:rsid w:val="00DE61E0"/>
    <w:pPr>
      <w:ind w:left="720" w:hanging="240"/>
    </w:pPr>
  </w:style>
  <w:style w:type="paragraph" w:styleId="Index4">
    <w:name w:val="index 4"/>
    <w:basedOn w:val="Normal"/>
    <w:next w:val="Normal"/>
    <w:autoRedefine/>
    <w:uiPriority w:val="99"/>
    <w:semiHidden/>
    <w:rsid w:val="00DE61E0"/>
    <w:pPr>
      <w:ind w:left="960" w:hanging="240"/>
    </w:pPr>
  </w:style>
  <w:style w:type="paragraph" w:styleId="Index5">
    <w:name w:val="index 5"/>
    <w:basedOn w:val="Normal"/>
    <w:next w:val="Normal"/>
    <w:autoRedefine/>
    <w:uiPriority w:val="99"/>
    <w:semiHidden/>
    <w:rsid w:val="00DE61E0"/>
    <w:pPr>
      <w:ind w:left="1200" w:hanging="240"/>
    </w:pPr>
  </w:style>
  <w:style w:type="paragraph" w:styleId="Index6">
    <w:name w:val="index 6"/>
    <w:basedOn w:val="Normal"/>
    <w:next w:val="Normal"/>
    <w:autoRedefine/>
    <w:uiPriority w:val="99"/>
    <w:semiHidden/>
    <w:rsid w:val="00DE61E0"/>
    <w:pPr>
      <w:ind w:left="1440" w:hanging="240"/>
    </w:pPr>
  </w:style>
  <w:style w:type="paragraph" w:styleId="Index7">
    <w:name w:val="index 7"/>
    <w:basedOn w:val="Normal"/>
    <w:next w:val="Normal"/>
    <w:autoRedefine/>
    <w:uiPriority w:val="99"/>
    <w:semiHidden/>
    <w:rsid w:val="00DE61E0"/>
    <w:pPr>
      <w:ind w:left="1680" w:hanging="240"/>
    </w:pPr>
  </w:style>
  <w:style w:type="paragraph" w:styleId="Index8">
    <w:name w:val="index 8"/>
    <w:basedOn w:val="Normal"/>
    <w:next w:val="Normal"/>
    <w:autoRedefine/>
    <w:uiPriority w:val="99"/>
    <w:semiHidden/>
    <w:rsid w:val="00DE61E0"/>
    <w:pPr>
      <w:ind w:left="1920" w:hanging="240"/>
    </w:pPr>
  </w:style>
  <w:style w:type="paragraph" w:styleId="Index9">
    <w:name w:val="index 9"/>
    <w:basedOn w:val="Normal"/>
    <w:next w:val="Normal"/>
    <w:autoRedefine/>
    <w:uiPriority w:val="99"/>
    <w:semiHidden/>
    <w:rsid w:val="00DE61E0"/>
    <w:pPr>
      <w:ind w:left="2160" w:hanging="240"/>
    </w:pPr>
  </w:style>
  <w:style w:type="paragraph" w:styleId="IndexHeading">
    <w:name w:val="index heading"/>
    <w:basedOn w:val="Normal"/>
    <w:next w:val="Index1"/>
    <w:uiPriority w:val="99"/>
    <w:semiHidden/>
    <w:rsid w:val="00DE61E0"/>
    <w:rPr>
      <w:rFonts w:eastAsia="MS Gothic"/>
      <w:b/>
      <w:bCs/>
    </w:rPr>
  </w:style>
  <w:style w:type="table" w:styleId="LightGrid">
    <w:name w:val="Light Grid"/>
    <w:basedOn w:val="TableNormal"/>
    <w:uiPriority w:val="99"/>
    <w:semiHidden/>
    <w:rsid w:val="00DE61E0"/>
    <w:rPr>
      <w:sz w:val="20"/>
      <w:szCs w:val="20"/>
      <w:lang w:val="fr-FR" w:eastAsia="fr-FR"/>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Times New Roman" w:eastAsia="MS Gothic"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0072BC"/>
          <w:left w:val="single" w:sz="8" w:space="0" w:color="0072BC"/>
          <w:bottom w:val="single" w:sz="18" w:space="0" w:color="0072BC"/>
          <w:right w:val="single" w:sz="8" w:space="0" w:color="0072BC"/>
          <w:insideH w:val="nil"/>
          <w:insideV w:val="single" w:sz="8" w:space="0" w:color="0072BC"/>
        </w:tcBorders>
      </w:tcPr>
    </w:tblStylePr>
    <w:tblStylePr w:type="lastRow">
      <w:pPr>
        <w:spacing w:before="0" w:after="0"/>
      </w:pPr>
      <w:rPr>
        <w:rFonts w:ascii="Times New Roman" w:eastAsia="MS Gothic" w:hAnsi="Times New Roman" w:cs="Times New Roman"/>
        <w:b/>
        <w:bCs/>
      </w:rPr>
      <w:tblPr/>
      <w:tcPr>
        <w:tcBorders>
          <w:top w:val="double" w:sz="6" w:space="0" w:color="0072BC"/>
          <w:left w:val="single" w:sz="8" w:space="0" w:color="0072BC"/>
          <w:bottom w:val="single" w:sz="8" w:space="0" w:color="0072BC"/>
          <w:right w:val="single" w:sz="8" w:space="0" w:color="0072BC"/>
          <w:insideH w:val="nil"/>
          <w:insideV w:val="single" w:sz="8" w:space="0" w:color="0072BC"/>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72BC"/>
          <w:left w:val="single" w:sz="8" w:space="0" w:color="0072BC"/>
          <w:bottom w:val="single" w:sz="8" w:space="0" w:color="0072BC"/>
          <w:right w:val="single" w:sz="8" w:space="0" w:color="0072BC"/>
        </w:tcBorders>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shd w:val="clear" w:color="auto" w:fill="AFD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shd w:val="clear" w:color="auto" w:fill="AFDFFF"/>
      </w:tcPr>
    </w:tblStylePr>
    <w:tblStylePr w:type="band2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tcPr>
    </w:tblStylePr>
  </w:style>
  <w:style w:type="table" w:styleId="LightGrid-Accent2">
    <w:name w:val="Light Grid Accent 2"/>
    <w:basedOn w:val="TableNormal"/>
    <w:uiPriority w:val="99"/>
    <w:semiHidden/>
    <w:rsid w:val="00DE61E0"/>
    <w:rPr>
      <w:sz w:val="20"/>
      <w:szCs w:val="20"/>
      <w:lang w:val="fr-FR" w:eastAsia="fr-FR"/>
    </w:rPr>
    <w:tblPr>
      <w:tblStyleRowBandSize w:val="1"/>
      <w:tblStyleColBandSize w:val="1"/>
      <w:tblInd w:w="0"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C00000"/>
          <w:left w:val="single" w:sz="8" w:space="0" w:color="C00000"/>
          <w:bottom w:val="single" w:sz="18" w:space="0" w:color="C00000"/>
          <w:right w:val="single" w:sz="8" w:space="0" w:color="C00000"/>
          <w:insideH w:val="nil"/>
          <w:insideV w:val="single" w:sz="8" w:space="0" w:color="C00000"/>
        </w:tcBorders>
      </w:tcPr>
    </w:tblStylePr>
    <w:tblStylePr w:type="lastRow">
      <w:pPr>
        <w:spacing w:before="0" w:after="0"/>
      </w:pPr>
      <w:rPr>
        <w:rFonts w:ascii="Times New Roman" w:eastAsia="MS Gothic" w:hAnsi="Times New Roman" w:cs="Times New Roman"/>
        <w:b/>
        <w:bCs/>
      </w:rPr>
      <w:tblPr/>
      <w:tcPr>
        <w:tcBorders>
          <w:top w:val="double" w:sz="6" w:space="0" w:color="C00000"/>
          <w:left w:val="single" w:sz="8" w:space="0" w:color="C00000"/>
          <w:bottom w:val="single" w:sz="8" w:space="0" w:color="C00000"/>
          <w:right w:val="single" w:sz="8" w:space="0" w:color="C00000"/>
          <w:insideH w:val="nil"/>
          <w:insideV w:val="single" w:sz="8" w:space="0" w:color="C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C00000"/>
          <w:left w:val="single" w:sz="8" w:space="0" w:color="C00000"/>
          <w:bottom w:val="single" w:sz="8" w:space="0" w:color="C00000"/>
          <w:right w:val="single" w:sz="8" w:space="0" w:color="C00000"/>
        </w:tcBorders>
      </w:tc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shd w:val="clear" w:color="auto" w:fill="FFB0B0"/>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shd w:val="clear" w:color="auto" w:fill="FFB0B0"/>
      </w:tcPr>
    </w:tblStylePr>
    <w:tblStylePr w:type="band2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tcPr>
    </w:tblStylePr>
  </w:style>
  <w:style w:type="table" w:styleId="LightGrid-Accent3">
    <w:name w:val="Light Grid Accent 3"/>
    <w:basedOn w:val="TableNormal"/>
    <w:uiPriority w:val="99"/>
    <w:semiHidden/>
    <w:rsid w:val="00DE61E0"/>
    <w:rPr>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LightGrid-Accent4">
    <w:name w:val="Light Grid Accent 4"/>
    <w:basedOn w:val="TableNormal"/>
    <w:uiPriority w:val="99"/>
    <w:semiHidden/>
    <w:rsid w:val="00DE61E0"/>
    <w:rPr>
      <w:sz w:val="20"/>
      <w:szCs w:val="20"/>
      <w:lang w:val="fr-FR" w:eastAsia="fr-FR"/>
    </w:rPr>
    <w:tblPr>
      <w:tblStyleRowBandSize w:val="1"/>
      <w:tblStyleColBandSize w:val="1"/>
      <w:tblInd w:w="0" w:type="dxa"/>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pPr>
      <w:rPr>
        <w:rFonts w:ascii="Times New Roman" w:eastAsia="MS Gothic" w:hAnsi="Times New Roman" w:cs="Times New Roman"/>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969696"/>
          <w:left w:val="single" w:sz="8" w:space="0" w:color="969696"/>
          <w:bottom w:val="single" w:sz="8" w:space="0" w:color="969696"/>
          <w:right w:val="single" w:sz="8" w:space="0" w:color="969696"/>
        </w:tcBorders>
      </w:tc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styleId="LightGrid-Accent5">
    <w:name w:val="Light Grid Accent 5"/>
    <w:basedOn w:val="TableNormal"/>
    <w:uiPriority w:val="99"/>
    <w:semiHidden/>
    <w:rsid w:val="00DE61E0"/>
    <w:rPr>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LightGrid-Accent6">
    <w:name w:val="Light Grid Accent 6"/>
    <w:basedOn w:val="TableNormal"/>
    <w:uiPriority w:val="99"/>
    <w:semiHidden/>
    <w:rsid w:val="00DE61E0"/>
    <w:rPr>
      <w:sz w:val="20"/>
      <w:szCs w:val="20"/>
      <w:lang w:val="fr-FR" w:eastAsia="fr-FR"/>
    </w:rPr>
    <w:tblPr>
      <w:tblStyleRowBandSize w:val="1"/>
      <w:tblStyleColBandSize w:val="1"/>
      <w:tblInd w:w="0" w:type="dxa"/>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CellMar>
        <w:top w:w="0" w:type="dxa"/>
        <w:left w:w="108" w:type="dxa"/>
        <w:bottom w:w="0" w:type="dxa"/>
        <w:right w:w="108" w:type="dxa"/>
      </w:tblCellMar>
    </w:tblPr>
    <w:tblStylePr w:type="firstRow">
      <w:pPr>
        <w:spacing w:before="0" w:after="0"/>
      </w:pPr>
      <w:rPr>
        <w:rFonts w:ascii="Times New Roman" w:eastAsia="MS Gothic" w:hAnsi="Times New Roman" w:cs="Times New Roman"/>
        <w:b/>
        <w:bCs/>
      </w:rPr>
      <w:tblPr/>
      <w:tcPr>
        <w:tcBorders>
          <w:top w:val="single" w:sz="8" w:space="0" w:color="4D4D4D"/>
          <w:left w:val="single" w:sz="8" w:space="0" w:color="4D4D4D"/>
          <w:bottom w:val="single" w:sz="18" w:space="0" w:color="4D4D4D"/>
          <w:right w:val="single" w:sz="8" w:space="0" w:color="4D4D4D"/>
          <w:insideH w:val="nil"/>
          <w:insideV w:val="single" w:sz="8" w:space="0" w:color="4D4D4D"/>
        </w:tcBorders>
      </w:tcPr>
    </w:tblStylePr>
    <w:tblStylePr w:type="lastRow">
      <w:pPr>
        <w:spacing w:before="0" w:after="0"/>
      </w:pPr>
      <w:rPr>
        <w:rFonts w:ascii="Times New Roman" w:eastAsia="MS Gothic" w:hAnsi="Times New Roman" w:cs="Times New Roman"/>
        <w:b/>
        <w:bCs/>
      </w:rPr>
      <w:tblPr/>
      <w:tcPr>
        <w:tcBorders>
          <w:top w:val="double" w:sz="6" w:space="0" w:color="4D4D4D"/>
          <w:left w:val="single" w:sz="8" w:space="0" w:color="4D4D4D"/>
          <w:bottom w:val="single" w:sz="8" w:space="0" w:color="4D4D4D"/>
          <w:right w:val="single" w:sz="8" w:space="0" w:color="4D4D4D"/>
          <w:insideH w:val="nil"/>
          <w:insideV w:val="single" w:sz="8" w:space="0" w:color="4D4D4D"/>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4D4D4D"/>
          <w:left w:val="single" w:sz="8" w:space="0" w:color="4D4D4D"/>
          <w:bottom w:val="single" w:sz="8" w:space="0" w:color="4D4D4D"/>
          <w:right w:val="single" w:sz="8" w:space="0" w:color="4D4D4D"/>
        </w:tcBorders>
      </w:tc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shd w:val="clear" w:color="auto" w:fill="D3D3D3"/>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shd w:val="clear" w:color="auto" w:fill="D3D3D3"/>
      </w:tcPr>
    </w:tblStylePr>
    <w:tblStylePr w:type="band2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tcPr>
    </w:tblStylePr>
  </w:style>
  <w:style w:type="table" w:styleId="LightList">
    <w:name w:val="Light List"/>
    <w:basedOn w:val="TableNormal"/>
    <w:uiPriority w:val="99"/>
    <w:semiHidden/>
    <w:rsid w:val="00DE61E0"/>
    <w:rPr>
      <w:sz w:val="20"/>
      <w:szCs w:val="20"/>
      <w:lang w:val="fr-FR" w:eastAsia="fr-FR"/>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0072BC"/>
      </w:tcPr>
    </w:tblStylePr>
    <w:tblStylePr w:type="lastRow">
      <w:pPr>
        <w:spacing w:before="0" w:after="0"/>
      </w:pPr>
      <w:rPr>
        <w:rFonts w:cs="Times New Roman"/>
        <w:b/>
        <w:bCs/>
      </w:rPr>
      <w:tblPr/>
      <w:tcPr>
        <w:tcBorders>
          <w:top w:val="double" w:sz="6" w:space="0" w:color="0072BC"/>
          <w:left w:val="single" w:sz="8" w:space="0" w:color="0072BC"/>
          <w:bottom w:val="single" w:sz="8" w:space="0" w:color="0072BC"/>
          <w:right w:val="single" w:sz="8" w:space="0" w:color="0072BC"/>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tcBorders>
      </w:tcPr>
    </w:tblStylePr>
  </w:style>
  <w:style w:type="table" w:styleId="LightList-Accent2">
    <w:name w:val="Light List Accent 2"/>
    <w:basedOn w:val="TableNormal"/>
    <w:uiPriority w:val="99"/>
    <w:semiHidden/>
    <w:rsid w:val="00DE61E0"/>
    <w:rPr>
      <w:sz w:val="20"/>
      <w:szCs w:val="20"/>
      <w:lang w:val="fr-FR" w:eastAsia="fr-FR"/>
    </w:rPr>
    <w:tblPr>
      <w:tblStyleRowBandSize w:val="1"/>
      <w:tblStyleColBandSize w:val="1"/>
      <w:tblInd w:w="0" w:type="dxa"/>
      <w:tblBorders>
        <w:top w:val="single" w:sz="8" w:space="0" w:color="C00000"/>
        <w:left w:val="single" w:sz="8" w:space="0" w:color="C00000"/>
        <w:bottom w:val="single" w:sz="8" w:space="0" w:color="C00000"/>
        <w:right w:val="single" w:sz="8" w:space="0" w:color="C00000"/>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C00000"/>
      </w:tcPr>
    </w:tblStylePr>
    <w:tblStylePr w:type="lastRow">
      <w:pPr>
        <w:spacing w:before="0" w:after="0"/>
      </w:pPr>
      <w:rPr>
        <w:rFonts w:cs="Times New Roman"/>
        <w:b/>
        <w:bCs/>
      </w:rPr>
      <w:tblPr/>
      <w:tcPr>
        <w:tcBorders>
          <w:top w:val="double" w:sz="6" w:space="0" w:color="C00000"/>
          <w:left w:val="single" w:sz="8" w:space="0" w:color="C00000"/>
          <w:bottom w:val="single" w:sz="8" w:space="0" w:color="C00000"/>
          <w:right w:val="single" w:sz="8" w:space="0" w:color="C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tcBorders>
      </w:tcPr>
    </w:tblStylePr>
  </w:style>
  <w:style w:type="table" w:styleId="LightList-Accent3">
    <w:name w:val="Light List Accent 3"/>
    <w:basedOn w:val="TableNormal"/>
    <w:uiPriority w:val="99"/>
    <w:semiHidden/>
    <w:rsid w:val="00DE61E0"/>
    <w:rPr>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LightList-Accent4">
    <w:name w:val="Light List Accent 4"/>
    <w:basedOn w:val="TableNormal"/>
    <w:uiPriority w:val="99"/>
    <w:semiHidden/>
    <w:rsid w:val="00DE61E0"/>
    <w:rPr>
      <w:sz w:val="20"/>
      <w:szCs w:val="20"/>
      <w:lang w:val="fr-FR" w:eastAsia="fr-FR"/>
    </w:rPr>
    <w:tblPr>
      <w:tblStyleRowBandSize w:val="1"/>
      <w:tblStyleColBandSize w:val="1"/>
      <w:tblInd w:w="0" w:type="dxa"/>
      <w:tblBorders>
        <w:top w:val="single" w:sz="8" w:space="0" w:color="969696"/>
        <w:left w:val="single" w:sz="8" w:space="0" w:color="969696"/>
        <w:bottom w:val="single" w:sz="8" w:space="0" w:color="969696"/>
        <w:right w:val="single" w:sz="8" w:space="0" w:color="969696"/>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969696"/>
      </w:tcPr>
    </w:tblStylePr>
    <w:tblStylePr w:type="lastRow">
      <w:pPr>
        <w:spacing w:before="0" w:after="0"/>
      </w:pPr>
      <w:rPr>
        <w:rFonts w:cs="Times New Roman"/>
        <w:b/>
        <w:bCs/>
      </w:rPr>
      <w:tblPr/>
      <w:tcPr>
        <w:tcBorders>
          <w:top w:val="double" w:sz="6" w:space="0" w:color="969696"/>
          <w:left w:val="single" w:sz="8" w:space="0" w:color="969696"/>
          <w:bottom w:val="single" w:sz="8" w:space="0" w:color="969696"/>
          <w:right w:val="single" w:sz="8" w:space="0" w:color="96969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tcBorders>
      </w:tcPr>
    </w:tblStylePr>
  </w:style>
  <w:style w:type="table" w:styleId="LightList-Accent5">
    <w:name w:val="Light List Accent 5"/>
    <w:basedOn w:val="TableNormal"/>
    <w:uiPriority w:val="99"/>
    <w:semiHidden/>
    <w:rsid w:val="00DE61E0"/>
    <w:rPr>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LightList-Accent6">
    <w:name w:val="Light List Accent 6"/>
    <w:basedOn w:val="TableNormal"/>
    <w:uiPriority w:val="99"/>
    <w:semiHidden/>
    <w:rsid w:val="00DE61E0"/>
    <w:rPr>
      <w:sz w:val="20"/>
      <w:szCs w:val="20"/>
      <w:lang w:val="fr-FR" w:eastAsia="fr-FR"/>
    </w:rPr>
    <w:tblPr>
      <w:tblStyleRowBandSize w:val="1"/>
      <w:tblStyleColBandSize w:val="1"/>
      <w:tblInd w:w="0" w:type="dxa"/>
      <w:tblBorders>
        <w:top w:val="single" w:sz="8" w:space="0" w:color="4D4D4D"/>
        <w:left w:val="single" w:sz="8" w:space="0" w:color="4D4D4D"/>
        <w:bottom w:val="single" w:sz="8" w:space="0" w:color="4D4D4D"/>
        <w:right w:val="single" w:sz="8" w:space="0" w:color="4D4D4D"/>
      </w:tblBorders>
      <w:tblCellMar>
        <w:top w:w="0" w:type="dxa"/>
        <w:left w:w="108" w:type="dxa"/>
        <w:bottom w:w="0" w:type="dxa"/>
        <w:right w:w="108" w:type="dxa"/>
      </w:tblCellMar>
    </w:tblPr>
    <w:tblStylePr w:type="firstRow">
      <w:pPr>
        <w:spacing w:before="0" w:after="0"/>
      </w:pPr>
      <w:rPr>
        <w:rFonts w:cs="Times New Roman"/>
        <w:b/>
        <w:bCs/>
        <w:color w:val="0072BC"/>
      </w:rPr>
      <w:tblPr/>
      <w:tcPr>
        <w:shd w:val="clear" w:color="auto" w:fill="4D4D4D"/>
      </w:tcPr>
    </w:tblStylePr>
    <w:tblStylePr w:type="lastRow">
      <w:pPr>
        <w:spacing w:before="0" w:after="0"/>
      </w:pPr>
      <w:rPr>
        <w:rFonts w:cs="Times New Roman"/>
        <w:b/>
        <w:bCs/>
      </w:rPr>
      <w:tblPr/>
      <w:tcPr>
        <w:tcBorders>
          <w:top w:val="double" w:sz="6" w:space="0" w:color="4D4D4D"/>
          <w:left w:val="single" w:sz="8" w:space="0" w:color="4D4D4D"/>
          <w:bottom w:val="single" w:sz="8" w:space="0" w:color="4D4D4D"/>
          <w:right w:val="single" w:sz="8" w:space="0" w:color="4D4D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tcBorders>
      </w:tcPr>
    </w:tblStylePr>
  </w:style>
  <w:style w:type="table" w:styleId="LightShading">
    <w:name w:val="Light Shading"/>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semiHidden/>
    <w:rsid w:val="00DE61E0"/>
    <w:rPr>
      <w:color w:val="00548C"/>
      <w:sz w:val="20"/>
      <w:szCs w:val="20"/>
      <w:lang w:val="fr-FR" w:eastAsia="fr-FR"/>
    </w:rPr>
    <w:tblPr>
      <w:tblStyleRowBandSize w:val="1"/>
      <w:tblStyleColBandSize w:val="1"/>
      <w:tblInd w:w="0" w:type="dxa"/>
      <w:tblBorders>
        <w:top w:val="single" w:sz="8" w:space="0" w:color="0072BC"/>
        <w:bottom w:val="single" w:sz="8" w:space="0" w:color="0072BC"/>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la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left w:val="nil"/>
          <w:right w:val="nil"/>
          <w:insideH w:val="nil"/>
          <w:insideV w:val="nil"/>
        </w:tcBorders>
        <w:shd w:val="clear" w:color="auto" w:fill="AFDFFF"/>
      </w:tcPr>
    </w:tblStylePr>
  </w:style>
  <w:style w:type="table" w:styleId="LightShading-Accent2">
    <w:name w:val="Light Shading Accent 2"/>
    <w:basedOn w:val="TableNormal"/>
    <w:uiPriority w:val="99"/>
    <w:semiHidden/>
    <w:rsid w:val="00DE61E0"/>
    <w:rPr>
      <w:color w:val="8F0000"/>
      <w:sz w:val="20"/>
      <w:szCs w:val="20"/>
      <w:lang w:val="fr-FR" w:eastAsia="fr-FR"/>
    </w:rPr>
    <w:tblPr>
      <w:tblStyleRowBandSize w:val="1"/>
      <w:tblStyleColBandSize w:val="1"/>
      <w:tblInd w:w="0" w:type="dxa"/>
      <w:tblBorders>
        <w:top w:val="single" w:sz="8" w:space="0" w:color="C00000"/>
        <w:bottom w:val="single" w:sz="8" w:space="0" w:color="C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la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left w:val="nil"/>
          <w:right w:val="nil"/>
          <w:insideH w:val="nil"/>
          <w:insideV w:val="nil"/>
        </w:tcBorders>
        <w:shd w:val="clear" w:color="auto" w:fill="FFB0B0"/>
      </w:tcPr>
    </w:tblStylePr>
  </w:style>
  <w:style w:type="table" w:styleId="LightShading-Accent3">
    <w:name w:val="Light Shading Accent 3"/>
    <w:basedOn w:val="TableNormal"/>
    <w:uiPriority w:val="99"/>
    <w:semiHidden/>
    <w:rsid w:val="00DE61E0"/>
    <w:rPr>
      <w:color w:val="474747"/>
      <w:sz w:val="20"/>
      <w:szCs w:val="20"/>
      <w:lang w:val="fr-FR" w:eastAsia="fr-FR"/>
    </w:rPr>
    <w:tblPr>
      <w:tblStyleRowBandSize w:val="1"/>
      <w:tblStyleColBandSize w:val="1"/>
      <w:tblInd w:w="0" w:type="dxa"/>
      <w:tblBorders>
        <w:top w:val="single" w:sz="8" w:space="0" w:color="5F5F5F"/>
        <w:bottom w:val="single" w:sz="8" w:space="0" w:color="5F5F5F"/>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LightShading-Accent4">
    <w:name w:val="Light Shading Accent 4"/>
    <w:basedOn w:val="TableNormal"/>
    <w:uiPriority w:val="99"/>
    <w:semiHidden/>
    <w:rsid w:val="00DE61E0"/>
    <w:rPr>
      <w:color w:val="707070"/>
      <w:sz w:val="20"/>
      <w:szCs w:val="20"/>
      <w:lang w:val="fr-FR" w:eastAsia="fr-FR"/>
    </w:rPr>
    <w:tblPr>
      <w:tblStyleRowBandSize w:val="1"/>
      <w:tblStyleColBandSize w:val="1"/>
      <w:tblInd w:w="0" w:type="dxa"/>
      <w:tblBorders>
        <w:top w:val="single" w:sz="8" w:space="0" w:color="969696"/>
        <w:bottom w:val="single" w:sz="8" w:space="0" w:color="96969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la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left w:val="nil"/>
          <w:right w:val="nil"/>
          <w:insideH w:val="nil"/>
          <w:insideV w:val="nil"/>
        </w:tcBorders>
        <w:shd w:val="clear" w:color="auto" w:fill="E5E5E5"/>
      </w:tcPr>
    </w:tblStylePr>
  </w:style>
  <w:style w:type="table" w:styleId="LightShading-Accent5">
    <w:name w:val="Light Shading Accent 5"/>
    <w:basedOn w:val="TableNormal"/>
    <w:uiPriority w:val="99"/>
    <w:semiHidden/>
    <w:rsid w:val="00DE61E0"/>
    <w:rPr>
      <w:color w:val="474747"/>
      <w:sz w:val="20"/>
      <w:szCs w:val="20"/>
      <w:lang w:val="fr-FR" w:eastAsia="fr-FR"/>
    </w:rPr>
    <w:tblPr>
      <w:tblStyleRowBandSize w:val="1"/>
      <w:tblStyleColBandSize w:val="1"/>
      <w:tblInd w:w="0" w:type="dxa"/>
      <w:tblBorders>
        <w:top w:val="single" w:sz="8" w:space="0" w:color="5F5F5F"/>
        <w:bottom w:val="single" w:sz="8" w:space="0" w:color="5F5F5F"/>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LightShading-Accent6">
    <w:name w:val="Light Shading Accent 6"/>
    <w:basedOn w:val="TableNormal"/>
    <w:uiPriority w:val="99"/>
    <w:semiHidden/>
    <w:rsid w:val="00DE61E0"/>
    <w:rPr>
      <w:color w:val="393939"/>
      <w:sz w:val="20"/>
      <w:szCs w:val="20"/>
      <w:lang w:val="fr-FR" w:eastAsia="fr-FR"/>
    </w:rPr>
    <w:tblPr>
      <w:tblStyleRowBandSize w:val="1"/>
      <w:tblStyleColBandSize w:val="1"/>
      <w:tblInd w:w="0" w:type="dxa"/>
      <w:tblBorders>
        <w:top w:val="single" w:sz="8" w:space="0" w:color="4D4D4D"/>
        <w:bottom w:val="single" w:sz="8" w:space="0" w:color="4D4D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la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left w:val="nil"/>
          <w:right w:val="nil"/>
          <w:insideH w:val="nil"/>
          <w:insideV w:val="nil"/>
        </w:tcBorders>
        <w:shd w:val="clear" w:color="auto" w:fill="D3D3D3"/>
      </w:tcPr>
    </w:tblStylePr>
  </w:style>
  <w:style w:type="character" w:styleId="LineNumber">
    <w:name w:val="line number"/>
    <w:basedOn w:val="DefaultParagraphFont"/>
    <w:uiPriority w:val="99"/>
    <w:semiHidden/>
    <w:rsid w:val="00DE61E0"/>
    <w:rPr>
      <w:rFonts w:cs="Times New Roman"/>
    </w:rPr>
  </w:style>
  <w:style w:type="paragraph" w:styleId="List">
    <w:name w:val="List"/>
    <w:basedOn w:val="Normal"/>
    <w:uiPriority w:val="99"/>
    <w:semiHidden/>
    <w:rsid w:val="00DE61E0"/>
    <w:pPr>
      <w:ind w:left="283" w:hanging="283"/>
      <w:contextualSpacing/>
    </w:pPr>
  </w:style>
  <w:style w:type="paragraph" w:styleId="List2">
    <w:name w:val="List 2"/>
    <w:basedOn w:val="Normal"/>
    <w:uiPriority w:val="99"/>
    <w:semiHidden/>
    <w:rsid w:val="00DE61E0"/>
    <w:pPr>
      <w:ind w:left="566" w:hanging="283"/>
      <w:contextualSpacing/>
    </w:pPr>
  </w:style>
  <w:style w:type="paragraph" w:styleId="List3">
    <w:name w:val="List 3"/>
    <w:basedOn w:val="Normal"/>
    <w:uiPriority w:val="99"/>
    <w:semiHidden/>
    <w:rsid w:val="00DE61E0"/>
    <w:pPr>
      <w:ind w:left="849" w:hanging="283"/>
      <w:contextualSpacing/>
    </w:pPr>
  </w:style>
  <w:style w:type="paragraph" w:styleId="List4">
    <w:name w:val="List 4"/>
    <w:basedOn w:val="Normal"/>
    <w:uiPriority w:val="99"/>
    <w:semiHidden/>
    <w:rsid w:val="00DE61E0"/>
    <w:pPr>
      <w:ind w:left="1132" w:hanging="283"/>
      <w:contextualSpacing/>
    </w:pPr>
  </w:style>
  <w:style w:type="paragraph" w:styleId="List5">
    <w:name w:val="List 5"/>
    <w:basedOn w:val="Normal"/>
    <w:uiPriority w:val="99"/>
    <w:semiHidden/>
    <w:rsid w:val="00DE61E0"/>
    <w:pPr>
      <w:ind w:left="1415" w:hanging="283"/>
      <w:contextualSpacing/>
    </w:pPr>
  </w:style>
  <w:style w:type="paragraph" w:styleId="ListBullet2">
    <w:name w:val="List Bullet 2"/>
    <w:basedOn w:val="Normal"/>
    <w:uiPriority w:val="99"/>
    <w:semiHidden/>
    <w:rsid w:val="00DE61E0"/>
    <w:pPr>
      <w:numPr>
        <w:numId w:val="1"/>
      </w:numPr>
      <w:tabs>
        <w:tab w:val="clear" w:pos="360"/>
        <w:tab w:val="num" w:pos="643"/>
      </w:tabs>
      <w:ind w:left="643"/>
      <w:contextualSpacing/>
    </w:pPr>
  </w:style>
  <w:style w:type="paragraph" w:styleId="ListBullet3">
    <w:name w:val="List Bullet 3"/>
    <w:basedOn w:val="Normal"/>
    <w:uiPriority w:val="99"/>
    <w:semiHidden/>
    <w:rsid w:val="00DE61E0"/>
    <w:pPr>
      <w:numPr>
        <w:numId w:val="2"/>
      </w:numPr>
      <w:tabs>
        <w:tab w:val="clear" w:pos="643"/>
        <w:tab w:val="num" w:pos="926"/>
      </w:tabs>
      <w:ind w:left="926"/>
      <w:contextualSpacing/>
    </w:pPr>
  </w:style>
  <w:style w:type="paragraph" w:styleId="ListBullet4">
    <w:name w:val="List Bullet 4"/>
    <w:basedOn w:val="Normal"/>
    <w:uiPriority w:val="99"/>
    <w:semiHidden/>
    <w:rsid w:val="00DE61E0"/>
    <w:pPr>
      <w:numPr>
        <w:numId w:val="3"/>
      </w:numPr>
      <w:tabs>
        <w:tab w:val="clear" w:pos="926"/>
        <w:tab w:val="num" w:pos="1209"/>
      </w:tabs>
      <w:ind w:left="1209"/>
      <w:contextualSpacing/>
    </w:pPr>
  </w:style>
  <w:style w:type="paragraph" w:styleId="ListBullet5">
    <w:name w:val="List Bullet 5"/>
    <w:basedOn w:val="Normal"/>
    <w:uiPriority w:val="99"/>
    <w:semiHidden/>
    <w:rsid w:val="00DE61E0"/>
    <w:pPr>
      <w:numPr>
        <w:numId w:val="4"/>
      </w:numPr>
      <w:tabs>
        <w:tab w:val="clear" w:pos="1209"/>
        <w:tab w:val="num" w:pos="1492"/>
      </w:tabs>
      <w:ind w:left="1492"/>
      <w:contextualSpacing/>
    </w:pPr>
  </w:style>
  <w:style w:type="paragraph" w:styleId="ListContinue">
    <w:name w:val="List Continue"/>
    <w:basedOn w:val="Normal"/>
    <w:uiPriority w:val="99"/>
    <w:semiHidden/>
    <w:rsid w:val="00DE61E0"/>
    <w:pPr>
      <w:spacing w:after="120"/>
      <w:ind w:left="283"/>
      <w:contextualSpacing/>
    </w:pPr>
  </w:style>
  <w:style w:type="paragraph" w:styleId="ListContinue2">
    <w:name w:val="List Continue 2"/>
    <w:basedOn w:val="Normal"/>
    <w:uiPriority w:val="99"/>
    <w:semiHidden/>
    <w:rsid w:val="00DE61E0"/>
    <w:pPr>
      <w:spacing w:after="120"/>
      <w:ind w:left="566"/>
      <w:contextualSpacing/>
    </w:pPr>
  </w:style>
  <w:style w:type="paragraph" w:styleId="ListContinue3">
    <w:name w:val="List Continue 3"/>
    <w:basedOn w:val="Normal"/>
    <w:uiPriority w:val="99"/>
    <w:semiHidden/>
    <w:rsid w:val="00DE61E0"/>
    <w:pPr>
      <w:spacing w:after="120"/>
      <w:ind w:left="849"/>
      <w:contextualSpacing/>
    </w:pPr>
  </w:style>
  <w:style w:type="paragraph" w:styleId="ListContinue4">
    <w:name w:val="List Continue 4"/>
    <w:basedOn w:val="Normal"/>
    <w:uiPriority w:val="99"/>
    <w:semiHidden/>
    <w:rsid w:val="00DE61E0"/>
    <w:pPr>
      <w:spacing w:after="120"/>
      <w:ind w:left="1132"/>
      <w:contextualSpacing/>
    </w:pPr>
  </w:style>
  <w:style w:type="paragraph" w:styleId="ListContinue5">
    <w:name w:val="List Continue 5"/>
    <w:basedOn w:val="Normal"/>
    <w:uiPriority w:val="99"/>
    <w:semiHidden/>
    <w:rsid w:val="00DE61E0"/>
    <w:pPr>
      <w:spacing w:after="120"/>
      <w:ind w:left="1415"/>
      <w:contextualSpacing/>
    </w:pPr>
  </w:style>
  <w:style w:type="paragraph" w:styleId="ListNumber">
    <w:name w:val="List Number"/>
    <w:basedOn w:val="Normal"/>
    <w:uiPriority w:val="99"/>
    <w:semiHidden/>
    <w:rsid w:val="00DE61E0"/>
    <w:pPr>
      <w:numPr>
        <w:numId w:val="5"/>
      </w:numPr>
      <w:tabs>
        <w:tab w:val="clear" w:pos="1492"/>
        <w:tab w:val="num" w:pos="360"/>
      </w:tabs>
      <w:ind w:left="360"/>
      <w:contextualSpacing/>
    </w:pPr>
  </w:style>
  <w:style w:type="paragraph" w:styleId="ListNumber2">
    <w:name w:val="List Number 2"/>
    <w:basedOn w:val="Normal"/>
    <w:uiPriority w:val="99"/>
    <w:semiHidden/>
    <w:rsid w:val="00DE61E0"/>
    <w:pPr>
      <w:numPr>
        <w:numId w:val="6"/>
      </w:numPr>
      <w:tabs>
        <w:tab w:val="clear" w:pos="360"/>
        <w:tab w:val="num" w:pos="643"/>
      </w:tabs>
      <w:ind w:left="643"/>
      <w:contextualSpacing/>
    </w:pPr>
  </w:style>
  <w:style w:type="paragraph" w:styleId="ListNumber3">
    <w:name w:val="List Number 3"/>
    <w:basedOn w:val="Normal"/>
    <w:uiPriority w:val="99"/>
    <w:semiHidden/>
    <w:rsid w:val="00DE61E0"/>
    <w:pPr>
      <w:numPr>
        <w:numId w:val="7"/>
      </w:numPr>
      <w:tabs>
        <w:tab w:val="clear" w:pos="643"/>
        <w:tab w:val="num" w:pos="926"/>
      </w:tabs>
      <w:ind w:left="926"/>
      <w:contextualSpacing/>
    </w:pPr>
  </w:style>
  <w:style w:type="paragraph" w:styleId="ListNumber4">
    <w:name w:val="List Number 4"/>
    <w:basedOn w:val="Normal"/>
    <w:uiPriority w:val="99"/>
    <w:semiHidden/>
    <w:rsid w:val="00DE61E0"/>
    <w:pPr>
      <w:numPr>
        <w:numId w:val="8"/>
      </w:numPr>
      <w:tabs>
        <w:tab w:val="clear" w:pos="926"/>
        <w:tab w:val="num" w:pos="1209"/>
      </w:tabs>
      <w:ind w:left="1209"/>
      <w:contextualSpacing/>
    </w:pPr>
  </w:style>
  <w:style w:type="paragraph" w:styleId="ListNumber5">
    <w:name w:val="List Number 5"/>
    <w:basedOn w:val="Normal"/>
    <w:uiPriority w:val="99"/>
    <w:semiHidden/>
    <w:rsid w:val="00DE61E0"/>
    <w:pPr>
      <w:numPr>
        <w:numId w:val="9"/>
      </w:numPr>
      <w:tabs>
        <w:tab w:val="clear" w:pos="1209"/>
        <w:tab w:val="num" w:pos="1492"/>
      </w:tabs>
      <w:ind w:left="1492"/>
      <w:contextualSpacing/>
    </w:pPr>
  </w:style>
  <w:style w:type="paragraph" w:styleId="MacroText">
    <w:name w:val="macro"/>
    <w:link w:val="MacroTextChar"/>
    <w:uiPriority w:val="99"/>
    <w:semiHidden/>
    <w:rsid w:val="00DE61E0"/>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croTextChar">
    <w:name w:val="Macro Text Char"/>
    <w:basedOn w:val="DefaultParagraphFont"/>
    <w:link w:val="MacroText"/>
    <w:uiPriority w:val="99"/>
    <w:semiHidden/>
    <w:locked/>
    <w:rsid w:val="00DE61E0"/>
    <w:rPr>
      <w:rFonts w:ascii="Consolas" w:hAnsi="Consolas" w:cs="Consolas"/>
      <w:lang w:val="en-GB" w:eastAsia="fr-FR" w:bidi="ar-SA"/>
    </w:rPr>
  </w:style>
  <w:style w:type="table" w:styleId="MediumGrid1">
    <w:name w:val="Medium Grid 1"/>
    <w:basedOn w:val="TableNormal"/>
    <w:uiPriority w:val="99"/>
    <w:semiHidden/>
    <w:rsid w:val="00DE61E0"/>
    <w:rPr>
      <w:sz w:val="20"/>
      <w:szCs w:val="20"/>
      <w:lang w:val="fr-FR" w:eastAsia="fr-FR"/>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rFonts w:cs="Times New Roman"/>
        <w:b/>
        <w:bCs/>
      </w:rPr>
    </w:tblStylePr>
    <w:tblStylePr w:type="lastRow">
      <w:rPr>
        <w:rFonts w:cs="Times New Roman"/>
        <w:b/>
        <w:bCs/>
      </w:rPr>
      <w:tblPr/>
      <w:tcPr>
        <w:tcBorders>
          <w:top w:val="single" w:sz="18" w:space="0" w:color="40404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MediumGrid1-Accent1">
    <w:name w:val="Medium Grid 1 Accent 1"/>
    <w:basedOn w:val="TableNormal"/>
    <w:uiPriority w:val="99"/>
    <w:semiHidden/>
    <w:rsid w:val="00DE61E0"/>
    <w:rPr>
      <w:sz w:val="20"/>
      <w:szCs w:val="20"/>
      <w:lang w:val="fr-FR" w:eastAsia="fr-FR"/>
    </w:rPr>
    <w:tblPr>
      <w:tblStyleRowBandSize w:val="1"/>
      <w:tblStyleColBandSize w:val="1"/>
      <w:tblInd w:w="0" w:type="dxa"/>
      <w:tblBorders>
        <w:top w:val="single" w:sz="8" w:space="0" w:color="0D9FFF"/>
        <w:left w:val="single" w:sz="8" w:space="0" w:color="0D9FFF"/>
        <w:bottom w:val="single" w:sz="8" w:space="0" w:color="0D9FFF"/>
        <w:right w:val="single" w:sz="8" w:space="0" w:color="0D9FFF"/>
        <w:insideH w:val="single" w:sz="8" w:space="0" w:color="0D9FFF"/>
        <w:insideV w:val="single" w:sz="8" w:space="0" w:color="0D9FFF"/>
      </w:tblBorders>
      <w:tblCellMar>
        <w:top w:w="0" w:type="dxa"/>
        <w:left w:w="108" w:type="dxa"/>
        <w:bottom w:w="0" w:type="dxa"/>
        <w:right w:w="108" w:type="dxa"/>
      </w:tblCellMar>
    </w:tblPr>
    <w:tcPr>
      <w:shd w:val="clear" w:color="auto" w:fill="AFDFFF"/>
    </w:tcPr>
    <w:tblStylePr w:type="firstRow">
      <w:rPr>
        <w:rFonts w:cs="Times New Roman"/>
        <w:b/>
        <w:bCs/>
      </w:rPr>
    </w:tblStylePr>
    <w:tblStylePr w:type="lastRow">
      <w:rPr>
        <w:rFonts w:cs="Times New Roman"/>
        <w:b/>
        <w:bCs/>
      </w:rPr>
      <w:tblPr/>
      <w:tcPr>
        <w:tcBorders>
          <w:top w:val="single" w:sz="18" w:space="0" w:color="0D9FFF"/>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MediumGrid1-Accent2">
    <w:name w:val="Medium Grid 1 Accent 2"/>
    <w:basedOn w:val="TableNormal"/>
    <w:uiPriority w:val="99"/>
    <w:semiHidden/>
    <w:rsid w:val="00DE61E0"/>
    <w:rPr>
      <w:sz w:val="20"/>
      <w:szCs w:val="20"/>
      <w:lang w:val="fr-FR" w:eastAsia="fr-FR"/>
    </w:rPr>
    <w:tblPr>
      <w:tblStyleRowBandSize w:val="1"/>
      <w:tblStyleColBandSize w:val="1"/>
      <w:tblInd w:w="0" w:type="dxa"/>
      <w:tblBorders>
        <w:top w:val="single" w:sz="8" w:space="0" w:color="FF1010"/>
        <w:left w:val="single" w:sz="8" w:space="0" w:color="FF1010"/>
        <w:bottom w:val="single" w:sz="8" w:space="0" w:color="FF1010"/>
        <w:right w:val="single" w:sz="8" w:space="0" w:color="FF1010"/>
        <w:insideH w:val="single" w:sz="8" w:space="0" w:color="FF1010"/>
        <w:insideV w:val="single" w:sz="8" w:space="0" w:color="FF1010"/>
      </w:tblBorders>
      <w:tblCellMar>
        <w:top w:w="0" w:type="dxa"/>
        <w:left w:w="108" w:type="dxa"/>
        <w:bottom w:w="0" w:type="dxa"/>
        <w:right w:w="108" w:type="dxa"/>
      </w:tblCellMar>
    </w:tblPr>
    <w:tcPr>
      <w:shd w:val="clear" w:color="auto" w:fill="FFB0B0"/>
    </w:tcPr>
    <w:tblStylePr w:type="firstRow">
      <w:rPr>
        <w:rFonts w:cs="Times New Roman"/>
        <w:b/>
        <w:bCs/>
      </w:rPr>
    </w:tblStylePr>
    <w:tblStylePr w:type="lastRow">
      <w:rPr>
        <w:rFonts w:cs="Times New Roman"/>
        <w:b/>
        <w:bCs/>
      </w:rPr>
      <w:tblPr/>
      <w:tcPr>
        <w:tcBorders>
          <w:top w:val="single" w:sz="18" w:space="0" w:color="FF101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MediumGrid1-Accent3">
    <w:name w:val="Medium Grid 1 Accent 3"/>
    <w:basedOn w:val="TableNormal"/>
    <w:uiPriority w:val="99"/>
    <w:semiHidden/>
    <w:rsid w:val="00DE61E0"/>
    <w:rPr>
      <w:sz w:val="20"/>
      <w:szCs w:val="20"/>
      <w:lang w:val="fr-FR" w:eastAsia="fr-FR"/>
    </w:rPr>
    <w:tblPr>
      <w:tblStyleRowBandSize w:val="1"/>
      <w:tblStyleColBandSize w:val="1"/>
      <w:tblInd w:w="0" w:type="dxa"/>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CellMar>
        <w:top w:w="0" w:type="dxa"/>
        <w:left w:w="108" w:type="dxa"/>
        <w:bottom w:w="0" w:type="dxa"/>
        <w:right w:w="108" w:type="dxa"/>
      </w:tblCellMar>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MediumGrid1-Accent4">
    <w:name w:val="Medium Grid 1 Accent 4"/>
    <w:basedOn w:val="TableNormal"/>
    <w:uiPriority w:val="99"/>
    <w:semiHidden/>
    <w:rsid w:val="00DE61E0"/>
    <w:rPr>
      <w:sz w:val="20"/>
      <w:szCs w:val="20"/>
      <w:lang w:val="fr-FR" w:eastAsia="fr-FR"/>
    </w:rPr>
    <w:tblPr>
      <w:tblStyleRowBandSize w:val="1"/>
      <w:tblStyleColBandSize w:val="1"/>
      <w:tblInd w:w="0" w:type="dxa"/>
      <w:tblBorders>
        <w:top w:val="single" w:sz="8" w:space="0" w:color="B0B0B0"/>
        <w:left w:val="single" w:sz="8" w:space="0" w:color="B0B0B0"/>
        <w:bottom w:val="single" w:sz="8" w:space="0" w:color="B0B0B0"/>
        <w:right w:val="single" w:sz="8" w:space="0" w:color="B0B0B0"/>
        <w:insideH w:val="single" w:sz="8" w:space="0" w:color="B0B0B0"/>
        <w:insideV w:val="single" w:sz="8" w:space="0" w:color="B0B0B0"/>
      </w:tblBorders>
      <w:tblCellMar>
        <w:top w:w="0" w:type="dxa"/>
        <w:left w:w="108" w:type="dxa"/>
        <w:bottom w:w="0" w:type="dxa"/>
        <w:right w:w="108" w:type="dxa"/>
      </w:tblCellMar>
    </w:tblPr>
    <w:tcPr>
      <w:shd w:val="clear" w:color="auto" w:fill="E5E5E5"/>
    </w:tcPr>
    <w:tblStylePr w:type="firstRow">
      <w:rPr>
        <w:rFonts w:cs="Times New Roman"/>
        <w:b/>
        <w:bCs/>
      </w:rPr>
    </w:tblStylePr>
    <w:tblStylePr w:type="lastRow">
      <w:rPr>
        <w:rFonts w:cs="Times New Roman"/>
        <w:b/>
        <w:bCs/>
      </w:rPr>
      <w:tblPr/>
      <w:tcPr>
        <w:tcBorders>
          <w:top w:val="single" w:sz="18" w:space="0" w:color="B0B0B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MediumGrid1-Accent5">
    <w:name w:val="Medium Grid 1 Accent 5"/>
    <w:basedOn w:val="TableNormal"/>
    <w:uiPriority w:val="99"/>
    <w:semiHidden/>
    <w:rsid w:val="00DE61E0"/>
    <w:rPr>
      <w:sz w:val="20"/>
      <w:szCs w:val="20"/>
      <w:lang w:val="fr-FR" w:eastAsia="fr-FR"/>
    </w:rPr>
    <w:tblPr>
      <w:tblStyleRowBandSize w:val="1"/>
      <w:tblStyleColBandSize w:val="1"/>
      <w:tblInd w:w="0" w:type="dxa"/>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CellMar>
        <w:top w:w="0" w:type="dxa"/>
        <w:left w:w="108" w:type="dxa"/>
        <w:bottom w:w="0" w:type="dxa"/>
        <w:right w:w="108" w:type="dxa"/>
      </w:tblCellMar>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MediumGrid1-Accent6">
    <w:name w:val="Medium Grid 1 Accent 6"/>
    <w:basedOn w:val="TableNormal"/>
    <w:uiPriority w:val="99"/>
    <w:semiHidden/>
    <w:rsid w:val="00DE61E0"/>
    <w:rPr>
      <w:sz w:val="20"/>
      <w:szCs w:val="20"/>
      <w:lang w:val="fr-FR" w:eastAsia="fr-FR"/>
    </w:rPr>
    <w:tblPr>
      <w:tblStyleRowBandSize w:val="1"/>
      <w:tblStyleColBandSize w:val="1"/>
      <w:tblInd w:w="0" w:type="dxa"/>
      <w:tblBorders>
        <w:top w:val="single" w:sz="8" w:space="0" w:color="797979"/>
        <w:left w:val="single" w:sz="8" w:space="0" w:color="797979"/>
        <w:bottom w:val="single" w:sz="8" w:space="0" w:color="797979"/>
        <w:right w:val="single" w:sz="8" w:space="0" w:color="797979"/>
        <w:insideH w:val="single" w:sz="8" w:space="0" w:color="797979"/>
        <w:insideV w:val="single" w:sz="8" w:space="0" w:color="797979"/>
      </w:tblBorders>
      <w:tblCellMar>
        <w:top w:w="0" w:type="dxa"/>
        <w:left w:w="108" w:type="dxa"/>
        <w:bottom w:w="0" w:type="dxa"/>
        <w:right w:w="108" w:type="dxa"/>
      </w:tblCellMar>
    </w:tblPr>
    <w:tcPr>
      <w:shd w:val="clear" w:color="auto" w:fill="D3D3D3"/>
    </w:tcPr>
    <w:tblStylePr w:type="firstRow">
      <w:rPr>
        <w:rFonts w:cs="Times New Roman"/>
        <w:b/>
        <w:bCs/>
      </w:rPr>
    </w:tblStylePr>
    <w:tblStylePr w:type="lastRow">
      <w:rPr>
        <w:rFonts w:cs="Times New Roman"/>
        <w:b/>
        <w:bCs/>
      </w:rPr>
      <w:tblPr/>
      <w:tcPr>
        <w:tcBorders>
          <w:top w:val="single" w:sz="18" w:space="0" w:color="797979"/>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MediumGrid2">
    <w:name w:val="Medium Grid 2"/>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rFonts w:cs="Times New Roman"/>
        <w:b/>
        <w:bCs/>
        <w:color w:val="000000"/>
      </w:rPr>
      <w:tblPr/>
      <w:tcPr>
        <w:shd w:val="clear" w:color="auto" w:fill="E6E6E6"/>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CCCCCC"/>
      </w:tcPr>
    </w:tblStylePr>
    <w:tblStylePr w:type="band1Vert">
      <w:rPr>
        <w:rFonts w:cs="Times New Roman"/>
      </w:rPr>
      <w:tblPr/>
      <w:tcPr>
        <w:shd w:val="clear" w:color="auto" w:fill="808080"/>
      </w:tcPr>
    </w:tblStylePr>
    <w:tblStylePr w:type="band1Horz">
      <w:rPr>
        <w:rFonts w:cs="Times New Roman"/>
      </w:rPr>
      <w:tblPr/>
      <w:tcPr>
        <w:tcBorders>
          <w:insideH w:val="single" w:sz="6" w:space="0" w:color="000000"/>
          <w:insideV w:val="single" w:sz="6" w:space="0" w:color="000000"/>
        </w:tcBorders>
        <w:shd w:val="clear" w:color="auto" w:fill="808080"/>
      </w:tcPr>
    </w:tblStylePr>
    <w:tblStylePr w:type="nwCell">
      <w:rPr>
        <w:rFonts w:cs="Times New Roman"/>
      </w:rPr>
      <w:tblPr/>
      <w:tcPr>
        <w:shd w:val="clear" w:color="auto" w:fill="0072BC"/>
      </w:tcPr>
    </w:tblStylePr>
  </w:style>
  <w:style w:type="table" w:styleId="MediumGrid2-Accent1">
    <w:name w:val="Medium Grid 2 Accent 1"/>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CellMar>
        <w:top w:w="0" w:type="dxa"/>
        <w:left w:w="108" w:type="dxa"/>
        <w:bottom w:w="0" w:type="dxa"/>
        <w:right w:w="108" w:type="dxa"/>
      </w:tblCellMar>
    </w:tblPr>
    <w:tcPr>
      <w:shd w:val="clear" w:color="auto" w:fill="AFDFFF"/>
    </w:tcPr>
    <w:tblStylePr w:type="firstRow">
      <w:rPr>
        <w:rFonts w:cs="Times New Roman"/>
        <w:b/>
        <w:bCs/>
        <w:color w:val="000000"/>
      </w:rPr>
      <w:tblPr/>
      <w:tcPr>
        <w:shd w:val="clear" w:color="auto" w:fill="DFF2F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BEE5FF"/>
      </w:tcPr>
    </w:tblStylePr>
    <w:tblStylePr w:type="band1Vert">
      <w:rPr>
        <w:rFonts w:cs="Times New Roman"/>
      </w:rPr>
      <w:tblPr/>
      <w:tcPr>
        <w:shd w:val="clear" w:color="auto" w:fill="5EBFFF"/>
      </w:tcPr>
    </w:tblStylePr>
    <w:tblStylePr w:type="band1Horz">
      <w:rPr>
        <w:rFonts w:cs="Times New Roman"/>
      </w:rPr>
      <w:tblPr/>
      <w:tcPr>
        <w:tcBorders>
          <w:insideH w:val="single" w:sz="6" w:space="0" w:color="0072BC"/>
          <w:insideV w:val="single" w:sz="6" w:space="0" w:color="0072BC"/>
        </w:tcBorders>
        <w:shd w:val="clear" w:color="auto" w:fill="5EBFFF"/>
      </w:tcPr>
    </w:tblStylePr>
    <w:tblStylePr w:type="nwCell">
      <w:rPr>
        <w:rFonts w:cs="Times New Roman"/>
      </w:rPr>
      <w:tblPr/>
      <w:tcPr>
        <w:shd w:val="clear" w:color="auto" w:fill="0072BC"/>
      </w:tcPr>
    </w:tblStylePr>
  </w:style>
  <w:style w:type="table" w:styleId="MediumGrid2-Accent2">
    <w:name w:val="Medium Grid 2 Accent 2"/>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CellMar>
        <w:top w:w="0" w:type="dxa"/>
        <w:left w:w="108" w:type="dxa"/>
        <w:bottom w:w="0" w:type="dxa"/>
        <w:right w:w="108" w:type="dxa"/>
      </w:tblCellMar>
    </w:tblPr>
    <w:tcPr>
      <w:shd w:val="clear" w:color="auto" w:fill="FFB0B0"/>
    </w:tcPr>
    <w:tblStylePr w:type="firstRow">
      <w:rPr>
        <w:rFonts w:cs="Times New Roman"/>
        <w:b/>
        <w:bCs/>
        <w:color w:val="000000"/>
      </w:rPr>
      <w:tblPr/>
      <w:tcPr>
        <w:shd w:val="clear" w:color="auto" w:fill="FFDFD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FFBFBF"/>
      </w:tcPr>
    </w:tblStylePr>
    <w:tblStylePr w:type="band1Vert">
      <w:rPr>
        <w:rFonts w:cs="Times New Roman"/>
      </w:rPr>
      <w:tblPr/>
      <w:tcPr>
        <w:shd w:val="clear" w:color="auto" w:fill="FF6060"/>
      </w:tcPr>
    </w:tblStylePr>
    <w:tblStylePr w:type="band1Horz">
      <w:rPr>
        <w:rFonts w:cs="Times New Roman"/>
      </w:rPr>
      <w:tblPr/>
      <w:tcPr>
        <w:tcBorders>
          <w:insideH w:val="single" w:sz="6" w:space="0" w:color="C00000"/>
          <w:insideV w:val="single" w:sz="6" w:space="0" w:color="C00000"/>
        </w:tcBorders>
        <w:shd w:val="clear" w:color="auto" w:fill="FF6060"/>
      </w:tcPr>
    </w:tblStylePr>
    <w:tblStylePr w:type="nwCell">
      <w:rPr>
        <w:rFonts w:cs="Times New Roman"/>
      </w:rPr>
      <w:tblPr/>
      <w:tcPr>
        <w:shd w:val="clear" w:color="auto" w:fill="0072BC"/>
      </w:tcPr>
    </w:tblStylePr>
  </w:style>
  <w:style w:type="table" w:styleId="MediumGrid2-Accent3">
    <w:name w:val="Medium Grid 2 Accent 3"/>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CellMar>
        <w:top w:w="0" w:type="dxa"/>
        <w:left w:w="108" w:type="dxa"/>
        <w:bottom w:w="0" w:type="dxa"/>
        <w:right w:w="108" w:type="dxa"/>
      </w:tblCellMar>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MediumGrid2-Accent4">
    <w:name w:val="Medium Grid 2 Accent 4"/>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CellMar>
        <w:top w:w="0" w:type="dxa"/>
        <w:left w:w="108" w:type="dxa"/>
        <w:bottom w:w="0" w:type="dxa"/>
        <w:right w:w="108" w:type="dxa"/>
      </w:tblCellMar>
    </w:tblPr>
    <w:tcPr>
      <w:shd w:val="clear" w:color="auto" w:fill="E5E5E5"/>
    </w:tcPr>
    <w:tblStylePr w:type="firstRow">
      <w:rPr>
        <w:rFonts w:cs="Times New Roman"/>
        <w:b/>
        <w:bCs/>
        <w:color w:val="000000"/>
      </w:rPr>
      <w:tblPr/>
      <w:tcPr>
        <w:shd w:val="clear" w:color="auto" w:fill="F4F4F4"/>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EAEAEA"/>
      </w:tcPr>
    </w:tblStylePr>
    <w:tblStylePr w:type="band1Vert">
      <w:rPr>
        <w:rFonts w:cs="Times New Roman"/>
      </w:rPr>
      <w:tblPr/>
      <w:tcPr>
        <w:shd w:val="clear" w:color="auto" w:fill="CACACA"/>
      </w:tcPr>
    </w:tblStylePr>
    <w:tblStylePr w:type="band1Horz">
      <w:rPr>
        <w:rFonts w:cs="Times New Roman"/>
      </w:rPr>
      <w:tblPr/>
      <w:tcPr>
        <w:tcBorders>
          <w:insideH w:val="single" w:sz="6" w:space="0" w:color="969696"/>
          <w:insideV w:val="single" w:sz="6" w:space="0" w:color="969696"/>
        </w:tcBorders>
        <w:shd w:val="clear" w:color="auto" w:fill="CACACA"/>
      </w:tcPr>
    </w:tblStylePr>
    <w:tblStylePr w:type="nwCell">
      <w:rPr>
        <w:rFonts w:cs="Times New Roman"/>
      </w:rPr>
      <w:tblPr/>
      <w:tcPr>
        <w:shd w:val="clear" w:color="auto" w:fill="0072BC"/>
      </w:tcPr>
    </w:tblStylePr>
  </w:style>
  <w:style w:type="table" w:styleId="MediumGrid2-Accent5">
    <w:name w:val="Medium Grid 2 Accent 5"/>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CellMar>
        <w:top w:w="0" w:type="dxa"/>
        <w:left w:w="108" w:type="dxa"/>
        <w:bottom w:w="0" w:type="dxa"/>
        <w:right w:w="108" w:type="dxa"/>
      </w:tblCellMar>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MediumGrid2-Accent6">
    <w:name w:val="Medium Grid 2 Accent 6"/>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CellMar>
        <w:top w:w="0" w:type="dxa"/>
        <w:left w:w="108" w:type="dxa"/>
        <w:bottom w:w="0" w:type="dxa"/>
        <w:right w:w="108" w:type="dxa"/>
      </w:tblCellMar>
    </w:tblPr>
    <w:tcPr>
      <w:shd w:val="clear" w:color="auto" w:fill="D3D3D3"/>
    </w:tcPr>
    <w:tblStylePr w:type="firstRow">
      <w:rPr>
        <w:rFonts w:cs="Times New Roman"/>
        <w:b/>
        <w:bCs/>
        <w:color w:val="000000"/>
      </w:rPr>
      <w:tblPr/>
      <w:tcPr>
        <w:shd w:val="clear" w:color="auto" w:fill="EDEDED"/>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BDBDB"/>
      </w:tcPr>
    </w:tblStylePr>
    <w:tblStylePr w:type="band1Vert">
      <w:rPr>
        <w:rFonts w:cs="Times New Roman"/>
      </w:rPr>
      <w:tblPr/>
      <w:tcPr>
        <w:shd w:val="clear" w:color="auto" w:fill="A6A6A6"/>
      </w:tcPr>
    </w:tblStylePr>
    <w:tblStylePr w:type="band1Horz">
      <w:rPr>
        <w:rFonts w:cs="Times New Roman"/>
      </w:rPr>
      <w:tblPr/>
      <w:tcPr>
        <w:tcBorders>
          <w:insideH w:val="single" w:sz="6" w:space="0" w:color="4D4D4D"/>
          <w:insideV w:val="single" w:sz="6" w:space="0" w:color="4D4D4D"/>
        </w:tcBorders>
        <w:shd w:val="clear" w:color="auto" w:fill="A6A6A6"/>
      </w:tcPr>
    </w:tblStylePr>
    <w:tblStylePr w:type="nwCell">
      <w:rPr>
        <w:rFonts w:cs="Times New Roman"/>
      </w:rPr>
      <w:tblPr/>
      <w:tcPr>
        <w:shd w:val="clear" w:color="auto" w:fill="0072BC"/>
      </w:tcPr>
    </w:tblStylePr>
  </w:style>
  <w:style w:type="table" w:styleId="MediumGrid3">
    <w:name w:val="Medium Grid 3"/>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C0C0C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80808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808080"/>
      </w:tcPr>
    </w:tblStylePr>
  </w:style>
  <w:style w:type="table" w:styleId="MediumGrid3-Accent1">
    <w:name w:val="Medium Grid 3 Accent 1"/>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AFDFFF"/>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72BC"/>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72BC"/>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72BC"/>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72BC"/>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5EB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5EBFFF"/>
      </w:tcPr>
    </w:tblStylePr>
  </w:style>
  <w:style w:type="table" w:styleId="MediumGrid3-Accent2">
    <w:name w:val="Medium Grid 3 Accent 2"/>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FFB0B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C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C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C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C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FF606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FF6060"/>
      </w:tcPr>
    </w:tblStylePr>
  </w:style>
  <w:style w:type="table" w:styleId="MediumGrid3-Accent3">
    <w:name w:val="Medium Grid 3 Accent 3"/>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MediumGrid3-Accent4">
    <w:name w:val="Medium Grid 3 Accent 4"/>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E5E5E5"/>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969696"/>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969696"/>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969696"/>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969696"/>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CACACA"/>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CACACA"/>
      </w:tcPr>
    </w:tblStylePr>
  </w:style>
  <w:style w:type="table" w:styleId="MediumGrid3-Accent5">
    <w:name w:val="Medium Grid 3 Accent 5"/>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MediumGrid3-Accent6">
    <w:name w:val="Medium Grid 3 Accent 6"/>
    <w:basedOn w:val="TableNormal"/>
    <w:uiPriority w:val="99"/>
    <w:semiHidden/>
    <w:rsid w:val="00DE61E0"/>
    <w:rPr>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CellMar>
        <w:top w:w="0" w:type="dxa"/>
        <w:left w:w="108" w:type="dxa"/>
        <w:bottom w:w="0" w:type="dxa"/>
        <w:right w:w="108" w:type="dxa"/>
      </w:tblCellMar>
    </w:tblPr>
    <w:tcPr>
      <w:shd w:val="clear" w:color="auto" w:fill="D3D3D3"/>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4D4D4D"/>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4D4D4D"/>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4D4D4D"/>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4D4D4D"/>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6A6A6"/>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6A6A6"/>
      </w:tcPr>
    </w:tblStylePr>
  </w:style>
  <w:style w:type="table" w:styleId="MediumList1">
    <w:name w:val="Medium List 1"/>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000000"/>
        </w:tcBorders>
      </w:tcPr>
    </w:tblStylePr>
    <w:tblStylePr w:type="lastRow">
      <w:rPr>
        <w:rFonts w:cs="Times New Roman"/>
        <w:b/>
        <w:bCs/>
        <w:color w:val="C6C6C6"/>
      </w:rPr>
      <w:tblPr/>
      <w:tcPr>
        <w:tcBorders>
          <w:top w:val="single" w:sz="8" w:space="0" w:color="000000"/>
          <w:bottom w:val="single" w:sz="8" w:space="0" w:color="000000"/>
        </w:tcBorders>
      </w:tcPr>
    </w:tblStylePr>
    <w:tblStylePr w:type="firstCol">
      <w:rPr>
        <w:rFonts w:cs="Times New Roman"/>
        <w:b/>
        <w:bCs/>
      </w:rPr>
    </w:tblStylePr>
    <w:tblStylePr w:type="lastCol">
      <w:rPr>
        <w:rFonts w:cs="Times New Roman"/>
        <w:b/>
        <w:bCs/>
      </w:rPr>
      <w:tblPr/>
      <w:tcPr>
        <w:tcBorders>
          <w:top w:val="single" w:sz="8" w:space="0" w:color="000000"/>
          <w:bottom w:val="single" w:sz="8" w:space="0" w:color="000000"/>
        </w:tcBorders>
      </w:tc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style>
  <w:style w:type="table" w:styleId="MediumList1-Accent1">
    <w:name w:val="Medium List 1 Accent 1"/>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0072BC"/>
        <w:bottom w:val="single" w:sz="8" w:space="0" w:color="0072BC"/>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0072BC"/>
        </w:tcBorders>
      </w:tcPr>
    </w:tblStylePr>
    <w:tblStylePr w:type="lastRow">
      <w:rPr>
        <w:rFonts w:cs="Times New Roman"/>
        <w:b/>
        <w:bCs/>
        <w:color w:val="C6C6C6"/>
      </w:rPr>
      <w:tblPr/>
      <w:tcPr>
        <w:tcBorders>
          <w:top w:val="single" w:sz="8" w:space="0" w:color="0072BC"/>
          <w:bottom w:val="single" w:sz="8" w:space="0" w:color="0072BC"/>
        </w:tcBorders>
      </w:tcPr>
    </w:tblStylePr>
    <w:tblStylePr w:type="firstCol">
      <w:rPr>
        <w:rFonts w:cs="Times New Roman"/>
        <w:b/>
        <w:bCs/>
      </w:rPr>
    </w:tblStylePr>
    <w:tblStylePr w:type="lastCol">
      <w:rPr>
        <w:rFonts w:cs="Times New Roman"/>
        <w:b/>
        <w:bCs/>
      </w:rPr>
      <w:tblPr/>
      <w:tcPr>
        <w:tcBorders>
          <w:top w:val="single" w:sz="8" w:space="0" w:color="0072BC"/>
          <w:bottom w:val="single" w:sz="8" w:space="0" w:color="0072BC"/>
        </w:tcBorders>
      </w:tcPr>
    </w:tblStylePr>
    <w:tblStylePr w:type="band1Vert">
      <w:rPr>
        <w:rFonts w:cs="Times New Roman"/>
      </w:rPr>
      <w:tblPr/>
      <w:tcPr>
        <w:shd w:val="clear" w:color="auto" w:fill="AFDFFF"/>
      </w:tcPr>
    </w:tblStylePr>
    <w:tblStylePr w:type="band1Horz">
      <w:rPr>
        <w:rFonts w:cs="Times New Roman"/>
      </w:rPr>
      <w:tblPr/>
      <w:tcPr>
        <w:shd w:val="clear" w:color="auto" w:fill="AFDFFF"/>
      </w:tcPr>
    </w:tblStylePr>
  </w:style>
  <w:style w:type="table" w:styleId="MediumList1-Accent2">
    <w:name w:val="Medium List 1 Accent 2"/>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C00000"/>
        <w:bottom w:val="single" w:sz="8" w:space="0" w:color="C00000"/>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C00000"/>
        </w:tcBorders>
      </w:tcPr>
    </w:tblStylePr>
    <w:tblStylePr w:type="lastRow">
      <w:rPr>
        <w:rFonts w:cs="Times New Roman"/>
        <w:b/>
        <w:bCs/>
        <w:color w:val="C6C6C6"/>
      </w:rPr>
      <w:tblPr/>
      <w:tcPr>
        <w:tcBorders>
          <w:top w:val="single" w:sz="8" w:space="0" w:color="C00000"/>
          <w:bottom w:val="single" w:sz="8" w:space="0" w:color="C00000"/>
        </w:tcBorders>
      </w:tcPr>
    </w:tblStylePr>
    <w:tblStylePr w:type="firstCol">
      <w:rPr>
        <w:rFonts w:cs="Times New Roman"/>
        <w:b/>
        <w:bCs/>
      </w:rPr>
    </w:tblStylePr>
    <w:tblStylePr w:type="lastCol">
      <w:rPr>
        <w:rFonts w:cs="Times New Roman"/>
        <w:b/>
        <w:bCs/>
      </w:rPr>
      <w:tblPr/>
      <w:tcPr>
        <w:tcBorders>
          <w:top w:val="single" w:sz="8" w:space="0" w:color="C00000"/>
          <w:bottom w:val="single" w:sz="8" w:space="0" w:color="C00000"/>
        </w:tcBorders>
      </w:tcPr>
    </w:tblStylePr>
    <w:tblStylePr w:type="band1Vert">
      <w:rPr>
        <w:rFonts w:cs="Times New Roman"/>
      </w:rPr>
      <w:tblPr/>
      <w:tcPr>
        <w:shd w:val="clear" w:color="auto" w:fill="FFB0B0"/>
      </w:tcPr>
    </w:tblStylePr>
    <w:tblStylePr w:type="band1Horz">
      <w:rPr>
        <w:rFonts w:cs="Times New Roman"/>
      </w:rPr>
      <w:tblPr/>
      <w:tcPr>
        <w:shd w:val="clear" w:color="auto" w:fill="FFB0B0"/>
      </w:tcPr>
    </w:tblStylePr>
  </w:style>
  <w:style w:type="table" w:styleId="MediumList1-Accent3">
    <w:name w:val="Medium List 1 Accent 3"/>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5F5F5F"/>
        <w:bottom w:val="single" w:sz="8" w:space="0" w:color="5F5F5F"/>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MediumList1-Accent4">
    <w:name w:val="Medium List 1 Accent 4"/>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969696"/>
        <w:bottom w:val="single" w:sz="8" w:space="0" w:color="969696"/>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969696"/>
        </w:tcBorders>
      </w:tcPr>
    </w:tblStylePr>
    <w:tblStylePr w:type="lastRow">
      <w:rPr>
        <w:rFonts w:cs="Times New Roman"/>
        <w:b/>
        <w:bCs/>
        <w:color w:val="C6C6C6"/>
      </w:rPr>
      <w:tblPr/>
      <w:tcPr>
        <w:tcBorders>
          <w:top w:val="single" w:sz="8" w:space="0" w:color="969696"/>
          <w:bottom w:val="single" w:sz="8" w:space="0" w:color="969696"/>
        </w:tcBorders>
      </w:tcPr>
    </w:tblStylePr>
    <w:tblStylePr w:type="firstCol">
      <w:rPr>
        <w:rFonts w:cs="Times New Roman"/>
        <w:b/>
        <w:bCs/>
      </w:rPr>
    </w:tblStylePr>
    <w:tblStylePr w:type="lastCol">
      <w:rPr>
        <w:rFonts w:cs="Times New Roman"/>
        <w:b/>
        <w:bCs/>
      </w:rPr>
      <w:tblPr/>
      <w:tcPr>
        <w:tcBorders>
          <w:top w:val="single" w:sz="8" w:space="0" w:color="969696"/>
          <w:bottom w:val="single" w:sz="8" w:space="0" w:color="969696"/>
        </w:tcBorders>
      </w:tcPr>
    </w:tblStylePr>
    <w:tblStylePr w:type="band1Vert">
      <w:rPr>
        <w:rFonts w:cs="Times New Roman"/>
      </w:rPr>
      <w:tblPr/>
      <w:tcPr>
        <w:shd w:val="clear" w:color="auto" w:fill="E5E5E5"/>
      </w:tcPr>
    </w:tblStylePr>
    <w:tblStylePr w:type="band1Horz">
      <w:rPr>
        <w:rFonts w:cs="Times New Roman"/>
      </w:rPr>
      <w:tblPr/>
      <w:tcPr>
        <w:shd w:val="clear" w:color="auto" w:fill="E5E5E5"/>
      </w:tcPr>
    </w:tblStylePr>
  </w:style>
  <w:style w:type="table" w:styleId="MediumList1-Accent5">
    <w:name w:val="Medium List 1 Accent 5"/>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5F5F5F"/>
        <w:bottom w:val="single" w:sz="8" w:space="0" w:color="5F5F5F"/>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MediumList1-Accent6">
    <w:name w:val="Medium List 1 Accent 6"/>
    <w:basedOn w:val="TableNormal"/>
    <w:uiPriority w:val="99"/>
    <w:semiHidden/>
    <w:rsid w:val="00DE61E0"/>
    <w:rPr>
      <w:color w:val="000000"/>
      <w:sz w:val="20"/>
      <w:szCs w:val="20"/>
      <w:lang w:val="fr-FR" w:eastAsia="fr-FR"/>
    </w:rPr>
    <w:tblPr>
      <w:tblStyleRowBandSize w:val="1"/>
      <w:tblStyleColBandSize w:val="1"/>
      <w:tblInd w:w="0" w:type="dxa"/>
      <w:tblBorders>
        <w:top w:val="single" w:sz="8" w:space="0" w:color="4D4D4D"/>
        <w:bottom w:val="single" w:sz="8" w:space="0" w:color="4D4D4D"/>
      </w:tblBorders>
      <w:tblCellMar>
        <w:top w:w="0" w:type="dxa"/>
        <w:left w:w="108" w:type="dxa"/>
        <w:bottom w:w="0" w:type="dxa"/>
        <w:right w:w="108" w:type="dxa"/>
      </w:tblCellMar>
    </w:tblPr>
    <w:tblStylePr w:type="firstRow">
      <w:rPr>
        <w:rFonts w:ascii="Times New Roman" w:eastAsia="MS Gothic" w:hAnsi="Times New Roman" w:cs="Times New Roman"/>
      </w:rPr>
      <w:tblPr/>
      <w:tcPr>
        <w:tcBorders>
          <w:top w:val="nil"/>
          <w:bottom w:val="single" w:sz="8" w:space="0" w:color="4D4D4D"/>
        </w:tcBorders>
      </w:tcPr>
    </w:tblStylePr>
    <w:tblStylePr w:type="lastRow">
      <w:rPr>
        <w:rFonts w:cs="Times New Roman"/>
        <w:b/>
        <w:bCs/>
        <w:color w:val="C6C6C6"/>
      </w:rPr>
      <w:tblPr/>
      <w:tcPr>
        <w:tcBorders>
          <w:top w:val="single" w:sz="8" w:space="0" w:color="4D4D4D"/>
          <w:bottom w:val="single" w:sz="8" w:space="0" w:color="4D4D4D"/>
        </w:tcBorders>
      </w:tcPr>
    </w:tblStylePr>
    <w:tblStylePr w:type="firstCol">
      <w:rPr>
        <w:rFonts w:cs="Times New Roman"/>
        <w:b/>
        <w:bCs/>
      </w:rPr>
    </w:tblStylePr>
    <w:tblStylePr w:type="lastCol">
      <w:rPr>
        <w:rFonts w:cs="Times New Roman"/>
        <w:b/>
        <w:bCs/>
      </w:rPr>
      <w:tblPr/>
      <w:tcPr>
        <w:tcBorders>
          <w:top w:val="single" w:sz="8" w:space="0" w:color="4D4D4D"/>
          <w:bottom w:val="single" w:sz="8" w:space="0" w:color="4D4D4D"/>
        </w:tcBorders>
      </w:tcPr>
    </w:tblStylePr>
    <w:tblStylePr w:type="band1Vert">
      <w:rPr>
        <w:rFonts w:cs="Times New Roman"/>
      </w:rPr>
      <w:tblPr/>
      <w:tcPr>
        <w:shd w:val="clear" w:color="auto" w:fill="D3D3D3"/>
      </w:tcPr>
    </w:tblStylePr>
    <w:tblStylePr w:type="band1Horz">
      <w:rPr>
        <w:rFonts w:cs="Times New Roman"/>
      </w:rPr>
      <w:tblPr/>
      <w:tcPr>
        <w:shd w:val="clear" w:color="auto" w:fill="D3D3D3"/>
      </w:tcPr>
    </w:tblStylePr>
  </w:style>
  <w:style w:type="table" w:styleId="MediumList2">
    <w:name w:val="Medium List 2"/>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0072BC"/>
      </w:tcPr>
    </w:tblStylePr>
    <w:tblStylePr w:type="lastRow">
      <w:rPr>
        <w:rFonts w:cs="Times New Roman"/>
      </w:rPr>
      <w:tblPr/>
      <w:tcPr>
        <w:tcBorders>
          <w:top w:val="single" w:sz="8" w:space="0" w:color="0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0000"/>
          <w:insideH w:val="nil"/>
          <w:insideV w:val="nil"/>
        </w:tcBorders>
        <w:shd w:val="clear" w:color="auto" w:fill="0072BC"/>
      </w:tcPr>
    </w:tblStylePr>
    <w:tblStylePr w:type="lastCol">
      <w:rPr>
        <w:rFonts w:cs="Times New Roman"/>
      </w:rPr>
      <w:tblPr/>
      <w:tcPr>
        <w:tcBorders>
          <w:top w:val="nil"/>
          <w:left w:val="single" w:sz="8" w:space="0" w:color="0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List2-Accent1">
    <w:name w:val="Medium List 2 Accent 1"/>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0072BC"/>
        <w:left w:val="single" w:sz="8" w:space="0" w:color="0072BC"/>
        <w:bottom w:val="single" w:sz="8" w:space="0" w:color="0072BC"/>
        <w:right w:val="single" w:sz="8" w:space="0" w:color="0072BC"/>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0072BC"/>
          <w:right w:val="nil"/>
          <w:insideH w:val="nil"/>
          <w:insideV w:val="nil"/>
        </w:tcBorders>
        <w:shd w:val="clear" w:color="auto" w:fill="0072BC"/>
      </w:tcPr>
    </w:tblStylePr>
    <w:tblStylePr w:type="lastRow">
      <w:rPr>
        <w:rFonts w:cs="Times New Roman"/>
      </w:rPr>
      <w:tblPr/>
      <w:tcPr>
        <w:tcBorders>
          <w:top w:val="single" w:sz="8" w:space="0" w:color="0072BC"/>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72BC"/>
          <w:insideH w:val="nil"/>
          <w:insideV w:val="nil"/>
        </w:tcBorders>
        <w:shd w:val="clear" w:color="auto" w:fill="0072BC"/>
      </w:tcPr>
    </w:tblStylePr>
    <w:tblStylePr w:type="lastCol">
      <w:rPr>
        <w:rFonts w:cs="Times New Roman"/>
      </w:rPr>
      <w:tblPr/>
      <w:tcPr>
        <w:tcBorders>
          <w:top w:val="nil"/>
          <w:left w:val="single" w:sz="8" w:space="0" w:color="0072BC"/>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top w:val="nil"/>
          <w:bottom w:val="nil"/>
          <w:insideH w:val="nil"/>
          <w:insideV w:val="nil"/>
        </w:tcBorders>
        <w:shd w:val="clear" w:color="auto" w:fill="AFDFFF"/>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List2-Accent2">
    <w:name w:val="Medium List 2 Accent 2"/>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C00000"/>
        <w:left w:val="single" w:sz="8" w:space="0" w:color="C00000"/>
        <w:bottom w:val="single" w:sz="8" w:space="0" w:color="C00000"/>
        <w:right w:val="single" w:sz="8" w:space="0" w:color="C00000"/>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C00000"/>
          <w:right w:val="nil"/>
          <w:insideH w:val="nil"/>
          <w:insideV w:val="nil"/>
        </w:tcBorders>
        <w:shd w:val="clear" w:color="auto" w:fill="0072BC"/>
      </w:tcPr>
    </w:tblStylePr>
    <w:tblStylePr w:type="lastRow">
      <w:rPr>
        <w:rFonts w:cs="Times New Roman"/>
      </w:rPr>
      <w:tblPr/>
      <w:tcPr>
        <w:tcBorders>
          <w:top w:val="single" w:sz="8" w:space="0" w:color="C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C00000"/>
          <w:insideH w:val="nil"/>
          <w:insideV w:val="nil"/>
        </w:tcBorders>
        <w:shd w:val="clear" w:color="auto" w:fill="0072BC"/>
      </w:tcPr>
    </w:tblStylePr>
    <w:tblStylePr w:type="lastCol">
      <w:rPr>
        <w:rFonts w:cs="Times New Roman"/>
      </w:rPr>
      <w:tblPr/>
      <w:tcPr>
        <w:tcBorders>
          <w:top w:val="nil"/>
          <w:left w:val="single" w:sz="8" w:space="0" w:color="C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top w:val="nil"/>
          <w:bottom w:val="nil"/>
          <w:insideH w:val="nil"/>
          <w:insideV w:val="nil"/>
        </w:tcBorders>
        <w:shd w:val="clear" w:color="auto" w:fill="FFB0B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List2-Accent3">
    <w:name w:val="Medium List 2 Accent 3"/>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List2-Accent4">
    <w:name w:val="Medium List 2 Accent 4"/>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969696"/>
        <w:left w:val="single" w:sz="8" w:space="0" w:color="969696"/>
        <w:bottom w:val="single" w:sz="8" w:space="0" w:color="969696"/>
        <w:right w:val="single" w:sz="8" w:space="0" w:color="969696"/>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969696"/>
          <w:right w:val="nil"/>
          <w:insideH w:val="nil"/>
          <w:insideV w:val="nil"/>
        </w:tcBorders>
        <w:shd w:val="clear" w:color="auto" w:fill="0072BC"/>
      </w:tcPr>
    </w:tblStylePr>
    <w:tblStylePr w:type="lastRow">
      <w:rPr>
        <w:rFonts w:cs="Times New Roman"/>
      </w:rPr>
      <w:tblPr/>
      <w:tcPr>
        <w:tcBorders>
          <w:top w:val="single" w:sz="8" w:space="0" w:color="969696"/>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969696"/>
          <w:insideH w:val="nil"/>
          <w:insideV w:val="nil"/>
        </w:tcBorders>
        <w:shd w:val="clear" w:color="auto" w:fill="0072BC"/>
      </w:tcPr>
    </w:tblStylePr>
    <w:tblStylePr w:type="lastCol">
      <w:rPr>
        <w:rFonts w:cs="Times New Roman"/>
      </w:rPr>
      <w:tblPr/>
      <w:tcPr>
        <w:tcBorders>
          <w:top w:val="nil"/>
          <w:left w:val="single" w:sz="8" w:space="0" w:color="969696"/>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top w:val="nil"/>
          <w:bottom w:val="nil"/>
          <w:insideH w:val="nil"/>
          <w:insideV w:val="nil"/>
        </w:tcBorders>
        <w:shd w:val="clear" w:color="auto" w:fill="E5E5E5"/>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List2-Accent5">
    <w:name w:val="Medium List 2 Accent 5"/>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5F5F5F"/>
        <w:left w:val="single" w:sz="8" w:space="0" w:color="5F5F5F"/>
        <w:bottom w:val="single" w:sz="8" w:space="0" w:color="5F5F5F"/>
        <w:right w:val="single" w:sz="8" w:space="0" w:color="5F5F5F"/>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List2-Accent6">
    <w:name w:val="Medium List 2 Accent 6"/>
    <w:basedOn w:val="TableNormal"/>
    <w:uiPriority w:val="99"/>
    <w:semiHidden/>
    <w:rsid w:val="00DE61E0"/>
    <w:rPr>
      <w:rFonts w:eastAsia="MS Gothic"/>
      <w:color w:val="000000"/>
      <w:sz w:val="20"/>
      <w:szCs w:val="20"/>
      <w:lang w:val="fr-FR" w:eastAsia="fr-FR"/>
    </w:rPr>
    <w:tblPr>
      <w:tblStyleRowBandSize w:val="1"/>
      <w:tblStyleColBandSize w:val="1"/>
      <w:tblInd w:w="0" w:type="dxa"/>
      <w:tblBorders>
        <w:top w:val="single" w:sz="8" w:space="0" w:color="4D4D4D"/>
        <w:left w:val="single" w:sz="8" w:space="0" w:color="4D4D4D"/>
        <w:bottom w:val="single" w:sz="8" w:space="0" w:color="4D4D4D"/>
        <w:right w:val="single" w:sz="8" w:space="0" w:color="4D4D4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D4D4D"/>
          <w:right w:val="nil"/>
          <w:insideH w:val="nil"/>
          <w:insideV w:val="nil"/>
        </w:tcBorders>
        <w:shd w:val="clear" w:color="auto" w:fill="0072BC"/>
      </w:tcPr>
    </w:tblStylePr>
    <w:tblStylePr w:type="lastRow">
      <w:rPr>
        <w:rFonts w:cs="Times New Roman"/>
      </w:rPr>
      <w:tblPr/>
      <w:tcPr>
        <w:tcBorders>
          <w:top w:val="single" w:sz="8" w:space="0" w:color="4D4D4D"/>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4D4D4D"/>
          <w:insideH w:val="nil"/>
          <w:insideV w:val="nil"/>
        </w:tcBorders>
        <w:shd w:val="clear" w:color="auto" w:fill="0072BC"/>
      </w:tcPr>
    </w:tblStylePr>
    <w:tblStylePr w:type="lastCol">
      <w:rPr>
        <w:rFonts w:cs="Times New Roman"/>
      </w:rPr>
      <w:tblPr/>
      <w:tcPr>
        <w:tcBorders>
          <w:top w:val="nil"/>
          <w:left w:val="single" w:sz="8" w:space="0" w:color="4D4D4D"/>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top w:val="nil"/>
          <w:bottom w:val="nil"/>
          <w:insideH w:val="nil"/>
          <w:insideV w:val="nil"/>
        </w:tcBorders>
        <w:shd w:val="clear" w:color="auto" w:fill="D3D3D3"/>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MediumShading1">
    <w:name w:val="Medium Shading 1"/>
    <w:basedOn w:val="TableNormal"/>
    <w:uiPriority w:val="99"/>
    <w:semiHidden/>
    <w:rsid w:val="00DE61E0"/>
    <w:rPr>
      <w:sz w:val="20"/>
      <w:szCs w:val="20"/>
      <w:lang w:val="fr-FR" w:eastAsia="fr-FR"/>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tcBorders>
          <w:insideH w:val="nil"/>
          <w:insideV w:val="nil"/>
        </w:tcBorders>
        <w:shd w:val="clear" w:color="auto" w:fill="C0C0C0"/>
      </w:tcPr>
    </w:tblStylePr>
    <w:tblStylePr w:type="band2Horz">
      <w:rPr>
        <w:rFonts w:cs="Times New Roman"/>
      </w:rPr>
      <w:tblPr/>
      <w:tcPr>
        <w:tcBorders>
          <w:insideH w:val="nil"/>
          <w:insideV w:val="nil"/>
        </w:tcBorders>
      </w:tcPr>
    </w:tblStylePr>
  </w:style>
  <w:style w:type="table" w:styleId="MediumShading1-Accent1">
    <w:name w:val="Medium Shading 1 Accent 1"/>
    <w:basedOn w:val="TableNormal"/>
    <w:uiPriority w:val="99"/>
    <w:semiHidden/>
    <w:rsid w:val="00DE61E0"/>
    <w:rPr>
      <w:sz w:val="20"/>
      <w:szCs w:val="20"/>
      <w:lang w:val="fr-FR" w:eastAsia="fr-FR"/>
    </w:rPr>
    <w:tblPr>
      <w:tblStyleRowBandSize w:val="1"/>
      <w:tblStyleColBandSize w:val="1"/>
      <w:tblInd w:w="0" w:type="dxa"/>
      <w:tblBorders>
        <w:top w:val="single" w:sz="8" w:space="0" w:color="0D9FFF"/>
        <w:left w:val="single" w:sz="8" w:space="0" w:color="0D9FFF"/>
        <w:bottom w:val="single" w:sz="8" w:space="0" w:color="0D9FFF"/>
        <w:right w:val="single" w:sz="8" w:space="0" w:color="0D9FFF"/>
        <w:insideH w:val="single" w:sz="8" w:space="0" w:color="0D9FFF"/>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0D9FFF"/>
          <w:left w:val="single" w:sz="8" w:space="0" w:color="0D9FFF"/>
          <w:bottom w:val="single" w:sz="8" w:space="0" w:color="0D9FFF"/>
          <w:right w:val="single" w:sz="8" w:space="0" w:color="0D9FFF"/>
          <w:insideH w:val="nil"/>
          <w:insideV w:val="nil"/>
        </w:tcBorders>
        <w:shd w:val="clear" w:color="auto" w:fill="0072BC"/>
      </w:tcPr>
    </w:tblStylePr>
    <w:tblStylePr w:type="lastRow">
      <w:pPr>
        <w:spacing w:before="0" w:after="0"/>
      </w:pPr>
      <w:rPr>
        <w:rFonts w:cs="Times New Roman"/>
        <w:b/>
        <w:bCs/>
      </w:rPr>
      <w:tblPr/>
      <w:tcPr>
        <w:tcBorders>
          <w:top w:val="double" w:sz="6" w:space="0" w:color="0D9FFF"/>
          <w:left w:val="single" w:sz="8" w:space="0" w:color="0D9FFF"/>
          <w:bottom w:val="single" w:sz="8" w:space="0" w:color="0D9FFF"/>
          <w:right w:val="single" w:sz="8" w:space="0" w:color="0D9FF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DFFF"/>
      </w:tcPr>
    </w:tblStylePr>
    <w:tblStylePr w:type="band1Horz">
      <w:rPr>
        <w:rFonts w:cs="Times New Roman"/>
      </w:rPr>
      <w:tblPr/>
      <w:tcPr>
        <w:tcBorders>
          <w:insideH w:val="nil"/>
          <w:insideV w:val="nil"/>
        </w:tcBorders>
        <w:shd w:val="clear" w:color="auto" w:fill="AFDFFF"/>
      </w:tcPr>
    </w:tblStylePr>
    <w:tblStylePr w:type="band2Horz">
      <w:rPr>
        <w:rFonts w:cs="Times New Roman"/>
      </w:rPr>
      <w:tblPr/>
      <w:tcPr>
        <w:tcBorders>
          <w:insideH w:val="nil"/>
          <w:insideV w:val="nil"/>
        </w:tcBorders>
      </w:tcPr>
    </w:tblStylePr>
  </w:style>
  <w:style w:type="table" w:styleId="MediumShading1-Accent2">
    <w:name w:val="Medium Shading 1 Accent 2"/>
    <w:basedOn w:val="TableNormal"/>
    <w:uiPriority w:val="99"/>
    <w:semiHidden/>
    <w:rsid w:val="00DE61E0"/>
    <w:rPr>
      <w:sz w:val="20"/>
      <w:szCs w:val="20"/>
      <w:lang w:val="fr-FR" w:eastAsia="fr-FR"/>
    </w:rPr>
    <w:tblPr>
      <w:tblStyleRowBandSize w:val="1"/>
      <w:tblStyleColBandSize w:val="1"/>
      <w:tblInd w:w="0" w:type="dxa"/>
      <w:tblBorders>
        <w:top w:val="single" w:sz="8" w:space="0" w:color="FF1010"/>
        <w:left w:val="single" w:sz="8" w:space="0" w:color="FF1010"/>
        <w:bottom w:val="single" w:sz="8" w:space="0" w:color="FF1010"/>
        <w:right w:val="single" w:sz="8" w:space="0" w:color="FF1010"/>
        <w:insideH w:val="single" w:sz="8" w:space="0" w:color="FF1010"/>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FF1010"/>
          <w:left w:val="single" w:sz="8" w:space="0" w:color="FF1010"/>
          <w:bottom w:val="single" w:sz="8" w:space="0" w:color="FF1010"/>
          <w:right w:val="single" w:sz="8" w:space="0" w:color="FF1010"/>
          <w:insideH w:val="nil"/>
          <w:insideV w:val="nil"/>
        </w:tcBorders>
        <w:shd w:val="clear" w:color="auto" w:fill="C00000"/>
      </w:tcPr>
    </w:tblStylePr>
    <w:tblStylePr w:type="lastRow">
      <w:pPr>
        <w:spacing w:before="0" w:after="0"/>
      </w:pPr>
      <w:rPr>
        <w:rFonts w:cs="Times New Roman"/>
        <w:b/>
        <w:bCs/>
      </w:rPr>
      <w:tblPr/>
      <w:tcPr>
        <w:tcBorders>
          <w:top w:val="double" w:sz="6" w:space="0" w:color="FF1010"/>
          <w:left w:val="single" w:sz="8" w:space="0" w:color="FF1010"/>
          <w:bottom w:val="single" w:sz="8" w:space="0" w:color="FF1010"/>
          <w:right w:val="single" w:sz="8" w:space="0" w:color="FF101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B0B0"/>
      </w:tcPr>
    </w:tblStylePr>
    <w:tblStylePr w:type="band1Horz">
      <w:rPr>
        <w:rFonts w:cs="Times New Roman"/>
      </w:rPr>
      <w:tblPr/>
      <w:tcPr>
        <w:tcBorders>
          <w:insideH w:val="nil"/>
          <w:insideV w:val="nil"/>
        </w:tcBorders>
        <w:shd w:val="clear" w:color="auto" w:fill="FFB0B0"/>
      </w:tcPr>
    </w:tblStylePr>
    <w:tblStylePr w:type="band2Horz">
      <w:rPr>
        <w:rFonts w:cs="Times New Roman"/>
      </w:rPr>
      <w:tblPr/>
      <w:tcPr>
        <w:tcBorders>
          <w:insideH w:val="nil"/>
          <w:insideV w:val="nil"/>
        </w:tcBorders>
      </w:tcPr>
    </w:tblStylePr>
  </w:style>
  <w:style w:type="table" w:styleId="MediumShading1-Accent3">
    <w:name w:val="Medium Shading 1 Accent 3"/>
    <w:basedOn w:val="TableNormal"/>
    <w:uiPriority w:val="99"/>
    <w:semiHidden/>
    <w:rsid w:val="00DE61E0"/>
    <w:rPr>
      <w:sz w:val="20"/>
      <w:szCs w:val="20"/>
      <w:lang w:val="fr-FR" w:eastAsia="fr-FR"/>
    </w:rPr>
    <w:tblPr>
      <w:tblStyleRowBandSize w:val="1"/>
      <w:tblStyleColBandSize w:val="1"/>
      <w:tblInd w:w="0" w:type="dxa"/>
      <w:tblBorders>
        <w:top w:val="single" w:sz="8" w:space="0" w:color="878787"/>
        <w:left w:val="single" w:sz="8" w:space="0" w:color="878787"/>
        <w:bottom w:val="single" w:sz="8" w:space="0" w:color="878787"/>
        <w:right w:val="single" w:sz="8" w:space="0" w:color="878787"/>
        <w:insideH w:val="single" w:sz="8" w:space="0" w:color="878787"/>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MediumShading1-Accent4">
    <w:name w:val="Medium Shading 1 Accent 4"/>
    <w:basedOn w:val="TableNormal"/>
    <w:uiPriority w:val="99"/>
    <w:semiHidden/>
    <w:rsid w:val="00DE61E0"/>
    <w:rPr>
      <w:sz w:val="20"/>
      <w:szCs w:val="20"/>
      <w:lang w:val="fr-FR" w:eastAsia="fr-FR"/>
    </w:rPr>
    <w:tblPr>
      <w:tblStyleRowBandSize w:val="1"/>
      <w:tblStyleColBandSize w:val="1"/>
      <w:tblInd w:w="0" w:type="dxa"/>
      <w:tblBorders>
        <w:top w:val="single" w:sz="8" w:space="0" w:color="B0B0B0"/>
        <w:left w:val="single" w:sz="8" w:space="0" w:color="B0B0B0"/>
        <w:bottom w:val="single" w:sz="8" w:space="0" w:color="B0B0B0"/>
        <w:right w:val="single" w:sz="8" w:space="0" w:color="B0B0B0"/>
        <w:insideH w:val="single" w:sz="8" w:space="0" w:color="B0B0B0"/>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B0B0B0"/>
          <w:left w:val="single" w:sz="8" w:space="0" w:color="B0B0B0"/>
          <w:bottom w:val="single" w:sz="8" w:space="0" w:color="B0B0B0"/>
          <w:right w:val="single" w:sz="8" w:space="0" w:color="B0B0B0"/>
          <w:insideH w:val="nil"/>
          <w:insideV w:val="nil"/>
        </w:tcBorders>
        <w:shd w:val="clear" w:color="auto" w:fill="969696"/>
      </w:tcPr>
    </w:tblStylePr>
    <w:tblStylePr w:type="lastRow">
      <w:pPr>
        <w:spacing w:before="0" w:after="0"/>
      </w:pPr>
      <w:rPr>
        <w:rFonts w:cs="Times New Roman"/>
        <w:b/>
        <w:bCs/>
      </w:rPr>
      <w:tblPr/>
      <w:tcPr>
        <w:tcBorders>
          <w:top w:val="double" w:sz="6" w:space="0" w:color="B0B0B0"/>
          <w:left w:val="single" w:sz="8" w:space="0" w:color="B0B0B0"/>
          <w:bottom w:val="single" w:sz="8" w:space="0" w:color="B0B0B0"/>
          <w:right w:val="single" w:sz="8" w:space="0" w:color="B0B0B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5E5E5"/>
      </w:tcPr>
    </w:tblStylePr>
    <w:tblStylePr w:type="band1Horz">
      <w:rPr>
        <w:rFonts w:cs="Times New Roman"/>
      </w:rPr>
      <w:tblPr/>
      <w:tcPr>
        <w:tcBorders>
          <w:insideH w:val="nil"/>
          <w:insideV w:val="nil"/>
        </w:tcBorders>
        <w:shd w:val="clear" w:color="auto" w:fill="E5E5E5"/>
      </w:tcPr>
    </w:tblStylePr>
    <w:tblStylePr w:type="band2Horz">
      <w:rPr>
        <w:rFonts w:cs="Times New Roman"/>
      </w:rPr>
      <w:tblPr/>
      <w:tcPr>
        <w:tcBorders>
          <w:insideH w:val="nil"/>
          <w:insideV w:val="nil"/>
        </w:tcBorders>
      </w:tcPr>
    </w:tblStylePr>
  </w:style>
  <w:style w:type="table" w:styleId="MediumShading1-Accent5">
    <w:name w:val="Medium Shading 1 Accent 5"/>
    <w:basedOn w:val="TableNormal"/>
    <w:uiPriority w:val="99"/>
    <w:semiHidden/>
    <w:rsid w:val="00DE61E0"/>
    <w:rPr>
      <w:sz w:val="20"/>
      <w:szCs w:val="20"/>
      <w:lang w:val="fr-FR" w:eastAsia="fr-FR"/>
    </w:rPr>
    <w:tblPr>
      <w:tblStyleRowBandSize w:val="1"/>
      <w:tblStyleColBandSize w:val="1"/>
      <w:tblInd w:w="0" w:type="dxa"/>
      <w:tblBorders>
        <w:top w:val="single" w:sz="8" w:space="0" w:color="878787"/>
        <w:left w:val="single" w:sz="8" w:space="0" w:color="878787"/>
        <w:bottom w:val="single" w:sz="8" w:space="0" w:color="878787"/>
        <w:right w:val="single" w:sz="8" w:space="0" w:color="878787"/>
        <w:insideH w:val="single" w:sz="8" w:space="0" w:color="878787"/>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MediumShading1-Accent6">
    <w:name w:val="Medium Shading 1 Accent 6"/>
    <w:basedOn w:val="TableNormal"/>
    <w:uiPriority w:val="99"/>
    <w:semiHidden/>
    <w:rsid w:val="00DE61E0"/>
    <w:rPr>
      <w:sz w:val="20"/>
      <w:szCs w:val="20"/>
      <w:lang w:val="fr-FR" w:eastAsia="fr-FR"/>
    </w:rPr>
    <w:tblPr>
      <w:tblStyleRowBandSize w:val="1"/>
      <w:tblStyleColBandSize w:val="1"/>
      <w:tblInd w:w="0" w:type="dxa"/>
      <w:tblBorders>
        <w:top w:val="single" w:sz="8" w:space="0" w:color="797979"/>
        <w:left w:val="single" w:sz="8" w:space="0" w:color="797979"/>
        <w:bottom w:val="single" w:sz="8" w:space="0" w:color="797979"/>
        <w:right w:val="single" w:sz="8" w:space="0" w:color="797979"/>
        <w:insideH w:val="single" w:sz="8" w:space="0" w:color="797979"/>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8" w:space="0" w:color="797979"/>
          <w:left w:val="single" w:sz="8" w:space="0" w:color="797979"/>
          <w:bottom w:val="single" w:sz="8" w:space="0" w:color="797979"/>
          <w:right w:val="single" w:sz="8" w:space="0" w:color="797979"/>
          <w:insideH w:val="nil"/>
          <w:insideV w:val="nil"/>
        </w:tcBorders>
        <w:shd w:val="clear" w:color="auto" w:fill="4D4D4D"/>
      </w:tcPr>
    </w:tblStylePr>
    <w:tblStylePr w:type="lastRow">
      <w:pPr>
        <w:spacing w:before="0" w:after="0"/>
      </w:pPr>
      <w:rPr>
        <w:rFonts w:cs="Times New Roman"/>
        <w:b/>
        <w:bCs/>
      </w:rPr>
      <w:tblPr/>
      <w:tcPr>
        <w:tcBorders>
          <w:top w:val="double" w:sz="6" w:space="0" w:color="797979"/>
          <w:left w:val="single" w:sz="8" w:space="0" w:color="797979"/>
          <w:bottom w:val="single" w:sz="8" w:space="0" w:color="797979"/>
          <w:right w:val="single" w:sz="8" w:space="0" w:color="79797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3D3"/>
      </w:tcPr>
    </w:tblStylePr>
    <w:tblStylePr w:type="band1Horz">
      <w:rPr>
        <w:rFonts w:cs="Times New Roman"/>
      </w:rPr>
      <w:tblPr/>
      <w:tcPr>
        <w:tcBorders>
          <w:insideH w:val="nil"/>
          <w:insideV w:val="nil"/>
        </w:tcBorders>
        <w:shd w:val="clear" w:color="auto" w:fill="D3D3D3"/>
      </w:tcPr>
    </w:tblStylePr>
    <w:tblStylePr w:type="band2Horz">
      <w:rPr>
        <w:rFonts w:cs="Times New Roman"/>
      </w:rPr>
      <w:tblPr/>
      <w:tcPr>
        <w:tcBorders>
          <w:insideH w:val="nil"/>
          <w:insideV w:val="nil"/>
        </w:tcBorders>
      </w:tcPr>
    </w:tblStylePr>
  </w:style>
  <w:style w:type="table" w:styleId="MediumShading2">
    <w:name w:val="Medium Shading 2"/>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0072BC"/>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72BC"/>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72BC"/>
      </w:tcPr>
    </w:tblStylePr>
    <w:tblStylePr w:type="lastCol">
      <w:rPr>
        <w:rFonts w:cs="Times New Roman"/>
        <w:b/>
        <w:bCs/>
        <w:color w:val="0072BC"/>
      </w:rPr>
      <w:tblPr/>
      <w:tcPr>
        <w:tcBorders>
          <w:left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C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C00000"/>
      </w:tcPr>
    </w:tblStylePr>
    <w:tblStylePr w:type="lastCol">
      <w:rPr>
        <w:rFonts w:cs="Times New Roman"/>
        <w:b/>
        <w:bCs/>
        <w:color w:val="0072BC"/>
      </w:rPr>
      <w:tblPr/>
      <w:tcPr>
        <w:tcBorders>
          <w:left w:val="nil"/>
          <w:right w:val="nil"/>
          <w:insideH w:val="nil"/>
          <w:insideV w:val="nil"/>
        </w:tcBorders>
        <w:shd w:val="clear" w:color="auto" w:fill="C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96969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969696"/>
      </w:tcPr>
    </w:tblStylePr>
    <w:tblStylePr w:type="lastCol">
      <w:rPr>
        <w:rFonts w:cs="Times New Roman"/>
        <w:b/>
        <w:bCs/>
        <w:color w:val="0072BC"/>
      </w:rPr>
      <w:tblPr/>
      <w:tcPr>
        <w:tcBorders>
          <w:left w:val="nil"/>
          <w:right w:val="nil"/>
          <w:insideH w:val="nil"/>
          <w:insideV w:val="nil"/>
        </w:tcBorders>
        <w:shd w:val="clear" w:color="auto" w:fill="969696"/>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99"/>
    <w:semiHidden/>
    <w:rsid w:val="00DE61E0"/>
    <w:rPr>
      <w:sz w:val="20"/>
      <w:szCs w:val="20"/>
      <w:lang w:val="fr-FR" w:eastAsia="fr-F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4D4D4D"/>
      </w:tcPr>
    </w:tblStylePr>
    <w:tblStylePr w:type="lastCol">
      <w:rPr>
        <w:rFonts w:cs="Times New Roman"/>
        <w:b/>
        <w:bCs/>
        <w:color w:val="0072BC"/>
      </w:rPr>
      <w:tblPr/>
      <w:tcPr>
        <w:tcBorders>
          <w:left w:val="nil"/>
          <w:right w:val="nil"/>
          <w:insideH w:val="nil"/>
          <w:insideV w:val="nil"/>
        </w:tcBorders>
        <w:shd w:val="clear" w:color="auto" w:fill="4D4D4D"/>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rsid w:val="00DE61E0"/>
    <w:pPr>
      <w:pBdr>
        <w:top w:val="single" w:sz="6" w:space="1" w:color="auto"/>
        <w:left w:val="single" w:sz="6" w:space="1" w:color="auto"/>
        <w:bottom w:val="single" w:sz="6" w:space="1" w:color="auto"/>
        <w:right w:val="single" w:sz="6" w:space="1" w:color="auto"/>
      </w:pBdr>
      <w:shd w:val="pct20" w:color="auto" w:fill="auto"/>
      <w:ind w:left="1134" w:hanging="1134"/>
    </w:pPr>
    <w:rPr>
      <w:rFonts w:eastAsia="MS Gothic"/>
      <w:szCs w:val="24"/>
    </w:rPr>
  </w:style>
  <w:style w:type="character" w:customStyle="1" w:styleId="MessageHeaderChar">
    <w:name w:val="Message Header Char"/>
    <w:basedOn w:val="DefaultParagraphFont"/>
    <w:link w:val="MessageHeader"/>
    <w:uiPriority w:val="99"/>
    <w:semiHidden/>
    <w:locked/>
    <w:rsid w:val="00DE61E0"/>
    <w:rPr>
      <w:rFonts w:ascii="Times New Roman" w:eastAsia="MS Gothic" w:hAnsi="Times New Roman" w:cs="Times New Roman"/>
      <w:sz w:val="24"/>
      <w:szCs w:val="24"/>
      <w:shd w:val="pct20" w:color="auto" w:fill="auto"/>
    </w:rPr>
  </w:style>
  <w:style w:type="paragraph" w:styleId="NormalWeb">
    <w:name w:val="Normal (Web)"/>
    <w:basedOn w:val="Normal"/>
    <w:uiPriority w:val="99"/>
    <w:semiHidden/>
    <w:rsid w:val="00DE61E0"/>
    <w:rPr>
      <w:szCs w:val="24"/>
    </w:rPr>
  </w:style>
  <w:style w:type="paragraph" w:styleId="NormalIndent">
    <w:name w:val="Normal Indent"/>
    <w:basedOn w:val="Normal"/>
    <w:uiPriority w:val="99"/>
    <w:semiHidden/>
    <w:rsid w:val="00DE61E0"/>
    <w:pPr>
      <w:ind w:left="720"/>
    </w:pPr>
  </w:style>
  <w:style w:type="paragraph" w:styleId="NoteHeading">
    <w:name w:val="Note Heading"/>
    <w:basedOn w:val="Normal"/>
    <w:next w:val="Normal"/>
    <w:link w:val="NoteHeadingChar"/>
    <w:uiPriority w:val="99"/>
    <w:semiHidden/>
    <w:rsid w:val="00DE61E0"/>
  </w:style>
  <w:style w:type="character" w:customStyle="1" w:styleId="NoteHeadingChar">
    <w:name w:val="Note Heading Char"/>
    <w:basedOn w:val="DefaultParagraphFont"/>
    <w:link w:val="NoteHeading"/>
    <w:uiPriority w:val="99"/>
    <w:semiHidden/>
    <w:locked/>
    <w:rsid w:val="00DE61E0"/>
    <w:rPr>
      <w:rFonts w:eastAsia="MS Mincho" w:cs="Times New Roman"/>
      <w:sz w:val="24"/>
    </w:rPr>
  </w:style>
  <w:style w:type="character" w:styleId="PlaceholderText">
    <w:name w:val="Placeholder Text"/>
    <w:basedOn w:val="DefaultParagraphFont"/>
    <w:uiPriority w:val="99"/>
    <w:semiHidden/>
    <w:rsid w:val="00DE61E0"/>
    <w:rPr>
      <w:rFonts w:cs="Times New Roman"/>
      <w:color w:val="808080"/>
    </w:rPr>
  </w:style>
  <w:style w:type="paragraph" w:styleId="PlainText">
    <w:name w:val="Plain Text"/>
    <w:basedOn w:val="Normal"/>
    <w:link w:val="PlainTextChar"/>
    <w:uiPriority w:val="99"/>
    <w:semiHidden/>
    <w:rsid w:val="00DE61E0"/>
    <w:rPr>
      <w:rFonts w:ascii="Consolas" w:hAnsi="Consolas" w:cs="Consolas"/>
      <w:sz w:val="21"/>
      <w:szCs w:val="21"/>
    </w:rPr>
  </w:style>
  <w:style w:type="character" w:customStyle="1" w:styleId="PlainTextChar">
    <w:name w:val="Plain Text Char"/>
    <w:basedOn w:val="DefaultParagraphFont"/>
    <w:link w:val="PlainText"/>
    <w:uiPriority w:val="99"/>
    <w:semiHidden/>
    <w:locked/>
    <w:rsid w:val="00DE61E0"/>
    <w:rPr>
      <w:rFonts w:ascii="Consolas" w:eastAsia="MS Mincho" w:hAnsi="Consolas" w:cs="Consolas"/>
      <w:sz w:val="21"/>
      <w:szCs w:val="21"/>
    </w:rPr>
  </w:style>
  <w:style w:type="paragraph" w:styleId="Salutation">
    <w:name w:val="Salutation"/>
    <w:basedOn w:val="Normal"/>
    <w:next w:val="Normal"/>
    <w:link w:val="SalutationChar"/>
    <w:uiPriority w:val="99"/>
    <w:semiHidden/>
    <w:rsid w:val="00DE61E0"/>
  </w:style>
  <w:style w:type="character" w:customStyle="1" w:styleId="SalutationChar">
    <w:name w:val="Salutation Char"/>
    <w:basedOn w:val="DefaultParagraphFont"/>
    <w:link w:val="Salutation"/>
    <w:uiPriority w:val="99"/>
    <w:semiHidden/>
    <w:locked/>
    <w:rsid w:val="00DE61E0"/>
    <w:rPr>
      <w:rFonts w:eastAsia="MS Mincho" w:cs="Times New Roman"/>
      <w:sz w:val="24"/>
    </w:rPr>
  </w:style>
  <w:style w:type="paragraph" w:styleId="Signature">
    <w:name w:val="Signature"/>
    <w:basedOn w:val="Normal"/>
    <w:link w:val="SignatureChar"/>
    <w:uiPriority w:val="99"/>
    <w:semiHidden/>
    <w:rsid w:val="00DE61E0"/>
    <w:pPr>
      <w:ind w:left="4252"/>
    </w:pPr>
  </w:style>
  <w:style w:type="character" w:customStyle="1" w:styleId="SignatureChar">
    <w:name w:val="Signature Char"/>
    <w:basedOn w:val="DefaultParagraphFont"/>
    <w:link w:val="Signature"/>
    <w:uiPriority w:val="99"/>
    <w:semiHidden/>
    <w:locked/>
    <w:rsid w:val="00DE61E0"/>
    <w:rPr>
      <w:rFonts w:eastAsia="MS Mincho" w:cs="Times New Roman"/>
      <w:sz w:val="24"/>
    </w:rPr>
  </w:style>
  <w:style w:type="table" w:styleId="Table3Deffects1">
    <w:name w:val="Table 3D effects 1"/>
    <w:basedOn w:val="TableNormal"/>
    <w:uiPriority w:val="99"/>
    <w:semiHidden/>
    <w:rsid w:val="00DE61E0"/>
    <w:pPr>
      <w:suppressAutoHyphens/>
    </w:pPr>
    <w:rPr>
      <w:sz w:val="20"/>
      <w:szCs w:val="20"/>
      <w:lang w:val="fr-FR" w:eastAsia="fr-FR"/>
    </w:rPr>
    <w:tblPr>
      <w:tblInd w:w="0" w:type="dxa"/>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DE61E0"/>
    <w:pPr>
      <w:suppressAutoHyphens/>
    </w:pPr>
    <w:rPr>
      <w:sz w:val="20"/>
      <w:szCs w:val="20"/>
      <w:lang w:val="fr-FR" w:eastAsia="fr-FR"/>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DE61E0"/>
    <w:pPr>
      <w:suppressAutoHyphens/>
    </w:pPr>
    <w:rPr>
      <w:sz w:val="20"/>
      <w:szCs w:val="20"/>
      <w:lang w:val="fr-FR" w:eastAsia="fr-FR"/>
    </w:r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DE61E0"/>
    <w:pPr>
      <w:suppressAutoHyphens/>
    </w:pPr>
    <w:rPr>
      <w:sz w:val="20"/>
      <w:szCs w:val="20"/>
      <w:lang w:val="fr-FR" w:eastAsia="fr-FR"/>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DE61E0"/>
    <w:pPr>
      <w:suppressAutoHyphens/>
    </w:pPr>
    <w:rPr>
      <w:sz w:val="20"/>
      <w:szCs w:val="20"/>
      <w:lang w:val="fr-FR" w:eastAsia="fr-FR"/>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DE61E0"/>
    <w:pPr>
      <w:suppressAutoHyphens/>
    </w:pPr>
    <w:rPr>
      <w:color w:val="000080"/>
      <w:sz w:val="20"/>
      <w:szCs w:val="20"/>
      <w:lang w:val="fr-FR" w:eastAsia="fr-FR"/>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DE61E0"/>
    <w:pPr>
      <w:suppressAutoHyphens/>
    </w:pPr>
    <w:rPr>
      <w:sz w:val="20"/>
      <w:szCs w:val="20"/>
      <w:lang w:val="fr-FR" w:eastAsia="fr-FR"/>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DE61E0"/>
    <w:pPr>
      <w:suppressAutoHyphens/>
    </w:pPr>
    <w:rPr>
      <w:color w:val="FFFFFF"/>
      <w:sz w:val="20"/>
      <w:szCs w:val="20"/>
      <w:lang w:val="fr-FR" w:eastAsia="fr-FR"/>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DE61E0"/>
    <w:pPr>
      <w:suppressAutoHyphens/>
    </w:pPr>
    <w:rPr>
      <w:sz w:val="20"/>
      <w:szCs w:val="20"/>
      <w:lang w:val="fr-FR" w:eastAsia="fr-FR"/>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DE61E0"/>
    <w:pPr>
      <w:suppressAutoHyphens/>
    </w:pPr>
    <w:rPr>
      <w:sz w:val="20"/>
      <w:szCs w:val="20"/>
      <w:lang w:val="fr-FR" w:eastAsia="fr-FR"/>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DE61E0"/>
    <w:pPr>
      <w:suppressAutoHyphens/>
    </w:pPr>
    <w:rPr>
      <w:b/>
      <w:bCs/>
      <w:sz w:val="20"/>
      <w:szCs w:val="20"/>
      <w:lang w:val="fr-FR" w:eastAsia="fr-FR"/>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DE61E0"/>
    <w:pPr>
      <w:suppressAutoHyphens/>
    </w:pPr>
    <w:rPr>
      <w:b/>
      <w:bCs/>
      <w:sz w:val="20"/>
      <w:szCs w:val="20"/>
      <w:lang w:val="fr-FR" w:eastAsia="fr-FR"/>
    </w:rPr>
    <w:tblPr>
      <w:tblStyleColBandSize w:val="1"/>
      <w:tblInd w:w="0" w:type="dxa"/>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DE61E0"/>
    <w:pPr>
      <w:suppressAutoHyphens/>
    </w:pPr>
    <w:rPr>
      <w:b/>
      <w:bCs/>
      <w:sz w:val="20"/>
      <w:szCs w:val="20"/>
      <w:lang w:val="fr-FR" w:eastAsia="fr-FR"/>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DE61E0"/>
    <w:pPr>
      <w:suppressAutoHyphens/>
    </w:pPr>
    <w:rPr>
      <w:sz w:val="20"/>
      <w:szCs w:val="20"/>
      <w:lang w:val="fr-FR" w:eastAsia="fr-FR"/>
    </w:rPr>
    <w:tblPr>
      <w:tblStyleColBandSize w:val="1"/>
      <w:tblInd w:w="0" w:type="dxa"/>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DE61E0"/>
    <w:pPr>
      <w:suppressAutoHyphens/>
    </w:pPr>
    <w:rPr>
      <w:sz w:val="20"/>
      <w:szCs w:val="20"/>
      <w:lang w:val="fr-FR" w:eastAsia="fr-FR"/>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DE61E0"/>
    <w:pPr>
      <w:suppressAutoHyphens/>
    </w:pPr>
    <w:rPr>
      <w:sz w:val="20"/>
      <w:szCs w:val="20"/>
      <w:lang w:val="fr-FR" w:eastAsia="fr-FR"/>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DE61E0"/>
    <w:pPr>
      <w:suppressAutoHyphens/>
    </w:pPr>
    <w:rPr>
      <w:sz w:val="20"/>
      <w:szCs w:val="20"/>
      <w:lang w:val="fr-FR" w:eastAsia="fr-FR"/>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rsid w:val="00DE61E0"/>
    <w:pPr>
      <w:suppressAutoHyphens/>
    </w:pPr>
    <w:rPr>
      <w:sz w:val="20"/>
      <w:szCs w:val="20"/>
      <w:lang w:val="fr-FR" w:eastAsia="fr-FR"/>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DE61E0"/>
    <w:pPr>
      <w:suppressAutoHyphens/>
    </w:pPr>
    <w:rPr>
      <w:sz w:val="20"/>
      <w:szCs w:val="20"/>
      <w:lang w:val="fr-FR" w:eastAsia="fr-FR"/>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DE61E0"/>
    <w:pPr>
      <w:suppressAutoHyphens/>
    </w:pPr>
    <w:rPr>
      <w:sz w:val="20"/>
      <w:szCs w:val="20"/>
      <w:lang w:val="fr-FR" w:eastAsia="fr-FR"/>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DE61E0"/>
    <w:pPr>
      <w:suppressAutoHyphens/>
    </w:pPr>
    <w:rPr>
      <w:sz w:val="20"/>
      <w:szCs w:val="20"/>
      <w:lang w:val="fr-FR" w:eastAsia="fr-FR"/>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DE61E0"/>
    <w:pPr>
      <w:suppressAutoHyphens/>
    </w:pPr>
    <w:rPr>
      <w:sz w:val="20"/>
      <w:szCs w:val="20"/>
      <w:lang w:val="fr-FR" w:eastAsia="fr-FR"/>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DE61E0"/>
    <w:pPr>
      <w:suppressAutoHyphens/>
    </w:pPr>
    <w:rPr>
      <w:sz w:val="20"/>
      <w:szCs w:val="20"/>
      <w:lang w:val="fr-FR" w:eastAsia="fr-FR"/>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DE61E0"/>
    <w:pPr>
      <w:suppressAutoHyphens/>
    </w:pPr>
    <w:rPr>
      <w:b/>
      <w:bCs/>
      <w:sz w:val="20"/>
      <w:szCs w:val="20"/>
      <w:lang w:val="fr-FR" w:eastAsia="fr-FR"/>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DE61E0"/>
    <w:pPr>
      <w:suppressAutoHyphens/>
    </w:pPr>
    <w:rPr>
      <w:sz w:val="20"/>
      <w:szCs w:val="20"/>
      <w:lang w:val="fr-FR" w:eastAsia="fr-FR"/>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DE61E0"/>
    <w:pPr>
      <w:suppressAutoHyphens/>
    </w:pPr>
    <w:rPr>
      <w:sz w:val="20"/>
      <w:szCs w:val="20"/>
      <w:lang w:val="fr-FR" w:eastAsia="fr-FR"/>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DE61E0"/>
    <w:pPr>
      <w:suppressAutoHyphens/>
    </w:pPr>
    <w:rPr>
      <w:sz w:val="20"/>
      <w:szCs w:val="20"/>
      <w:lang w:val="fr-FR" w:eastAsia="fr-FR"/>
    </w:rPr>
    <w:tblPr>
      <w:tblStyleRowBandSize w:val="2"/>
      <w:tblInd w:w="0" w:type="dxa"/>
      <w:tblBorders>
        <w:bottom w:val="single" w:sz="12" w:space="0" w:color="808080"/>
      </w:tblBorders>
      <w:tblCellMar>
        <w:top w:w="0" w:type="dxa"/>
        <w:left w:w="108" w:type="dxa"/>
        <w:bottom w:w="0" w:type="dxa"/>
        <w:right w:w="108" w:type="dxa"/>
      </w:tblCellMar>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DE61E0"/>
    <w:pPr>
      <w:suppressAutoHyphens/>
    </w:pPr>
    <w:rPr>
      <w:sz w:val="20"/>
      <w:szCs w:val="20"/>
      <w:lang w:val="fr-FR" w:eastAsia="fr-FR"/>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DE61E0"/>
    <w:pPr>
      <w:suppressAutoHyphens/>
    </w:pPr>
    <w:rPr>
      <w:sz w:val="20"/>
      <w:szCs w:val="20"/>
      <w:lang w:val="fr-FR" w:eastAsia="fr-FR"/>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DE61E0"/>
    <w:pPr>
      <w:suppressAutoHyphens/>
    </w:pPr>
    <w:rPr>
      <w:sz w:val="20"/>
      <w:szCs w:val="20"/>
      <w:lang w:val="fr-FR" w:eastAsia="fr-FR"/>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DE61E0"/>
    <w:pPr>
      <w:suppressAutoHyphens/>
    </w:pPr>
    <w:rPr>
      <w:sz w:val="20"/>
      <w:szCs w:val="20"/>
      <w:lang w:val="fr-FR" w:eastAsia="fr-FR"/>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DE61E0"/>
    <w:pPr>
      <w:suppressAutoHyphens/>
    </w:pPr>
    <w:rPr>
      <w:sz w:val="20"/>
      <w:szCs w:val="20"/>
      <w:lang w:val="fr-FR" w:eastAsia="fr-FR"/>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DE61E0"/>
    <w:pPr>
      <w:suppressAutoHyphens/>
    </w:pPr>
    <w:rPr>
      <w:sz w:val="20"/>
      <w:szCs w:val="20"/>
      <w:lang w:val="fr-FR" w:eastAsia="fr-FR"/>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rsid w:val="00DE61E0"/>
    <w:pPr>
      <w:ind w:left="240" w:hanging="240"/>
    </w:pPr>
  </w:style>
  <w:style w:type="paragraph" w:styleId="TableofFigures">
    <w:name w:val="table of figures"/>
    <w:basedOn w:val="Normal"/>
    <w:next w:val="Normal"/>
    <w:uiPriority w:val="99"/>
    <w:semiHidden/>
    <w:rsid w:val="00DE61E0"/>
  </w:style>
  <w:style w:type="table" w:styleId="TableProfessional">
    <w:name w:val="Table Professional"/>
    <w:basedOn w:val="TableNormal"/>
    <w:uiPriority w:val="99"/>
    <w:semiHidden/>
    <w:rsid w:val="00DE61E0"/>
    <w:pPr>
      <w:suppressAutoHyphens/>
    </w:pPr>
    <w:rPr>
      <w:sz w:val="20"/>
      <w:szCs w:val="20"/>
      <w:lang w:val="fr-FR" w:eastAsia="fr-FR"/>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DE61E0"/>
    <w:pPr>
      <w:suppressAutoHyphens/>
    </w:pPr>
    <w:rPr>
      <w:sz w:val="20"/>
      <w:szCs w:val="20"/>
      <w:lang w:val="fr-FR" w:eastAsia="fr-FR"/>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DE61E0"/>
    <w:pPr>
      <w:suppressAutoHyphens/>
    </w:pPr>
    <w:rPr>
      <w:sz w:val="20"/>
      <w:szCs w:val="20"/>
      <w:lang w:val="fr-FR" w:eastAsia="fr-FR"/>
    </w:r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DE61E0"/>
    <w:pPr>
      <w:suppressAutoHyphens/>
    </w:pPr>
    <w:rPr>
      <w:sz w:val="20"/>
      <w:szCs w:val="20"/>
      <w:lang w:val="fr-FR" w:eastAsia="fr-FR"/>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DE61E0"/>
    <w:pPr>
      <w:suppressAutoHyphens/>
    </w:pPr>
    <w:rPr>
      <w:sz w:val="20"/>
      <w:szCs w:val="20"/>
      <w:lang w:val="fr-FR" w:eastAsia="fr-FR"/>
    </w:rPr>
    <w:tblPr>
      <w:tblStyleRowBandSize w:val="1"/>
      <w:tblInd w:w="0" w:type="dxa"/>
      <w:tblCellMar>
        <w:top w:w="0" w:type="dxa"/>
        <w:left w:w="108" w:type="dxa"/>
        <w:bottom w:w="0" w:type="dxa"/>
        <w:right w:w="108" w:type="dxa"/>
      </w:tblCellMar>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DE61E0"/>
    <w:pPr>
      <w:suppressAutoHyphens/>
    </w:pPr>
    <w:rPr>
      <w:sz w:val="20"/>
      <w:szCs w:val="20"/>
      <w:lang w:val="fr-FR" w:eastAsia="fr-FR"/>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DE61E0"/>
    <w:pPr>
      <w:suppressAutoHyphens/>
    </w:pPr>
    <w:rPr>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rsid w:val="00DE61E0"/>
    <w:pPr>
      <w:suppressAutoHyphens/>
    </w:pPr>
    <w:rPr>
      <w:sz w:val="20"/>
      <w:szCs w:val="20"/>
      <w:lang w:val="fr-FR" w:eastAsia="fr-FR"/>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DE61E0"/>
    <w:pPr>
      <w:suppressAutoHyphens/>
    </w:pPr>
    <w:rPr>
      <w:sz w:val="20"/>
      <w:szCs w:val="20"/>
      <w:lang w:val="fr-FR" w:eastAsia="fr-FR"/>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DE61E0"/>
    <w:pPr>
      <w:suppressAutoHyphens/>
    </w:pPr>
    <w:rPr>
      <w:sz w:val="20"/>
      <w:szCs w:val="20"/>
      <w:lang w:val="fr-FR" w:eastAsia="fr-FR"/>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6">
    <w:name w:val="toc 6"/>
    <w:basedOn w:val="Normal"/>
    <w:next w:val="Normal"/>
    <w:autoRedefine/>
    <w:uiPriority w:val="99"/>
    <w:semiHidden/>
    <w:rsid w:val="00DE61E0"/>
    <w:pPr>
      <w:spacing w:after="100"/>
      <w:ind w:left="1200"/>
    </w:pPr>
  </w:style>
  <w:style w:type="paragraph" w:styleId="TOC7">
    <w:name w:val="toc 7"/>
    <w:basedOn w:val="Normal"/>
    <w:next w:val="Normal"/>
    <w:autoRedefine/>
    <w:uiPriority w:val="99"/>
    <w:semiHidden/>
    <w:rsid w:val="00DE61E0"/>
    <w:pPr>
      <w:spacing w:after="100"/>
      <w:ind w:left="1440"/>
    </w:pPr>
  </w:style>
  <w:style w:type="paragraph" w:styleId="TOC8">
    <w:name w:val="toc 8"/>
    <w:basedOn w:val="Normal"/>
    <w:next w:val="Normal"/>
    <w:autoRedefine/>
    <w:uiPriority w:val="99"/>
    <w:semiHidden/>
    <w:rsid w:val="00DE61E0"/>
    <w:pPr>
      <w:spacing w:after="100"/>
      <w:ind w:left="1680"/>
    </w:pPr>
  </w:style>
  <w:style w:type="paragraph" w:styleId="TOC9">
    <w:name w:val="toc 9"/>
    <w:basedOn w:val="Normal"/>
    <w:next w:val="Normal"/>
    <w:autoRedefine/>
    <w:uiPriority w:val="99"/>
    <w:semiHidden/>
    <w:rsid w:val="00DE61E0"/>
    <w:pPr>
      <w:spacing w:after="100"/>
      <w:ind w:left="1920"/>
    </w:pPr>
  </w:style>
  <w:style w:type="paragraph" w:customStyle="1" w:styleId="DecHTitle">
    <w:name w:val="Dec_H_Title"/>
    <w:basedOn w:val="ECHRTitleCentre1"/>
    <w:uiPriority w:val="99"/>
    <w:rsid w:val="009E0FDA"/>
  </w:style>
  <w:style w:type="paragraph" w:customStyle="1" w:styleId="JuCourt">
    <w:name w:val="Ju_Court"/>
    <w:basedOn w:val="Normal"/>
    <w:next w:val="Normal"/>
    <w:uiPriority w:val="99"/>
    <w:rsid w:val="009E0FDA"/>
    <w:pPr>
      <w:tabs>
        <w:tab w:val="left" w:pos="907"/>
        <w:tab w:val="left" w:pos="1701"/>
        <w:tab w:val="right" w:pos="7371"/>
      </w:tabs>
      <w:spacing w:before="240"/>
      <w:ind w:left="397" w:hanging="397"/>
      <w:jc w:val="left"/>
    </w:pPr>
  </w:style>
  <w:style w:type="paragraph" w:customStyle="1" w:styleId="DecList">
    <w:name w:val="Dec_List"/>
    <w:basedOn w:val="Normal"/>
    <w:uiPriority w:val="99"/>
    <w:rsid w:val="009E0FDA"/>
    <w:pPr>
      <w:spacing w:before="240"/>
      <w:ind w:left="284"/>
    </w:pPr>
  </w:style>
  <w:style w:type="paragraph" w:customStyle="1" w:styleId="OpiH1">
    <w:name w:val="Opi_H_1"/>
    <w:basedOn w:val="ECHRHeading2"/>
    <w:uiPriority w:val="99"/>
    <w:semiHidden/>
    <w:rsid w:val="009E0FDA"/>
    <w:pPr>
      <w:ind w:left="635" w:hanging="357"/>
      <w:outlineLvl w:val="2"/>
    </w:pPr>
  </w:style>
  <w:style w:type="paragraph" w:customStyle="1" w:styleId="OpiHa0">
    <w:name w:val="Opi_H_a"/>
    <w:basedOn w:val="ECHRHeading3"/>
    <w:uiPriority w:val="99"/>
    <w:semiHidden/>
    <w:rsid w:val="009E0FDA"/>
    <w:pPr>
      <w:ind w:left="833" w:hanging="357"/>
      <w:outlineLvl w:val="3"/>
    </w:pPr>
    <w:rPr>
      <w:b/>
      <w:i w:val="0"/>
      <w:sz w:val="20"/>
    </w:rPr>
  </w:style>
  <w:style w:type="paragraph" w:customStyle="1" w:styleId="OpiHi">
    <w:name w:val="Opi_H_i"/>
    <w:basedOn w:val="ECHRHeading4"/>
    <w:uiPriority w:val="99"/>
    <w:semiHidden/>
    <w:rsid w:val="009E0FDA"/>
    <w:pPr>
      <w:ind w:left="1037" w:hanging="357"/>
      <w:outlineLvl w:val="4"/>
    </w:pPr>
    <w:rPr>
      <w:b w:val="0"/>
      <w:i/>
    </w:rPr>
  </w:style>
  <w:style w:type="paragraph" w:customStyle="1" w:styleId="DummyStyle">
    <w:name w:val="Dummy_Style"/>
    <w:basedOn w:val="Normal"/>
    <w:uiPriority w:val="99"/>
    <w:semiHidden/>
    <w:rsid w:val="009E0FDA"/>
    <w:rPr>
      <w:color w:val="00B050"/>
    </w:rPr>
  </w:style>
  <w:style w:type="character" w:customStyle="1" w:styleId="ECHRParaChar">
    <w:name w:val="ECHR_Para Char"/>
    <w:aliases w:val="Ju_Para Char"/>
    <w:basedOn w:val="DefaultParagraphFont"/>
    <w:link w:val="ECHRPara"/>
    <w:uiPriority w:val="99"/>
    <w:locked/>
    <w:rsid w:val="00885189"/>
    <w:rPr>
      <w:rFonts w:eastAsia="MS Mincho" w:cs="Times New Roman"/>
      <w:sz w:val="24"/>
    </w:rPr>
  </w:style>
  <w:style w:type="character" w:customStyle="1" w:styleId="JuListChar">
    <w:name w:val="Ju_List Char"/>
    <w:basedOn w:val="DefaultParagraphFont"/>
    <w:link w:val="JuList"/>
    <w:uiPriority w:val="99"/>
    <w:locked/>
    <w:rsid w:val="00D02CD5"/>
    <w:rPr>
      <w:rFonts w:eastAsia="MS Mincho" w:cs="Times New Roman"/>
      <w:sz w:val="24"/>
    </w:rPr>
  </w:style>
  <w:style w:type="character" w:customStyle="1" w:styleId="JuHaChar">
    <w:name w:val="Ju_H_a Char"/>
    <w:basedOn w:val="DefaultParagraphFont"/>
    <w:link w:val="ECHRHeading4"/>
    <w:uiPriority w:val="99"/>
    <w:locked/>
    <w:rsid w:val="00CF3515"/>
    <w:rPr>
      <w:rFonts w:ascii="Times New Roman" w:eastAsia="MS Gothic" w:hAnsi="Times New Roman" w:cs="Times New Roman"/>
      <w:b/>
      <w:bCs/>
      <w:iCs/>
      <w:sz w:val="20"/>
    </w:rPr>
  </w:style>
  <w:style w:type="character" w:customStyle="1" w:styleId="JuQuotChar">
    <w:name w:val="Ju_Quot Char"/>
    <w:basedOn w:val="ECHRParaChar"/>
    <w:link w:val="ECHRParaQuote"/>
    <w:uiPriority w:val="99"/>
    <w:locked/>
    <w:rsid w:val="00BC6A35"/>
    <w:rPr>
      <w:sz w:val="20"/>
    </w:rPr>
  </w:style>
  <w:style w:type="character" w:customStyle="1" w:styleId="JuHIRomanChar">
    <w:name w:val="Ju_H_I_Roman Char"/>
    <w:basedOn w:val="DefaultParagraphFont"/>
    <w:link w:val="ECHRHeading1"/>
    <w:uiPriority w:val="99"/>
    <w:locked/>
    <w:rsid w:val="005D6E66"/>
    <w:rPr>
      <w:rFonts w:ascii="Times New Roman" w:eastAsia="MS Gothic" w:hAnsi="Times New Roman" w:cs="Times New Roman"/>
      <w:bCs/>
      <w:sz w:val="28"/>
      <w:szCs w:val="28"/>
    </w:rPr>
  </w:style>
  <w:style w:type="numbering" w:styleId="111111">
    <w:name w:val="Outline List 2"/>
    <w:basedOn w:val="NoList"/>
    <w:uiPriority w:val="99"/>
    <w:semiHidden/>
    <w:unhideWhenUsed/>
    <w:locked/>
    <w:rsid w:val="00DB7B3F"/>
    <w:pPr>
      <w:numPr>
        <w:numId w:val="41"/>
      </w:numPr>
    </w:pPr>
  </w:style>
  <w:style w:type="numbering" w:styleId="1ai">
    <w:name w:val="Outline List 1"/>
    <w:basedOn w:val="NoList"/>
    <w:uiPriority w:val="99"/>
    <w:semiHidden/>
    <w:unhideWhenUsed/>
    <w:locked/>
    <w:rsid w:val="00DB7B3F"/>
    <w:pPr>
      <w:numPr>
        <w:numId w:val="42"/>
      </w:numPr>
    </w:pPr>
  </w:style>
  <w:style w:type="numbering" w:styleId="ArticleSection">
    <w:name w:val="Outline List 3"/>
    <w:basedOn w:val="NoList"/>
    <w:uiPriority w:val="99"/>
    <w:semiHidden/>
    <w:unhideWhenUsed/>
    <w:locked/>
    <w:rsid w:val="00DB7B3F"/>
    <w:pPr>
      <w:numPr>
        <w:numId w:val="43"/>
      </w:numPr>
    </w:pPr>
  </w:style>
</w:styles>
</file>

<file path=word/webSettings.xml><?xml version="1.0" encoding="utf-8"?>
<w:webSettings xmlns:r="http://schemas.openxmlformats.org/officeDocument/2006/relationships" xmlns:w="http://schemas.openxmlformats.org/wordprocessingml/2006/main">
  <w:divs>
    <w:div w:id="1643390250">
      <w:marLeft w:val="0"/>
      <w:marRight w:val="0"/>
      <w:marTop w:val="0"/>
      <w:marBottom w:val="0"/>
      <w:divBdr>
        <w:top w:val="none" w:sz="0" w:space="0" w:color="auto"/>
        <w:left w:val="none" w:sz="0" w:space="0" w:color="auto"/>
        <w:bottom w:val="none" w:sz="0" w:space="0" w:color="auto"/>
        <w:right w:val="none" w:sz="0" w:space="0" w:color="auto"/>
      </w:divBdr>
      <w:divsChild>
        <w:div w:id="1643390314">
          <w:marLeft w:val="0"/>
          <w:marRight w:val="0"/>
          <w:marTop w:val="0"/>
          <w:marBottom w:val="0"/>
          <w:divBdr>
            <w:top w:val="none" w:sz="0" w:space="0" w:color="auto"/>
            <w:left w:val="none" w:sz="0" w:space="0" w:color="auto"/>
            <w:bottom w:val="none" w:sz="0" w:space="0" w:color="auto"/>
            <w:right w:val="none" w:sz="0" w:space="0" w:color="auto"/>
          </w:divBdr>
          <w:divsChild>
            <w:div w:id="1643390414">
              <w:marLeft w:val="0"/>
              <w:marRight w:val="0"/>
              <w:marTop w:val="0"/>
              <w:marBottom w:val="0"/>
              <w:divBdr>
                <w:top w:val="none" w:sz="0" w:space="0" w:color="auto"/>
                <w:left w:val="none" w:sz="0" w:space="0" w:color="auto"/>
                <w:bottom w:val="none" w:sz="0" w:space="0" w:color="auto"/>
                <w:right w:val="none" w:sz="0" w:space="0" w:color="auto"/>
              </w:divBdr>
              <w:divsChild>
                <w:div w:id="1643390277">
                  <w:marLeft w:val="0"/>
                  <w:marRight w:val="0"/>
                  <w:marTop w:val="0"/>
                  <w:marBottom w:val="0"/>
                  <w:divBdr>
                    <w:top w:val="none" w:sz="0" w:space="0" w:color="auto"/>
                    <w:left w:val="none" w:sz="0" w:space="0" w:color="auto"/>
                    <w:bottom w:val="none" w:sz="0" w:space="0" w:color="auto"/>
                    <w:right w:val="none" w:sz="0" w:space="0" w:color="auto"/>
                  </w:divBdr>
                  <w:divsChild>
                    <w:div w:id="1643390419">
                      <w:marLeft w:val="0"/>
                      <w:marRight w:val="0"/>
                      <w:marTop w:val="0"/>
                      <w:marBottom w:val="0"/>
                      <w:divBdr>
                        <w:top w:val="none" w:sz="0" w:space="0" w:color="auto"/>
                        <w:left w:val="none" w:sz="0" w:space="0" w:color="auto"/>
                        <w:bottom w:val="none" w:sz="0" w:space="0" w:color="auto"/>
                        <w:right w:val="none" w:sz="0" w:space="0" w:color="auto"/>
                      </w:divBdr>
                      <w:divsChild>
                        <w:div w:id="1643390336">
                          <w:marLeft w:val="0"/>
                          <w:marRight w:val="0"/>
                          <w:marTop w:val="0"/>
                          <w:marBottom w:val="0"/>
                          <w:divBdr>
                            <w:top w:val="none" w:sz="0" w:space="0" w:color="auto"/>
                            <w:left w:val="none" w:sz="0" w:space="0" w:color="auto"/>
                            <w:bottom w:val="none" w:sz="0" w:space="0" w:color="auto"/>
                            <w:right w:val="none" w:sz="0" w:space="0" w:color="auto"/>
                          </w:divBdr>
                          <w:divsChild>
                            <w:div w:id="164339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262">
      <w:marLeft w:val="0"/>
      <w:marRight w:val="0"/>
      <w:marTop w:val="0"/>
      <w:marBottom w:val="0"/>
      <w:divBdr>
        <w:top w:val="none" w:sz="0" w:space="0" w:color="auto"/>
        <w:left w:val="none" w:sz="0" w:space="0" w:color="auto"/>
        <w:bottom w:val="none" w:sz="0" w:space="0" w:color="auto"/>
        <w:right w:val="none" w:sz="0" w:space="0" w:color="auto"/>
      </w:divBdr>
    </w:div>
    <w:div w:id="1643390264">
      <w:marLeft w:val="0"/>
      <w:marRight w:val="0"/>
      <w:marTop w:val="0"/>
      <w:marBottom w:val="0"/>
      <w:divBdr>
        <w:top w:val="none" w:sz="0" w:space="0" w:color="auto"/>
        <w:left w:val="none" w:sz="0" w:space="0" w:color="auto"/>
        <w:bottom w:val="none" w:sz="0" w:space="0" w:color="auto"/>
        <w:right w:val="none" w:sz="0" w:space="0" w:color="auto"/>
      </w:divBdr>
      <w:divsChild>
        <w:div w:id="1643390254">
          <w:marLeft w:val="0"/>
          <w:marRight w:val="0"/>
          <w:marTop w:val="0"/>
          <w:marBottom w:val="0"/>
          <w:divBdr>
            <w:top w:val="none" w:sz="0" w:space="0" w:color="auto"/>
            <w:left w:val="none" w:sz="0" w:space="0" w:color="auto"/>
            <w:bottom w:val="none" w:sz="0" w:space="0" w:color="auto"/>
            <w:right w:val="none" w:sz="0" w:space="0" w:color="auto"/>
          </w:divBdr>
          <w:divsChild>
            <w:div w:id="1643390390">
              <w:marLeft w:val="0"/>
              <w:marRight w:val="0"/>
              <w:marTop w:val="0"/>
              <w:marBottom w:val="0"/>
              <w:divBdr>
                <w:top w:val="none" w:sz="0" w:space="0" w:color="auto"/>
                <w:left w:val="none" w:sz="0" w:space="0" w:color="auto"/>
                <w:bottom w:val="none" w:sz="0" w:space="0" w:color="auto"/>
                <w:right w:val="none" w:sz="0" w:space="0" w:color="auto"/>
              </w:divBdr>
              <w:divsChild>
                <w:div w:id="1643390273">
                  <w:marLeft w:val="0"/>
                  <w:marRight w:val="0"/>
                  <w:marTop w:val="0"/>
                  <w:marBottom w:val="0"/>
                  <w:divBdr>
                    <w:top w:val="none" w:sz="0" w:space="0" w:color="auto"/>
                    <w:left w:val="none" w:sz="0" w:space="0" w:color="auto"/>
                    <w:bottom w:val="none" w:sz="0" w:space="0" w:color="auto"/>
                    <w:right w:val="none" w:sz="0" w:space="0" w:color="auto"/>
                  </w:divBdr>
                  <w:divsChild>
                    <w:div w:id="1643390267">
                      <w:marLeft w:val="0"/>
                      <w:marRight w:val="0"/>
                      <w:marTop w:val="0"/>
                      <w:marBottom w:val="0"/>
                      <w:divBdr>
                        <w:top w:val="none" w:sz="0" w:space="0" w:color="auto"/>
                        <w:left w:val="none" w:sz="0" w:space="0" w:color="auto"/>
                        <w:bottom w:val="none" w:sz="0" w:space="0" w:color="auto"/>
                        <w:right w:val="none" w:sz="0" w:space="0" w:color="auto"/>
                      </w:divBdr>
                      <w:divsChild>
                        <w:div w:id="1643390386">
                          <w:marLeft w:val="0"/>
                          <w:marRight w:val="0"/>
                          <w:marTop w:val="0"/>
                          <w:marBottom w:val="0"/>
                          <w:divBdr>
                            <w:top w:val="none" w:sz="0" w:space="0" w:color="auto"/>
                            <w:left w:val="none" w:sz="0" w:space="0" w:color="auto"/>
                            <w:bottom w:val="none" w:sz="0" w:space="0" w:color="auto"/>
                            <w:right w:val="none" w:sz="0" w:space="0" w:color="auto"/>
                          </w:divBdr>
                          <w:divsChild>
                            <w:div w:id="164339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268">
      <w:marLeft w:val="0"/>
      <w:marRight w:val="0"/>
      <w:marTop w:val="0"/>
      <w:marBottom w:val="0"/>
      <w:divBdr>
        <w:top w:val="none" w:sz="0" w:space="0" w:color="auto"/>
        <w:left w:val="none" w:sz="0" w:space="0" w:color="auto"/>
        <w:bottom w:val="none" w:sz="0" w:space="0" w:color="auto"/>
        <w:right w:val="none" w:sz="0" w:space="0" w:color="auto"/>
      </w:divBdr>
      <w:divsChild>
        <w:div w:id="1643390384">
          <w:marLeft w:val="0"/>
          <w:marRight w:val="0"/>
          <w:marTop w:val="0"/>
          <w:marBottom w:val="0"/>
          <w:divBdr>
            <w:top w:val="none" w:sz="0" w:space="0" w:color="auto"/>
            <w:left w:val="none" w:sz="0" w:space="0" w:color="auto"/>
            <w:bottom w:val="none" w:sz="0" w:space="0" w:color="auto"/>
            <w:right w:val="none" w:sz="0" w:space="0" w:color="auto"/>
          </w:divBdr>
          <w:divsChild>
            <w:div w:id="1643390303">
              <w:marLeft w:val="0"/>
              <w:marRight w:val="0"/>
              <w:marTop w:val="0"/>
              <w:marBottom w:val="0"/>
              <w:divBdr>
                <w:top w:val="none" w:sz="0" w:space="0" w:color="auto"/>
                <w:left w:val="none" w:sz="0" w:space="0" w:color="auto"/>
                <w:bottom w:val="none" w:sz="0" w:space="0" w:color="auto"/>
                <w:right w:val="none" w:sz="0" w:space="0" w:color="auto"/>
              </w:divBdr>
              <w:divsChild>
                <w:div w:id="1643390327">
                  <w:marLeft w:val="0"/>
                  <w:marRight w:val="0"/>
                  <w:marTop w:val="0"/>
                  <w:marBottom w:val="0"/>
                  <w:divBdr>
                    <w:top w:val="none" w:sz="0" w:space="0" w:color="auto"/>
                    <w:left w:val="none" w:sz="0" w:space="0" w:color="auto"/>
                    <w:bottom w:val="none" w:sz="0" w:space="0" w:color="auto"/>
                    <w:right w:val="none" w:sz="0" w:space="0" w:color="auto"/>
                  </w:divBdr>
                  <w:divsChild>
                    <w:div w:id="1643390255">
                      <w:marLeft w:val="0"/>
                      <w:marRight w:val="0"/>
                      <w:marTop w:val="0"/>
                      <w:marBottom w:val="0"/>
                      <w:divBdr>
                        <w:top w:val="none" w:sz="0" w:space="0" w:color="auto"/>
                        <w:left w:val="none" w:sz="0" w:space="0" w:color="auto"/>
                        <w:bottom w:val="none" w:sz="0" w:space="0" w:color="auto"/>
                        <w:right w:val="none" w:sz="0" w:space="0" w:color="auto"/>
                      </w:divBdr>
                      <w:divsChild>
                        <w:div w:id="1643390284">
                          <w:marLeft w:val="0"/>
                          <w:marRight w:val="0"/>
                          <w:marTop w:val="0"/>
                          <w:marBottom w:val="0"/>
                          <w:divBdr>
                            <w:top w:val="none" w:sz="0" w:space="0" w:color="auto"/>
                            <w:left w:val="none" w:sz="0" w:space="0" w:color="auto"/>
                            <w:bottom w:val="none" w:sz="0" w:space="0" w:color="auto"/>
                            <w:right w:val="none" w:sz="0" w:space="0" w:color="auto"/>
                          </w:divBdr>
                        </w:div>
                        <w:div w:id="164339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390293">
      <w:marLeft w:val="0"/>
      <w:marRight w:val="0"/>
      <w:marTop w:val="0"/>
      <w:marBottom w:val="0"/>
      <w:divBdr>
        <w:top w:val="none" w:sz="0" w:space="0" w:color="auto"/>
        <w:left w:val="none" w:sz="0" w:space="0" w:color="auto"/>
        <w:bottom w:val="none" w:sz="0" w:space="0" w:color="auto"/>
        <w:right w:val="none" w:sz="0" w:space="0" w:color="auto"/>
      </w:divBdr>
      <w:divsChild>
        <w:div w:id="1643390308">
          <w:marLeft w:val="0"/>
          <w:marRight w:val="0"/>
          <w:marTop w:val="0"/>
          <w:marBottom w:val="0"/>
          <w:divBdr>
            <w:top w:val="none" w:sz="0" w:space="0" w:color="auto"/>
            <w:left w:val="none" w:sz="0" w:space="0" w:color="auto"/>
            <w:bottom w:val="none" w:sz="0" w:space="0" w:color="auto"/>
            <w:right w:val="none" w:sz="0" w:space="0" w:color="auto"/>
          </w:divBdr>
          <w:divsChild>
            <w:div w:id="1643390389">
              <w:marLeft w:val="0"/>
              <w:marRight w:val="0"/>
              <w:marTop w:val="0"/>
              <w:marBottom w:val="0"/>
              <w:divBdr>
                <w:top w:val="none" w:sz="0" w:space="0" w:color="auto"/>
                <w:left w:val="none" w:sz="0" w:space="0" w:color="auto"/>
                <w:bottom w:val="none" w:sz="0" w:space="0" w:color="auto"/>
                <w:right w:val="none" w:sz="0" w:space="0" w:color="auto"/>
              </w:divBdr>
              <w:divsChild>
                <w:div w:id="1643390346">
                  <w:marLeft w:val="0"/>
                  <w:marRight w:val="0"/>
                  <w:marTop w:val="0"/>
                  <w:marBottom w:val="0"/>
                  <w:divBdr>
                    <w:top w:val="none" w:sz="0" w:space="0" w:color="auto"/>
                    <w:left w:val="none" w:sz="0" w:space="0" w:color="auto"/>
                    <w:bottom w:val="none" w:sz="0" w:space="0" w:color="auto"/>
                    <w:right w:val="none" w:sz="0" w:space="0" w:color="auto"/>
                  </w:divBdr>
                  <w:divsChild>
                    <w:div w:id="1643390351">
                      <w:marLeft w:val="0"/>
                      <w:marRight w:val="0"/>
                      <w:marTop w:val="0"/>
                      <w:marBottom w:val="0"/>
                      <w:divBdr>
                        <w:top w:val="none" w:sz="0" w:space="0" w:color="auto"/>
                        <w:left w:val="none" w:sz="0" w:space="0" w:color="auto"/>
                        <w:bottom w:val="none" w:sz="0" w:space="0" w:color="auto"/>
                        <w:right w:val="none" w:sz="0" w:space="0" w:color="auto"/>
                      </w:divBdr>
                      <w:divsChild>
                        <w:div w:id="1643390332">
                          <w:marLeft w:val="0"/>
                          <w:marRight w:val="0"/>
                          <w:marTop w:val="0"/>
                          <w:marBottom w:val="0"/>
                          <w:divBdr>
                            <w:top w:val="none" w:sz="0" w:space="0" w:color="auto"/>
                            <w:left w:val="none" w:sz="0" w:space="0" w:color="auto"/>
                            <w:bottom w:val="none" w:sz="0" w:space="0" w:color="auto"/>
                            <w:right w:val="none" w:sz="0" w:space="0" w:color="auto"/>
                          </w:divBdr>
                          <w:divsChild>
                            <w:div w:id="164339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299">
      <w:marLeft w:val="0"/>
      <w:marRight w:val="0"/>
      <w:marTop w:val="0"/>
      <w:marBottom w:val="0"/>
      <w:divBdr>
        <w:top w:val="none" w:sz="0" w:space="0" w:color="auto"/>
        <w:left w:val="none" w:sz="0" w:space="0" w:color="auto"/>
        <w:bottom w:val="none" w:sz="0" w:space="0" w:color="auto"/>
        <w:right w:val="none" w:sz="0" w:space="0" w:color="auto"/>
      </w:divBdr>
      <w:divsChild>
        <w:div w:id="1643390421">
          <w:marLeft w:val="0"/>
          <w:marRight w:val="0"/>
          <w:marTop w:val="0"/>
          <w:marBottom w:val="0"/>
          <w:divBdr>
            <w:top w:val="none" w:sz="0" w:space="0" w:color="auto"/>
            <w:left w:val="none" w:sz="0" w:space="0" w:color="auto"/>
            <w:bottom w:val="none" w:sz="0" w:space="0" w:color="auto"/>
            <w:right w:val="none" w:sz="0" w:space="0" w:color="auto"/>
          </w:divBdr>
          <w:divsChild>
            <w:div w:id="1643390368">
              <w:marLeft w:val="0"/>
              <w:marRight w:val="0"/>
              <w:marTop w:val="0"/>
              <w:marBottom w:val="0"/>
              <w:divBdr>
                <w:top w:val="none" w:sz="0" w:space="0" w:color="auto"/>
                <w:left w:val="none" w:sz="0" w:space="0" w:color="auto"/>
                <w:bottom w:val="none" w:sz="0" w:space="0" w:color="auto"/>
                <w:right w:val="none" w:sz="0" w:space="0" w:color="auto"/>
              </w:divBdr>
              <w:divsChild>
                <w:div w:id="1643390402">
                  <w:marLeft w:val="0"/>
                  <w:marRight w:val="0"/>
                  <w:marTop w:val="0"/>
                  <w:marBottom w:val="0"/>
                  <w:divBdr>
                    <w:top w:val="none" w:sz="0" w:space="0" w:color="auto"/>
                    <w:left w:val="none" w:sz="0" w:space="0" w:color="auto"/>
                    <w:bottom w:val="none" w:sz="0" w:space="0" w:color="auto"/>
                    <w:right w:val="none" w:sz="0" w:space="0" w:color="auto"/>
                  </w:divBdr>
                  <w:divsChild>
                    <w:div w:id="1643390283">
                      <w:marLeft w:val="0"/>
                      <w:marRight w:val="0"/>
                      <w:marTop w:val="0"/>
                      <w:marBottom w:val="0"/>
                      <w:divBdr>
                        <w:top w:val="none" w:sz="0" w:space="0" w:color="auto"/>
                        <w:left w:val="none" w:sz="0" w:space="0" w:color="auto"/>
                        <w:bottom w:val="none" w:sz="0" w:space="0" w:color="auto"/>
                        <w:right w:val="none" w:sz="0" w:space="0" w:color="auto"/>
                      </w:divBdr>
                      <w:divsChild>
                        <w:div w:id="1643390338">
                          <w:marLeft w:val="0"/>
                          <w:marRight w:val="0"/>
                          <w:marTop w:val="0"/>
                          <w:marBottom w:val="0"/>
                          <w:divBdr>
                            <w:top w:val="none" w:sz="0" w:space="0" w:color="auto"/>
                            <w:left w:val="none" w:sz="0" w:space="0" w:color="auto"/>
                            <w:bottom w:val="none" w:sz="0" w:space="0" w:color="auto"/>
                            <w:right w:val="none" w:sz="0" w:space="0" w:color="auto"/>
                          </w:divBdr>
                          <w:divsChild>
                            <w:div w:id="164339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02">
      <w:marLeft w:val="0"/>
      <w:marRight w:val="0"/>
      <w:marTop w:val="0"/>
      <w:marBottom w:val="0"/>
      <w:divBdr>
        <w:top w:val="none" w:sz="0" w:space="0" w:color="auto"/>
        <w:left w:val="none" w:sz="0" w:space="0" w:color="auto"/>
        <w:bottom w:val="none" w:sz="0" w:space="0" w:color="auto"/>
        <w:right w:val="none" w:sz="0" w:space="0" w:color="auto"/>
      </w:divBdr>
      <w:divsChild>
        <w:div w:id="1643390364">
          <w:marLeft w:val="0"/>
          <w:marRight w:val="0"/>
          <w:marTop w:val="0"/>
          <w:marBottom w:val="0"/>
          <w:divBdr>
            <w:top w:val="none" w:sz="0" w:space="0" w:color="auto"/>
            <w:left w:val="none" w:sz="0" w:space="0" w:color="auto"/>
            <w:bottom w:val="none" w:sz="0" w:space="0" w:color="auto"/>
            <w:right w:val="none" w:sz="0" w:space="0" w:color="auto"/>
          </w:divBdr>
          <w:divsChild>
            <w:div w:id="1643390329">
              <w:marLeft w:val="0"/>
              <w:marRight w:val="0"/>
              <w:marTop w:val="0"/>
              <w:marBottom w:val="0"/>
              <w:divBdr>
                <w:top w:val="none" w:sz="0" w:space="0" w:color="auto"/>
                <w:left w:val="none" w:sz="0" w:space="0" w:color="auto"/>
                <w:bottom w:val="none" w:sz="0" w:space="0" w:color="auto"/>
                <w:right w:val="none" w:sz="0" w:space="0" w:color="auto"/>
              </w:divBdr>
              <w:divsChild>
                <w:div w:id="1643390358">
                  <w:marLeft w:val="0"/>
                  <w:marRight w:val="0"/>
                  <w:marTop w:val="0"/>
                  <w:marBottom w:val="0"/>
                  <w:divBdr>
                    <w:top w:val="none" w:sz="0" w:space="0" w:color="auto"/>
                    <w:left w:val="none" w:sz="0" w:space="0" w:color="auto"/>
                    <w:bottom w:val="none" w:sz="0" w:space="0" w:color="auto"/>
                    <w:right w:val="none" w:sz="0" w:space="0" w:color="auto"/>
                  </w:divBdr>
                  <w:divsChild>
                    <w:div w:id="1643390365">
                      <w:marLeft w:val="0"/>
                      <w:marRight w:val="0"/>
                      <w:marTop w:val="0"/>
                      <w:marBottom w:val="0"/>
                      <w:divBdr>
                        <w:top w:val="none" w:sz="0" w:space="0" w:color="auto"/>
                        <w:left w:val="none" w:sz="0" w:space="0" w:color="auto"/>
                        <w:bottom w:val="none" w:sz="0" w:space="0" w:color="auto"/>
                        <w:right w:val="none" w:sz="0" w:space="0" w:color="auto"/>
                      </w:divBdr>
                      <w:divsChild>
                        <w:div w:id="1643390298">
                          <w:marLeft w:val="0"/>
                          <w:marRight w:val="0"/>
                          <w:marTop w:val="0"/>
                          <w:marBottom w:val="0"/>
                          <w:divBdr>
                            <w:top w:val="none" w:sz="0" w:space="0" w:color="auto"/>
                            <w:left w:val="none" w:sz="0" w:space="0" w:color="auto"/>
                            <w:bottom w:val="none" w:sz="0" w:space="0" w:color="auto"/>
                            <w:right w:val="none" w:sz="0" w:space="0" w:color="auto"/>
                          </w:divBdr>
                          <w:divsChild>
                            <w:div w:id="164339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13">
      <w:marLeft w:val="0"/>
      <w:marRight w:val="0"/>
      <w:marTop w:val="0"/>
      <w:marBottom w:val="0"/>
      <w:divBdr>
        <w:top w:val="none" w:sz="0" w:space="0" w:color="auto"/>
        <w:left w:val="none" w:sz="0" w:space="0" w:color="auto"/>
        <w:bottom w:val="none" w:sz="0" w:space="0" w:color="auto"/>
        <w:right w:val="none" w:sz="0" w:space="0" w:color="auto"/>
      </w:divBdr>
      <w:divsChild>
        <w:div w:id="1643390290">
          <w:marLeft w:val="0"/>
          <w:marRight w:val="0"/>
          <w:marTop w:val="0"/>
          <w:marBottom w:val="0"/>
          <w:divBdr>
            <w:top w:val="none" w:sz="0" w:space="0" w:color="auto"/>
            <w:left w:val="none" w:sz="0" w:space="0" w:color="auto"/>
            <w:bottom w:val="none" w:sz="0" w:space="0" w:color="auto"/>
            <w:right w:val="none" w:sz="0" w:space="0" w:color="auto"/>
          </w:divBdr>
          <w:divsChild>
            <w:div w:id="1643390272">
              <w:marLeft w:val="0"/>
              <w:marRight w:val="0"/>
              <w:marTop w:val="0"/>
              <w:marBottom w:val="0"/>
              <w:divBdr>
                <w:top w:val="none" w:sz="0" w:space="0" w:color="auto"/>
                <w:left w:val="none" w:sz="0" w:space="0" w:color="auto"/>
                <w:bottom w:val="none" w:sz="0" w:space="0" w:color="auto"/>
                <w:right w:val="none" w:sz="0" w:space="0" w:color="auto"/>
              </w:divBdr>
              <w:divsChild>
                <w:div w:id="1643390392">
                  <w:marLeft w:val="0"/>
                  <w:marRight w:val="0"/>
                  <w:marTop w:val="0"/>
                  <w:marBottom w:val="0"/>
                  <w:divBdr>
                    <w:top w:val="none" w:sz="0" w:space="0" w:color="auto"/>
                    <w:left w:val="none" w:sz="0" w:space="0" w:color="auto"/>
                    <w:bottom w:val="none" w:sz="0" w:space="0" w:color="auto"/>
                    <w:right w:val="none" w:sz="0" w:space="0" w:color="auto"/>
                  </w:divBdr>
                  <w:divsChild>
                    <w:div w:id="1643390310">
                      <w:marLeft w:val="0"/>
                      <w:marRight w:val="0"/>
                      <w:marTop w:val="0"/>
                      <w:marBottom w:val="0"/>
                      <w:divBdr>
                        <w:top w:val="none" w:sz="0" w:space="0" w:color="auto"/>
                        <w:left w:val="none" w:sz="0" w:space="0" w:color="auto"/>
                        <w:bottom w:val="none" w:sz="0" w:space="0" w:color="auto"/>
                        <w:right w:val="none" w:sz="0" w:space="0" w:color="auto"/>
                      </w:divBdr>
                      <w:divsChild>
                        <w:div w:id="1643390385">
                          <w:marLeft w:val="0"/>
                          <w:marRight w:val="0"/>
                          <w:marTop w:val="0"/>
                          <w:marBottom w:val="0"/>
                          <w:divBdr>
                            <w:top w:val="none" w:sz="0" w:space="0" w:color="auto"/>
                            <w:left w:val="none" w:sz="0" w:space="0" w:color="auto"/>
                            <w:bottom w:val="none" w:sz="0" w:space="0" w:color="auto"/>
                            <w:right w:val="none" w:sz="0" w:space="0" w:color="auto"/>
                          </w:divBdr>
                          <w:divsChild>
                            <w:div w:id="164339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23">
      <w:marLeft w:val="0"/>
      <w:marRight w:val="0"/>
      <w:marTop w:val="0"/>
      <w:marBottom w:val="0"/>
      <w:divBdr>
        <w:top w:val="none" w:sz="0" w:space="0" w:color="auto"/>
        <w:left w:val="none" w:sz="0" w:space="0" w:color="auto"/>
        <w:bottom w:val="none" w:sz="0" w:space="0" w:color="auto"/>
        <w:right w:val="none" w:sz="0" w:space="0" w:color="auto"/>
      </w:divBdr>
      <w:divsChild>
        <w:div w:id="1643390383">
          <w:marLeft w:val="0"/>
          <w:marRight w:val="0"/>
          <w:marTop w:val="0"/>
          <w:marBottom w:val="0"/>
          <w:divBdr>
            <w:top w:val="none" w:sz="0" w:space="0" w:color="auto"/>
            <w:left w:val="none" w:sz="0" w:space="0" w:color="auto"/>
            <w:bottom w:val="none" w:sz="0" w:space="0" w:color="auto"/>
            <w:right w:val="none" w:sz="0" w:space="0" w:color="auto"/>
          </w:divBdr>
          <w:divsChild>
            <w:div w:id="1643390360">
              <w:marLeft w:val="0"/>
              <w:marRight w:val="0"/>
              <w:marTop w:val="0"/>
              <w:marBottom w:val="0"/>
              <w:divBdr>
                <w:top w:val="none" w:sz="0" w:space="0" w:color="auto"/>
                <w:left w:val="none" w:sz="0" w:space="0" w:color="auto"/>
                <w:bottom w:val="none" w:sz="0" w:space="0" w:color="auto"/>
                <w:right w:val="none" w:sz="0" w:space="0" w:color="auto"/>
              </w:divBdr>
              <w:divsChild>
                <w:div w:id="1643390387">
                  <w:marLeft w:val="0"/>
                  <w:marRight w:val="0"/>
                  <w:marTop w:val="0"/>
                  <w:marBottom w:val="0"/>
                  <w:divBdr>
                    <w:top w:val="none" w:sz="0" w:space="0" w:color="auto"/>
                    <w:left w:val="none" w:sz="0" w:space="0" w:color="auto"/>
                    <w:bottom w:val="none" w:sz="0" w:space="0" w:color="auto"/>
                    <w:right w:val="none" w:sz="0" w:space="0" w:color="auto"/>
                  </w:divBdr>
                  <w:divsChild>
                    <w:div w:id="1643390259">
                      <w:marLeft w:val="0"/>
                      <w:marRight w:val="0"/>
                      <w:marTop w:val="0"/>
                      <w:marBottom w:val="0"/>
                      <w:divBdr>
                        <w:top w:val="none" w:sz="0" w:space="0" w:color="auto"/>
                        <w:left w:val="none" w:sz="0" w:space="0" w:color="auto"/>
                        <w:bottom w:val="none" w:sz="0" w:space="0" w:color="auto"/>
                        <w:right w:val="none" w:sz="0" w:space="0" w:color="auto"/>
                      </w:divBdr>
                      <w:divsChild>
                        <w:div w:id="1643390265">
                          <w:marLeft w:val="0"/>
                          <w:marRight w:val="0"/>
                          <w:marTop w:val="0"/>
                          <w:marBottom w:val="0"/>
                          <w:divBdr>
                            <w:top w:val="none" w:sz="0" w:space="0" w:color="auto"/>
                            <w:left w:val="none" w:sz="0" w:space="0" w:color="auto"/>
                            <w:bottom w:val="none" w:sz="0" w:space="0" w:color="auto"/>
                            <w:right w:val="none" w:sz="0" w:space="0" w:color="auto"/>
                          </w:divBdr>
                          <w:divsChild>
                            <w:div w:id="164339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26">
      <w:marLeft w:val="0"/>
      <w:marRight w:val="0"/>
      <w:marTop w:val="0"/>
      <w:marBottom w:val="0"/>
      <w:divBdr>
        <w:top w:val="none" w:sz="0" w:space="0" w:color="auto"/>
        <w:left w:val="none" w:sz="0" w:space="0" w:color="auto"/>
        <w:bottom w:val="none" w:sz="0" w:space="0" w:color="auto"/>
        <w:right w:val="none" w:sz="0" w:space="0" w:color="auto"/>
      </w:divBdr>
    </w:div>
    <w:div w:id="1643390330">
      <w:marLeft w:val="0"/>
      <w:marRight w:val="0"/>
      <w:marTop w:val="0"/>
      <w:marBottom w:val="0"/>
      <w:divBdr>
        <w:top w:val="none" w:sz="0" w:space="0" w:color="auto"/>
        <w:left w:val="none" w:sz="0" w:space="0" w:color="auto"/>
        <w:bottom w:val="none" w:sz="0" w:space="0" w:color="auto"/>
        <w:right w:val="none" w:sz="0" w:space="0" w:color="auto"/>
      </w:divBdr>
      <w:divsChild>
        <w:div w:id="1643390350">
          <w:marLeft w:val="0"/>
          <w:marRight w:val="0"/>
          <w:marTop w:val="0"/>
          <w:marBottom w:val="0"/>
          <w:divBdr>
            <w:top w:val="none" w:sz="0" w:space="0" w:color="auto"/>
            <w:left w:val="none" w:sz="0" w:space="0" w:color="auto"/>
            <w:bottom w:val="none" w:sz="0" w:space="0" w:color="auto"/>
            <w:right w:val="none" w:sz="0" w:space="0" w:color="auto"/>
          </w:divBdr>
          <w:divsChild>
            <w:div w:id="1643390416">
              <w:marLeft w:val="0"/>
              <w:marRight w:val="0"/>
              <w:marTop w:val="0"/>
              <w:marBottom w:val="0"/>
              <w:divBdr>
                <w:top w:val="none" w:sz="0" w:space="0" w:color="auto"/>
                <w:left w:val="none" w:sz="0" w:space="0" w:color="auto"/>
                <w:bottom w:val="none" w:sz="0" w:space="0" w:color="auto"/>
                <w:right w:val="none" w:sz="0" w:space="0" w:color="auto"/>
              </w:divBdr>
              <w:divsChild>
                <w:div w:id="1643390252">
                  <w:marLeft w:val="0"/>
                  <w:marRight w:val="0"/>
                  <w:marTop w:val="0"/>
                  <w:marBottom w:val="0"/>
                  <w:divBdr>
                    <w:top w:val="none" w:sz="0" w:space="0" w:color="auto"/>
                    <w:left w:val="none" w:sz="0" w:space="0" w:color="auto"/>
                    <w:bottom w:val="none" w:sz="0" w:space="0" w:color="auto"/>
                    <w:right w:val="none" w:sz="0" w:space="0" w:color="auto"/>
                  </w:divBdr>
                  <w:divsChild>
                    <w:div w:id="1643390288">
                      <w:marLeft w:val="0"/>
                      <w:marRight w:val="0"/>
                      <w:marTop w:val="0"/>
                      <w:marBottom w:val="0"/>
                      <w:divBdr>
                        <w:top w:val="none" w:sz="0" w:space="0" w:color="auto"/>
                        <w:left w:val="none" w:sz="0" w:space="0" w:color="auto"/>
                        <w:bottom w:val="none" w:sz="0" w:space="0" w:color="auto"/>
                        <w:right w:val="none" w:sz="0" w:space="0" w:color="auto"/>
                      </w:divBdr>
                      <w:divsChild>
                        <w:div w:id="1643390371">
                          <w:marLeft w:val="0"/>
                          <w:marRight w:val="0"/>
                          <w:marTop w:val="0"/>
                          <w:marBottom w:val="0"/>
                          <w:divBdr>
                            <w:top w:val="none" w:sz="0" w:space="0" w:color="auto"/>
                            <w:left w:val="none" w:sz="0" w:space="0" w:color="auto"/>
                            <w:bottom w:val="none" w:sz="0" w:space="0" w:color="auto"/>
                            <w:right w:val="none" w:sz="0" w:space="0" w:color="auto"/>
                          </w:divBdr>
                          <w:divsChild>
                            <w:div w:id="164339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35">
      <w:marLeft w:val="0"/>
      <w:marRight w:val="0"/>
      <w:marTop w:val="0"/>
      <w:marBottom w:val="0"/>
      <w:divBdr>
        <w:top w:val="none" w:sz="0" w:space="0" w:color="auto"/>
        <w:left w:val="none" w:sz="0" w:space="0" w:color="auto"/>
        <w:bottom w:val="none" w:sz="0" w:space="0" w:color="auto"/>
        <w:right w:val="none" w:sz="0" w:space="0" w:color="auto"/>
      </w:divBdr>
      <w:divsChild>
        <w:div w:id="1643390409">
          <w:marLeft w:val="0"/>
          <w:marRight w:val="0"/>
          <w:marTop w:val="0"/>
          <w:marBottom w:val="0"/>
          <w:divBdr>
            <w:top w:val="none" w:sz="0" w:space="0" w:color="auto"/>
            <w:left w:val="none" w:sz="0" w:space="0" w:color="auto"/>
            <w:bottom w:val="none" w:sz="0" w:space="0" w:color="auto"/>
            <w:right w:val="none" w:sz="0" w:space="0" w:color="auto"/>
          </w:divBdr>
          <w:divsChild>
            <w:div w:id="1643390406">
              <w:marLeft w:val="0"/>
              <w:marRight w:val="0"/>
              <w:marTop w:val="0"/>
              <w:marBottom w:val="0"/>
              <w:divBdr>
                <w:top w:val="none" w:sz="0" w:space="0" w:color="auto"/>
                <w:left w:val="none" w:sz="0" w:space="0" w:color="auto"/>
                <w:bottom w:val="none" w:sz="0" w:space="0" w:color="auto"/>
                <w:right w:val="none" w:sz="0" w:space="0" w:color="auto"/>
              </w:divBdr>
              <w:divsChild>
                <w:div w:id="1643390423">
                  <w:marLeft w:val="0"/>
                  <w:marRight w:val="0"/>
                  <w:marTop w:val="0"/>
                  <w:marBottom w:val="0"/>
                  <w:divBdr>
                    <w:top w:val="none" w:sz="0" w:space="0" w:color="auto"/>
                    <w:left w:val="none" w:sz="0" w:space="0" w:color="auto"/>
                    <w:bottom w:val="none" w:sz="0" w:space="0" w:color="auto"/>
                    <w:right w:val="none" w:sz="0" w:space="0" w:color="auto"/>
                  </w:divBdr>
                  <w:divsChild>
                    <w:div w:id="1643390353">
                      <w:marLeft w:val="0"/>
                      <w:marRight w:val="0"/>
                      <w:marTop w:val="0"/>
                      <w:marBottom w:val="0"/>
                      <w:divBdr>
                        <w:top w:val="none" w:sz="0" w:space="0" w:color="auto"/>
                        <w:left w:val="none" w:sz="0" w:space="0" w:color="auto"/>
                        <w:bottom w:val="none" w:sz="0" w:space="0" w:color="auto"/>
                        <w:right w:val="none" w:sz="0" w:space="0" w:color="auto"/>
                      </w:divBdr>
                      <w:divsChild>
                        <w:div w:id="1643390311">
                          <w:marLeft w:val="0"/>
                          <w:marRight w:val="0"/>
                          <w:marTop w:val="0"/>
                          <w:marBottom w:val="0"/>
                          <w:divBdr>
                            <w:top w:val="none" w:sz="0" w:space="0" w:color="auto"/>
                            <w:left w:val="none" w:sz="0" w:space="0" w:color="auto"/>
                            <w:bottom w:val="none" w:sz="0" w:space="0" w:color="auto"/>
                            <w:right w:val="none" w:sz="0" w:space="0" w:color="auto"/>
                          </w:divBdr>
                          <w:divsChild>
                            <w:div w:id="164339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37">
      <w:marLeft w:val="0"/>
      <w:marRight w:val="0"/>
      <w:marTop w:val="0"/>
      <w:marBottom w:val="0"/>
      <w:divBdr>
        <w:top w:val="none" w:sz="0" w:space="0" w:color="auto"/>
        <w:left w:val="none" w:sz="0" w:space="0" w:color="auto"/>
        <w:bottom w:val="none" w:sz="0" w:space="0" w:color="auto"/>
        <w:right w:val="none" w:sz="0" w:space="0" w:color="auto"/>
      </w:divBdr>
      <w:divsChild>
        <w:div w:id="1643390426">
          <w:marLeft w:val="0"/>
          <w:marRight w:val="0"/>
          <w:marTop w:val="0"/>
          <w:marBottom w:val="0"/>
          <w:divBdr>
            <w:top w:val="none" w:sz="0" w:space="0" w:color="auto"/>
            <w:left w:val="none" w:sz="0" w:space="0" w:color="auto"/>
            <w:bottom w:val="none" w:sz="0" w:space="0" w:color="auto"/>
            <w:right w:val="none" w:sz="0" w:space="0" w:color="auto"/>
          </w:divBdr>
          <w:divsChild>
            <w:div w:id="1643390418">
              <w:marLeft w:val="0"/>
              <w:marRight w:val="0"/>
              <w:marTop w:val="0"/>
              <w:marBottom w:val="0"/>
              <w:divBdr>
                <w:top w:val="none" w:sz="0" w:space="0" w:color="auto"/>
                <w:left w:val="none" w:sz="0" w:space="0" w:color="auto"/>
                <w:bottom w:val="none" w:sz="0" w:space="0" w:color="auto"/>
                <w:right w:val="none" w:sz="0" w:space="0" w:color="auto"/>
              </w:divBdr>
              <w:divsChild>
                <w:div w:id="1643390374">
                  <w:marLeft w:val="0"/>
                  <w:marRight w:val="0"/>
                  <w:marTop w:val="0"/>
                  <w:marBottom w:val="0"/>
                  <w:divBdr>
                    <w:top w:val="none" w:sz="0" w:space="0" w:color="auto"/>
                    <w:left w:val="none" w:sz="0" w:space="0" w:color="auto"/>
                    <w:bottom w:val="none" w:sz="0" w:space="0" w:color="auto"/>
                    <w:right w:val="none" w:sz="0" w:space="0" w:color="auto"/>
                  </w:divBdr>
                  <w:divsChild>
                    <w:div w:id="1643390328">
                      <w:marLeft w:val="0"/>
                      <w:marRight w:val="0"/>
                      <w:marTop w:val="0"/>
                      <w:marBottom w:val="0"/>
                      <w:divBdr>
                        <w:top w:val="none" w:sz="0" w:space="0" w:color="auto"/>
                        <w:left w:val="none" w:sz="0" w:space="0" w:color="auto"/>
                        <w:bottom w:val="none" w:sz="0" w:space="0" w:color="auto"/>
                        <w:right w:val="none" w:sz="0" w:space="0" w:color="auto"/>
                      </w:divBdr>
                      <w:divsChild>
                        <w:div w:id="1643390253">
                          <w:marLeft w:val="0"/>
                          <w:marRight w:val="0"/>
                          <w:marTop w:val="0"/>
                          <w:marBottom w:val="0"/>
                          <w:divBdr>
                            <w:top w:val="none" w:sz="0" w:space="0" w:color="auto"/>
                            <w:left w:val="none" w:sz="0" w:space="0" w:color="auto"/>
                            <w:bottom w:val="none" w:sz="0" w:space="0" w:color="auto"/>
                            <w:right w:val="none" w:sz="0" w:space="0" w:color="auto"/>
                          </w:divBdr>
                          <w:divsChild>
                            <w:div w:id="164339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39">
      <w:marLeft w:val="0"/>
      <w:marRight w:val="0"/>
      <w:marTop w:val="0"/>
      <w:marBottom w:val="0"/>
      <w:divBdr>
        <w:top w:val="none" w:sz="0" w:space="0" w:color="auto"/>
        <w:left w:val="none" w:sz="0" w:space="0" w:color="auto"/>
        <w:bottom w:val="none" w:sz="0" w:space="0" w:color="auto"/>
        <w:right w:val="none" w:sz="0" w:space="0" w:color="auto"/>
      </w:divBdr>
      <w:divsChild>
        <w:div w:id="1643390410">
          <w:marLeft w:val="0"/>
          <w:marRight w:val="0"/>
          <w:marTop w:val="0"/>
          <w:marBottom w:val="0"/>
          <w:divBdr>
            <w:top w:val="none" w:sz="0" w:space="0" w:color="auto"/>
            <w:left w:val="none" w:sz="0" w:space="0" w:color="auto"/>
            <w:bottom w:val="none" w:sz="0" w:space="0" w:color="auto"/>
            <w:right w:val="none" w:sz="0" w:space="0" w:color="auto"/>
          </w:divBdr>
          <w:divsChild>
            <w:div w:id="1643390404">
              <w:marLeft w:val="0"/>
              <w:marRight w:val="0"/>
              <w:marTop w:val="0"/>
              <w:marBottom w:val="0"/>
              <w:divBdr>
                <w:top w:val="none" w:sz="0" w:space="0" w:color="auto"/>
                <w:left w:val="none" w:sz="0" w:space="0" w:color="auto"/>
                <w:bottom w:val="none" w:sz="0" w:space="0" w:color="auto"/>
                <w:right w:val="none" w:sz="0" w:space="0" w:color="auto"/>
              </w:divBdr>
              <w:divsChild>
                <w:div w:id="1643390263">
                  <w:marLeft w:val="0"/>
                  <w:marRight w:val="0"/>
                  <w:marTop w:val="0"/>
                  <w:marBottom w:val="0"/>
                  <w:divBdr>
                    <w:top w:val="none" w:sz="0" w:space="0" w:color="auto"/>
                    <w:left w:val="none" w:sz="0" w:space="0" w:color="auto"/>
                    <w:bottom w:val="none" w:sz="0" w:space="0" w:color="auto"/>
                    <w:right w:val="none" w:sz="0" w:space="0" w:color="auto"/>
                  </w:divBdr>
                  <w:divsChild>
                    <w:div w:id="1643390403">
                      <w:marLeft w:val="0"/>
                      <w:marRight w:val="0"/>
                      <w:marTop w:val="0"/>
                      <w:marBottom w:val="0"/>
                      <w:divBdr>
                        <w:top w:val="none" w:sz="0" w:space="0" w:color="auto"/>
                        <w:left w:val="none" w:sz="0" w:space="0" w:color="auto"/>
                        <w:bottom w:val="none" w:sz="0" w:space="0" w:color="auto"/>
                        <w:right w:val="none" w:sz="0" w:space="0" w:color="auto"/>
                      </w:divBdr>
                      <w:divsChild>
                        <w:div w:id="1643390270">
                          <w:marLeft w:val="0"/>
                          <w:marRight w:val="0"/>
                          <w:marTop w:val="0"/>
                          <w:marBottom w:val="0"/>
                          <w:divBdr>
                            <w:top w:val="none" w:sz="0" w:space="0" w:color="auto"/>
                            <w:left w:val="none" w:sz="0" w:space="0" w:color="auto"/>
                            <w:bottom w:val="none" w:sz="0" w:space="0" w:color="auto"/>
                            <w:right w:val="none" w:sz="0" w:space="0" w:color="auto"/>
                          </w:divBdr>
                          <w:divsChild>
                            <w:div w:id="164339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42">
      <w:marLeft w:val="0"/>
      <w:marRight w:val="0"/>
      <w:marTop w:val="0"/>
      <w:marBottom w:val="0"/>
      <w:divBdr>
        <w:top w:val="none" w:sz="0" w:space="0" w:color="auto"/>
        <w:left w:val="none" w:sz="0" w:space="0" w:color="auto"/>
        <w:bottom w:val="none" w:sz="0" w:space="0" w:color="auto"/>
        <w:right w:val="none" w:sz="0" w:space="0" w:color="auto"/>
      </w:divBdr>
      <w:divsChild>
        <w:div w:id="1643390345">
          <w:marLeft w:val="0"/>
          <w:marRight w:val="0"/>
          <w:marTop w:val="0"/>
          <w:marBottom w:val="0"/>
          <w:divBdr>
            <w:top w:val="none" w:sz="0" w:space="0" w:color="auto"/>
            <w:left w:val="none" w:sz="0" w:space="0" w:color="auto"/>
            <w:bottom w:val="none" w:sz="0" w:space="0" w:color="auto"/>
            <w:right w:val="none" w:sz="0" w:space="0" w:color="auto"/>
          </w:divBdr>
          <w:divsChild>
            <w:div w:id="1643390357">
              <w:marLeft w:val="0"/>
              <w:marRight w:val="0"/>
              <w:marTop w:val="0"/>
              <w:marBottom w:val="0"/>
              <w:divBdr>
                <w:top w:val="none" w:sz="0" w:space="0" w:color="auto"/>
                <w:left w:val="none" w:sz="0" w:space="0" w:color="auto"/>
                <w:bottom w:val="none" w:sz="0" w:space="0" w:color="auto"/>
                <w:right w:val="none" w:sz="0" w:space="0" w:color="auto"/>
              </w:divBdr>
              <w:divsChild>
                <w:div w:id="1643390376">
                  <w:marLeft w:val="0"/>
                  <w:marRight w:val="0"/>
                  <w:marTop w:val="0"/>
                  <w:marBottom w:val="0"/>
                  <w:divBdr>
                    <w:top w:val="none" w:sz="0" w:space="0" w:color="auto"/>
                    <w:left w:val="none" w:sz="0" w:space="0" w:color="auto"/>
                    <w:bottom w:val="none" w:sz="0" w:space="0" w:color="auto"/>
                    <w:right w:val="none" w:sz="0" w:space="0" w:color="auto"/>
                  </w:divBdr>
                  <w:divsChild>
                    <w:div w:id="1643390260">
                      <w:marLeft w:val="0"/>
                      <w:marRight w:val="0"/>
                      <w:marTop w:val="0"/>
                      <w:marBottom w:val="0"/>
                      <w:divBdr>
                        <w:top w:val="none" w:sz="0" w:space="0" w:color="auto"/>
                        <w:left w:val="none" w:sz="0" w:space="0" w:color="auto"/>
                        <w:bottom w:val="none" w:sz="0" w:space="0" w:color="auto"/>
                        <w:right w:val="none" w:sz="0" w:space="0" w:color="auto"/>
                      </w:divBdr>
                      <w:divsChild>
                        <w:div w:id="1643390280">
                          <w:marLeft w:val="0"/>
                          <w:marRight w:val="0"/>
                          <w:marTop w:val="0"/>
                          <w:marBottom w:val="0"/>
                          <w:divBdr>
                            <w:top w:val="none" w:sz="0" w:space="0" w:color="auto"/>
                            <w:left w:val="none" w:sz="0" w:space="0" w:color="auto"/>
                            <w:bottom w:val="none" w:sz="0" w:space="0" w:color="auto"/>
                            <w:right w:val="none" w:sz="0" w:space="0" w:color="auto"/>
                          </w:divBdr>
                          <w:divsChild>
                            <w:div w:id="164339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52">
      <w:marLeft w:val="0"/>
      <w:marRight w:val="0"/>
      <w:marTop w:val="0"/>
      <w:marBottom w:val="0"/>
      <w:divBdr>
        <w:top w:val="none" w:sz="0" w:space="0" w:color="auto"/>
        <w:left w:val="none" w:sz="0" w:space="0" w:color="auto"/>
        <w:bottom w:val="none" w:sz="0" w:space="0" w:color="auto"/>
        <w:right w:val="none" w:sz="0" w:space="0" w:color="auto"/>
      </w:divBdr>
      <w:divsChild>
        <w:div w:id="1643390312">
          <w:marLeft w:val="0"/>
          <w:marRight w:val="0"/>
          <w:marTop w:val="0"/>
          <w:marBottom w:val="0"/>
          <w:divBdr>
            <w:top w:val="none" w:sz="0" w:space="0" w:color="auto"/>
            <w:left w:val="none" w:sz="0" w:space="0" w:color="auto"/>
            <w:bottom w:val="none" w:sz="0" w:space="0" w:color="auto"/>
            <w:right w:val="none" w:sz="0" w:space="0" w:color="auto"/>
          </w:divBdr>
          <w:divsChild>
            <w:div w:id="1643390396">
              <w:marLeft w:val="0"/>
              <w:marRight w:val="0"/>
              <w:marTop w:val="0"/>
              <w:marBottom w:val="0"/>
              <w:divBdr>
                <w:top w:val="none" w:sz="0" w:space="0" w:color="auto"/>
                <w:left w:val="none" w:sz="0" w:space="0" w:color="auto"/>
                <w:bottom w:val="none" w:sz="0" w:space="0" w:color="auto"/>
                <w:right w:val="none" w:sz="0" w:space="0" w:color="auto"/>
              </w:divBdr>
              <w:divsChild>
                <w:div w:id="1643390361">
                  <w:marLeft w:val="0"/>
                  <w:marRight w:val="0"/>
                  <w:marTop w:val="0"/>
                  <w:marBottom w:val="0"/>
                  <w:divBdr>
                    <w:top w:val="none" w:sz="0" w:space="0" w:color="auto"/>
                    <w:left w:val="none" w:sz="0" w:space="0" w:color="auto"/>
                    <w:bottom w:val="none" w:sz="0" w:space="0" w:color="auto"/>
                    <w:right w:val="none" w:sz="0" w:space="0" w:color="auto"/>
                  </w:divBdr>
                  <w:divsChild>
                    <w:div w:id="1643390297">
                      <w:marLeft w:val="0"/>
                      <w:marRight w:val="0"/>
                      <w:marTop w:val="0"/>
                      <w:marBottom w:val="0"/>
                      <w:divBdr>
                        <w:top w:val="none" w:sz="0" w:space="0" w:color="auto"/>
                        <w:left w:val="none" w:sz="0" w:space="0" w:color="auto"/>
                        <w:bottom w:val="none" w:sz="0" w:space="0" w:color="auto"/>
                        <w:right w:val="none" w:sz="0" w:space="0" w:color="auto"/>
                      </w:divBdr>
                      <w:divsChild>
                        <w:div w:id="1643390334">
                          <w:marLeft w:val="0"/>
                          <w:marRight w:val="0"/>
                          <w:marTop w:val="0"/>
                          <w:marBottom w:val="0"/>
                          <w:divBdr>
                            <w:top w:val="none" w:sz="0" w:space="0" w:color="auto"/>
                            <w:left w:val="none" w:sz="0" w:space="0" w:color="auto"/>
                            <w:bottom w:val="none" w:sz="0" w:space="0" w:color="auto"/>
                            <w:right w:val="none" w:sz="0" w:space="0" w:color="auto"/>
                          </w:divBdr>
                          <w:divsChild>
                            <w:div w:id="164339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54">
      <w:marLeft w:val="0"/>
      <w:marRight w:val="0"/>
      <w:marTop w:val="0"/>
      <w:marBottom w:val="0"/>
      <w:divBdr>
        <w:top w:val="none" w:sz="0" w:space="0" w:color="auto"/>
        <w:left w:val="none" w:sz="0" w:space="0" w:color="auto"/>
        <w:bottom w:val="none" w:sz="0" w:space="0" w:color="auto"/>
        <w:right w:val="none" w:sz="0" w:space="0" w:color="auto"/>
      </w:divBdr>
      <w:divsChild>
        <w:div w:id="1643390331">
          <w:marLeft w:val="0"/>
          <w:marRight w:val="0"/>
          <w:marTop w:val="0"/>
          <w:marBottom w:val="0"/>
          <w:divBdr>
            <w:top w:val="none" w:sz="0" w:space="0" w:color="auto"/>
            <w:left w:val="none" w:sz="0" w:space="0" w:color="auto"/>
            <w:bottom w:val="none" w:sz="0" w:space="0" w:color="auto"/>
            <w:right w:val="none" w:sz="0" w:space="0" w:color="auto"/>
          </w:divBdr>
          <w:divsChild>
            <w:div w:id="1643390412">
              <w:marLeft w:val="0"/>
              <w:marRight w:val="0"/>
              <w:marTop w:val="0"/>
              <w:marBottom w:val="0"/>
              <w:divBdr>
                <w:top w:val="none" w:sz="0" w:space="0" w:color="auto"/>
                <w:left w:val="none" w:sz="0" w:space="0" w:color="auto"/>
                <w:bottom w:val="none" w:sz="0" w:space="0" w:color="auto"/>
                <w:right w:val="none" w:sz="0" w:space="0" w:color="auto"/>
              </w:divBdr>
              <w:divsChild>
                <w:div w:id="1643390325">
                  <w:marLeft w:val="0"/>
                  <w:marRight w:val="0"/>
                  <w:marTop w:val="0"/>
                  <w:marBottom w:val="0"/>
                  <w:divBdr>
                    <w:top w:val="none" w:sz="0" w:space="0" w:color="auto"/>
                    <w:left w:val="none" w:sz="0" w:space="0" w:color="auto"/>
                    <w:bottom w:val="none" w:sz="0" w:space="0" w:color="auto"/>
                    <w:right w:val="none" w:sz="0" w:space="0" w:color="auto"/>
                  </w:divBdr>
                  <w:divsChild>
                    <w:div w:id="1643390287">
                      <w:marLeft w:val="0"/>
                      <w:marRight w:val="0"/>
                      <w:marTop w:val="0"/>
                      <w:marBottom w:val="0"/>
                      <w:divBdr>
                        <w:top w:val="none" w:sz="0" w:space="0" w:color="auto"/>
                        <w:left w:val="none" w:sz="0" w:space="0" w:color="auto"/>
                        <w:bottom w:val="none" w:sz="0" w:space="0" w:color="auto"/>
                        <w:right w:val="none" w:sz="0" w:space="0" w:color="auto"/>
                      </w:divBdr>
                      <w:divsChild>
                        <w:div w:id="1643390377">
                          <w:marLeft w:val="0"/>
                          <w:marRight w:val="0"/>
                          <w:marTop w:val="0"/>
                          <w:marBottom w:val="0"/>
                          <w:divBdr>
                            <w:top w:val="none" w:sz="0" w:space="0" w:color="auto"/>
                            <w:left w:val="none" w:sz="0" w:space="0" w:color="auto"/>
                            <w:bottom w:val="none" w:sz="0" w:space="0" w:color="auto"/>
                            <w:right w:val="none" w:sz="0" w:space="0" w:color="auto"/>
                          </w:divBdr>
                          <w:divsChild>
                            <w:div w:id="164339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59">
      <w:marLeft w:val="0"/>
      <w:marRight w:val="0"/>
      <w:marTop w:val="0"/>
      <w:marBottom w:val="0"/>
      <w:divBdr>
        <w:top w:val="none" w:sz="0" w:space="0" w:color="auto"/>
        <w:left w:val="none" w:sz="0" w:space="0" w:color="auto"/>
        <w:bottom w:val="none" w:sz="0" w:space="0" w:color="auto"/>
        <w:right w:val="none" w:sz="0" w:space="0" w:color="auto"/>
      </w:divBdr>
      <w:divsChild>
        <w:div w:id="1643390266">
          <w:marLeft w:val="0"/>
          <w:marRight w:val="0"/>
          <w:marTop w:val="0"/>
          <w:marBottom w:val="0"/>
          <w:divBdr>
            <w:top w:val="none" w:sz="0" w:space="0" w:color="auto"/>
            <w:left w:val="none" w:sz="0" w:space="0" w:color="auto"/>
            <w:bottom w:val="none" w:sz="0" w:space="0" w:color="auto"/>
            <w:right w:val="none" w:sz="0" w:space="0" w:color="auto"/>
          </w:divBdr>
          <w:divsChild>
            <w:div w:id="1643390420">
              <w:marLeft w:val="0"/>
              <w:marRight w:val="0"/>
              <w:marTop w:val="0"/>
              <w:marBottom w:val="0"/>
              <w:divBdr>
                <w:top w:val="none" w:sz="0" w:space="0" w:color="auto"/>
                <w:left w:val="none" w:sz="0" w:space="0" w:color="auto"/>
                <w:bottom w:val="none" w:sz="0" w:space="0" w:color="auto"/>
                <w:right w:val="none" w:sz="0" w:space="0" w:color="auto"/>
              </w:divBdr>
              <w:divsChild>
                <w:div w:id="1643390324">
                  <w:marLeft w:val="0"/>
                  <w:marRight w:val="0"/>
                  <w:marTop w:val="0"/>
                  <w:marBottom w:val="0"/>
                  <w:divBdr>
                    <w:top w:val="none" w:sz="0" w:space="0" w:color="auto"/>
                    <w:left w:val="none" w:sz="0" w:space="0" w:color="auto"/>
                    <w:bottom w:val="none" w:sz="0" w:space="0" w:color="auto"/>
                    <w:right w:val="none" w:sz="0" w:space="0" w:color="auto"/>
                  </w:divBdr>
                  <w:divsChild>
                    <w:div w:id="1643390356">
                      <w:marLeft w:val="0"/>
                      <w:marRight w:val="0"/>
                      <w:marTop w:val="0"/>
                      <w:marBottom w:val="0"/>
                      <w:divBdr>
                        <w:top w:val="none" w:sz="0" w:space="0" w:color="auto"/>
                        <w:left w:val="none" w:sz="0" w:space="0" w:color="auto"/>
                        <w:bottom w:val="none" w:sz="0" w:space="0" w:color="auto"/>
                        <w:right w:val="none" w:sz="0" w:space="0" w:color="auto"/>
                      </w:divBdr>
                      <w:divsChild>
                        <w:div w:id="1643390278">
                          <w:marLeft w:val="0"/>
                          <w:marRight w:val="0"/>
                          <w:marTop w:val="0"/>
                          <w:marBottom w:val="0"/>
                          <w:divBdr>
                            <w:top w:val="none" w:sz="0" w:space="0" w:color="auto"/>
                            <w:left w:val="none" w:sz="0" w:space="0" w:color="auto"/>
                            <w:bottom w:val="none" w:sz="0" w:space="0" w:color="auto"/>
                            <w:right w:val="none" w:sz="0" w:space="0" w:color="auto"/>
                          </w:divBdr>
                          <w:divsChild>
                            <w:div w:id="164339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62">
      <w:marLeft w:val="0"/>
      <w:marRight w:val="0"/>
      <w:marTop w:val="0"/>
      <w:marBottom w:val="0"/>
      <w:divBdr>
        <w:top w:val="none" w:sz="0" w:space="0" w:color="auto"/>
        <w:left w:val="none" w:sz="0" w:space="0" w:color="auto"/>
        <w:bottom w:val="none" w:sz="0" w:space="0" w:color="auto"/>
        <w:right w:val="none" w:sz="0" w:space="0" w:color="auto"/>
      </w:divBdr>
      <w:divsChild>
        <w:div w:id="1643390251">
          <w:marLeft w:val="0"/>
          <w:marRight w:val="0"/>
          <w:marTop w:val="0"/>
          <w:marBottom w:val="0"/>
          <w:divBdr>
            <w:top w:val="none" w:sz="0" w:space="0" w:color="auto"/>
            <w:left w:val="none" w:sz="0" w:space="0" w:color="auto"/>
            <w:bottom w:val="none" w:sz="0" w:space="0" w:color="auto"/>
            <w:right w:val="none" w:sz="0" w:space="0" w:color="auto"/>
          </w:divBdr>
          <w:divsChild>
            <w:div w:id="1643390282">
              <w:marLeft w:val="0"/>
              <w:marRight w:val="0"/>
              <w:marTop w:val="0"/>
              <w:marBottom w:val="0"/>
              <w:divBdr>
                <w:top w:val="none" w:sz="0" w:space="0" w:color="auto"/>
                <w:left w:val="none" w:sz="0" w:space="0" w:color="auto"/>
                <w:bottom w:val="none" w:sz="0" w:space="0" w:color="auto"/>
                <w:right w:val="none" w:sz="0" w:space="0" w:color="auto"/>
              </w:divBdr>
              <w:divsChild>
                <w:div w:id="1643390256">
                  <w:marLeft w:val="0"/>
                  <w:marRight w:val="0"/>
                  <w:marTop w:val="0"/>
                  <w:marBottom w:val="0"/>
                  <w:divBdr>
                    <w:top w:val="none" w:sz="0" w:space="0" w:color="auto"/>
                    <w:left w:val="none" w:sz="0" w:space="0" w:color="auto"/>
                    <w:bottom w:val="none" w:sz="0" w:space="0" w:color="auto"/>
                    <w:right w:val="none" w:sz="0" w:space="0" w:color="auto"/>
                  </w:divBdr>
                  <w:divsChild>
                    <w:div w:id="1643390286">
                      <w:marLeft w:val="0"/>
                      <w:marRight w:val="0"/>
                      <w:marTop w:val="0"/>
                      <w:marBottom w:val="0"/>
                      <w:divBdr>
                        <w:top w:val="none" w:sz="0" w:space="0" w:color="auto"/>
                        <w:left w:val="none" w:sz="0" w:space="0" w:color="auto"/>
                        <w:bottom w:val="none" w:sz="0" w:space="0" w:color="auto"/>
                        <w:right w:val="none" w:sz="0" w:space="0" w:color="auto"/>
                      </w:divBdr>
                      <w:divsChild>
                        <w:div w:id="1643390407">
                          <w:marLeft w:val="0"/>
                          <w:marRight w:val="0"/>
                          <w:marTop w:val="0"/>
                          <w:marBottom w:val="0"/>
                          <w:divBdr>
                            <w:top w:val="none" w:sz="0" w:space="0" w:color="auto"/>
                            <w:left w:val="none" w:sz="0" w:space="0" w:color="auto"/>
                            <w:bottom w:val="none" w:sz="0" w:space="0" w:color="auto"/>
                            <w:right w:val="none" w:sz="0" w:space="0" w:color="auto"/>
                          </w:divBdr>
                          <w:divsChild>
                            <w:div w:id="164339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63">
      <w:marLeft w:val="0"/>
      <w:marRight w:val="0"/>
      <w:marTop w:val="0"/>
      <w:marBottom w:val="0"/>
      <w:divBdr>
        <w:top w:val="none" w:sz="0" w:space="0" w:color="auto"/>
        <w:left w:val="none" w:sz="0" w:space="0" w:color="auto"/>
        <w:bottom w:val="none" w:sz="0" w:space="0" w:color="auto"/>
        <w:right w:val="none" w:sz="0" w:space="0" w:color="auto"/>
      </w:divBdr>
      <w:divsChild>
        <w:div w:id="1643390249">
          <w:marLeft w:val="0"/>
          <w:marRight w:val="0"/>
          <w:marTop w:val="0"/>
          <w:marBottom w:val="0"/>
          <w:divBdr>
            <w:top w:val="none" w:sz="0" w:space="0" w:color="auto"/>
            <w:left w:val="none" w:sz="0" w:space="0" w:color="auto"/>
            <w:bottom w:val="none" w:sz="0" w:space="0" w:color="auto"/>
            <w:right w:val="none" w:sz="0" w:space="0" w:color="auto"/>
          </w:divBdr>
          <w:divsChild>
            <w:div w:id="1643390301">
              <w:marLeft w:val="0"/>
              <w:marRight w:val="0"/>
              <w:marTop w:val="0"/>
              <w:marBottom w:val="0"/>
              <w:divBdr>
                <w:top w:val="none" w:sz="0" w:space="0" w:color="auto"/>
                <w:left w:val="none" w:sz="0" w:space="0" w:color="auto"/>
                <w:bottom w:val="none" w:sz="0" w:space="0" w:color="auto"/>
                <w:right w:val="none" w:sz="0" w:space="0" w:color="auto"/>
              </w:divBdr>
              <w:divsChild>
                <w:div w:id="1643390269">
                  <w:marLeft w:val="0"/>
                  <w:marRight w:val="0"/>
                  <w:marTop w:val="0"/>
                  <w:marBottom w:val="0"/>
                  <w:divBdr>
                    <w:top w:val="none" w:sz="0" w:space="0" w:color="auto"/>
                    <w:left w:val="none" w:sz="0" w:space="0" w:color="auto"/>
                    <w:bottom w:val="none" w:sz="0" w:space="0" w:color="auto"/>
                    <w:right w:val="none" w:sz="0" w:space="0" w:color="auto"/>
                  </w:divBdr>
                  <w:divsChild>
                    <w:div w:id="1643390307">
                      <w:marLeft w:val="0"/>
                      <w:marRight w:val="0"/>
                      <w:marTop w:val="0"/>
                      <w:marBottom w:val="0"/>
                      <w:divBdr>
                        <w:top w:val="none" w:sz="0" w:space="0" w:color="auto"/>
                        <w:left w:val="none" w:sz="0" w:space="0" w:color="auto"/>
                        <w:bottom w:val="none" w:sz="0" w:space="0" w:color="auto"/>
                        <w:right w:val="none" w:sz="0" w:space="0" w:color="auto"/>
                      </w:divBdr>
                      <w:divsChild>
                        <w:div w:id="1643390305">
                          <w:marLeft w:val="0"/>
                          <w:marRight w:val="0"/>
                          <w:marTop w:val="0"/>
                          <w:marBottom w:val="0"/>
                          <w:divBdr>
                            <w:top w:val="none" w:sz="0" w:space="0" w:color="auto"/>
                            <w:left w:val="none" w:sz="0" w:space="0" w:color="auto"/>
                            <w:bottom w:val="none" w:sz="0" w:space="0" w:color="auto"/>
                            <w:right w:val="none" w:sz="0" w:space="0" w:color="auto"/>
                          </w:divBdr>
                          <w:divsChild>
                            <w:div w:id="164339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70">
      <w:marLeft w:val="0"/>
      <w:marRight w:val="0"/>
      <w:marTop w:val="0"/>
      <w:marBottom w:val="0"/>
      <w:divBdr>
        <w:top w:val="none" w:sz="0" w:space="0" w:color="auto"/>
        <w:left w:val="none" w:sz="0" w:space="0" w:color="auto"/>
        <w:bottom w:val="none" w:sz="0" w:space="0" w:color="auto"/>
        <w:right w:val="none" w:sz="0" w:space="0" w:color="auto"/>
      </w:divBdr>
      <w:divsChild>
        <w:div w:id="1643390276">
          <w:marLeft w:val="0"/>
          <w:marRight w:val="0"/>
          <w:marTop w:val="0"/>
          <w:marBottom w:val="0"/>
          <w:divBdr>
            <w:top w:val="none" w:sz="0" w:space="0" w:color="auto"/>
            <w:left w:val="none" w:sz="0" w:space="0" w:color="auto"/>
            <w:bottom w:val="none" w:sz="0" w:space="0" w:color="auto"/>
            <w:right w:val="none" w:sz="0" w:space="0" w:color="auto"/>
          </w:divBdr>
          <w:divsChild>
            <w:div w:id="1643390271">
              <w:marLeft w:val="0"/>
              <w:marRight w:val="0"/>
              <w:marTop w:val="0"/>
              <w:marBottom w:val="0"/>
              <w:divBdr>
                <w:top w:val="none" w:sz="0" w:space="0" w:color="auto"/>
                <w:left w:val="none" w:sz="0" w:space="0" w:color="auto"/>
                <w:bottom w:val="none" w:sz="0" w:space="0" w:color="auto"/>
                <w:right w:val="none" w:sz="0" w:space="0" w:color="auto"/>
              </w:divBdr>
              <w:divsChild>
                <w:div w:id="1643390295">
                  <w:marLeft w:val="0"/>
                  <w:marRight w:val="0"/>
                  <w:marTop w:val="0"/>
                  <w:marBottom w:val="0"/>
                  <w:divBdr>
                    <w:top w:val="none" w:sz="0" w:space="0" w:color="auto"/>
                    <w:left w:val="none" w:sz="0" w:space="0" w:color="auto"/>
                    <w:bottom w:val="none" w:sz="0" w:space="0" w:color="auto"/>
                    <w:right w:val="none" w:sz="0" w:space="0" w:color="auto"/>
                  </w:divBdr>
                  <w:divsChild>
                    <w:div w:id="1643390388">
                      <w:marLeft w:val="0"/>
                      <w:marRight w:val="0"/>
                      <w:marTop w:val="0"/>
                      <w:marBottom w:val="0"/>
                      <w:divBdr>
                        <w:top w:val="none" w:sz="0" w:space="0" w:color="auto"/>
                        <w:left w:val="none" w:sz="0" w:space="0" w:color="auto"/>
                        <w:bottom w:val="none" w:sz="0" w:space="0" w:color="auto"/>
                        <w:right w:val="none" w:sz="0" w:space="0" w:color="auto"/>
                      </w:divBdr>
                      <w:divsChild>
                        <w:div w:id="1643390257">
                          <w:marLeft w:val="0"/>
                          <w:marRight w:val="0"/>
                          <w:marTop w:val="0"/>
                          <w:marBottom w:val="0"/>
                          <w:divBdr>
                            <w:top w:val="none" w:sz="0" w:space="0" w:color="auto"/>
                            <w:left w:val="none" w:sz="0" w:space="0" w:color="auto"/>
                            <w:bottom w:val="none" w:sz="0" w:space="0" w:color="auto"/>
                            <w:right w:val="none" w:sz="0" w:space="0" w:color="auto"/>
                          </w:divBdr>
                          <w:divsChild>
                            <w:div w:id="164339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73">
      <w:marLeft w:val="0"/>
      <w:marRight w:val="0"/>
      <w:marTop w:val="0"/>
      <w:marBottom w:val="0"/>
      <w:divBdr>
        <w:top w:val="none" w:sz="0" w:space="0" w:color="auto"/>
        <w:left w:val="none" w:sz="0" w:space="0" w:color="auto"/>
        <w:bottom w:val="none" w:sz="0" w:space="0" w:color="auto"/>
        <w:right w:val="none" w:sz="0" w:space="0" w:color="auto"/>
      </w:divBdr>
      <w:divsChild>
        <w:div w:id="1643390348">
          <w:marLeft w:val="0"/>
          <w:marRight w:val="0"/>
          <w:marTop w:val="0"/>
          <w:marBottom w:val="0"/>
          <w:divBdr>
            <w:top w:val="none" w:sz="0" w:space="0" w:color="auto"/>
            <w:left w:val="none" w:sz="0" w:space="0" w:color="auto"/>
            <w:bottom w:val="none" w:sz="0" w:space="0" w:color="auto"/>
            <w:right w:val="none" w:sz="0" w:space="0" w:color="auto"/>
          </w:divBdr>
          <w:divsChild>
            <w:div w:id="1643390379">
              <w:marLeft w:val="0"/>
              <w:marRight w:val="0"/>
              <w:marTop w:val="0"/>
              <w:marBottom w:val="0"/>
              <w:divBdr>
                <w:top w:val="none" w:sz="0" w:space="0" w:color="auto"/>
                <w:left w:val="none" w:sz="0" w:space="0" w:color="auto"/>
                <w:bottom w:val="none" w:sz="0" w:space="0" w:color="auto"/>
                <w:right w:val="none" w:sz="0" w:space="0" w:color="auto"/>
              </w:divBdr>
              <w:divsChild>
                <w:div w:id="1643390275">
                  <w:marLeft w:val="0"/>
                  <w:marRight w:val="0"/>
                  <w:marTop w:val="0"/>
                  <w:marBottom w:val="0"/>
                  <w:divBdr>
                    <w:top w:val="none" w:sz="0" w:space="0" w:color="auto"/>
                    <w:left w:val="none" w:sz="0" w:space="0" w:color="auto"/>
                    <w:bottom w:val="none" w:sz="0" w:space="0" w:color="auto"/>
                    <w:right w:val="none" w:sz="0" w:space="0" w:color="auto"/>
                  </w:divBdr>
                  <w:divsChild>
                    <w:div w:id="1643390248">
                      <w:marLeft w:val="0"/>
                      <w:marRight w:val="0"/>
                      <w:marTop w:val="0"/>
                      <w:marBottom w:val="0"/>
                      <w:divBdr>
                        <w:top w:val="none" w:sz="0" w:space="0" w:color="auto"/>
                        <w:left w:val="none" w:sz="0" w:space="0" w:color="auto"/>
                        <w:bottom w:val="none" w:sz="0" w:space="0" w:color="auto"/>
                        <w:right w:val="none" w:sz="0" w:space="0" w:color="auto"/>
                      </w:divBdr>
                      <w:divsChild>
                        <w:div w:id="1643390355">
                          <w:marLeft w:val="0"/>
                          <w:marRight w:val="0"/>
                          <w:marTop w:val="0"/>
                          <w:marBottom w:val="0"/>
                          <w:divBdr>
                            <w:top w:val="none" w:sz="0" w:space="0" w:color="auto"/>
                            <w:left w:val="none" w:sz="0" w:space="0" w:color="auto"/>
                            <w:bottom w:val="none" w:sz="0" w:space="0" w:color="auto"/>
                            <w:right w:val="none" w:sz="0" w:space="0" w:color="auto"/>
                          </w:divBdr>
                          <w:divsChild>
                            <w:div w:id="1643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78">
      <w:marLeft w:val="0"/>
      <w:marRight w:val="0"/>
      <w:marTop w:val="0"/>
      <w:marBottom w:val="0"/>
      <w:divBdr>
        <w:top w:val="none" w:sz="0" w:space="0" w:color="auto"/>
        <w:left w:val="none" w:sz="0" w:space="0" w:color="auto"/>
        <w:bottom w:val="none" w:sz="0" w:space="0" w:color="auto"/>
        <w:right w:val="none" w:sz="0" w:space="0" w:color="auto"/>
      </w:divBdr>
      <w:divsChild>
        <w:div w:id="1643390292">
          <w:marLeft w:val="0"/>
          <w:marRight w:val="0"/>
          <w:marTop w:val="0"/>
          <w:marBottom w:val="0"/>
          <w:divBdr>
            <w:top w:val="none" w:sz="0" w:space="0" w:color="auto"/>
            <w:left w:val="none" w:sz="0" w:space="0" w:color="auto"/>
            <w:bottom w:val="none" w:sz="0" w:space="0" w:color="auto"/>
            <w:right w:val="none" w:sz="0" w:space="0" w:color="auto"/>
          </w:divBdr>
          <w:divsChild>
            <w:div w:id="1643390247">
              <w:marLeft w:val="0"/>
              <w:marRight w:val="0"/>
              <w:marTop w:val="0"/>
              <w:marBottom w:val="0"/>
              <w:divBdr>
                <w:top w:val="none" w:sz="0" w:space="0" w:color="auto"/>
                <w:left w:val="none" w:sz="0" w:space="0" w:color="auto"/>
                <w:bottom w:val="none" w:sz="0" w:space="0" w:color="auto"/>
                <w:right w:val="none" w:sz="0" w:space="0" w:color="auto"/>
              </w:divBdr>
              <w:divsChild>
                <w:div w:id="1643390417">
                  <w:marLeft w:val="0"/>
                  <w:marRight w:val="0"/>
                  <w:marTop w:val="0"/>
                  <w:marBottom w:val="0"/>
                  <w:divBdr>
                    <w:top w:val="none" w:sz="0" w:space="0" w:color="auto"/>
                    <w:left w:val="none" w:sz="0" w:space="0" w:color="auto"/>
                    <w:bottom w:val="none" w:sz="0" w:space="0" w:color="auto"/>
                    <w:right w:val="none" w:sz="0" w:space="0" w:color="auto"/>
                  </w:divBdr>
                  <w:divsChild>
                    <w:div w:id="1643390369">
                      <w:marLeft w:val="0"/>
                      <w:marRight w:val="0"/>
                      <w:marTop w:val="0"/>
                      <w:marBottom w:val="0"/>
                      <w:divBdr>
                        <w:top w:val="none" w:sz="0" w:space="0" w:color="auto"/>
                        <w:left w:val="none" w:sz="0" w:space="0" w:color="auto"/>
                        <w:bottom w:val="none" w:sz="0" w:space="0" w:color="auto"/>
                        <w:right w:val="none" w:sz="0" w:space="0" w:color="auto"/>
                      </w:divBdr>
                      <w:divsChild>
                        <w:div w:id="1643390347">
                          <w:marLeft w:val="0"/>
                          <w:marRight w:val="0"/>
                          <w:marTop w:val="0"/>
                          <w:marBottom w:val="0"/>
                          <w:divBdr>
                            <w:top w:val="none" w:sz="0" w:space="0" w:color="auto"/>
                            <w:left w:val="none" w:sz="0" w:space="0" w:color="auto"/>
                            <w:bottom w:val="none" w:sz="0" w:space="0" w:color="auto"/>
                            <w:right w:val="none" w:sz="0" w:space="0" w:color="auto"/>
                          </w:divBdr>
                          <w:divsChild>
                            <w:div w:id="164339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80">
      <w:marLeft w:val="0"/>
      <w:marRight w:val="0"/>
      <w:marTop w:val="0"/>
      <w:marBottom w:val="0"/>
      <w:divBdr>
        <w:top w:val="none" w:sz="0" w:space="0" w:color="auto"/>
        <w:left w:val="none" w:sz="0" w:space="0" w:color="auto"/>
        <w:bottom w:val="none" w:sz="0" w:space="0" w:color="auto"/>
        <w:right w:val="none" w:sz="0" w:space="0" w:color="auto"/>
      </w:divBdr>
      <w:divsChild>
        <w:div w:id="1643390321">
          <w:marLeft w:val="0"/>
          <w:marRight w:val="0"/>
          <w:marTop w:val="0"/>
          <w:marBottom w:val="0"/>
          <w:divBdr>
            <w:top w:val="none" w:sz="0" w:space="0" w:color="auto"/>
            <w:left w:val="none" w:sz="0" w:space="0" w:color="auto"/>
            <w:bottom w:val="none" w:sz="0" w:space="0" w:color="auto"/>
            <w:right w:val="none" w:sz="0" w:space="0" w:color="auto"/>
          </w:divBdr>
          <w:divsChild>
            <w:div w:id="1643390422">
              <w:marLeft w:val="0"/>
              <w:marRight w:val="0"/>
              <w:marTop w:val="0"/>
              <w:marBottom w:val="0"/>
              <w:divBdr>
                <w:top w:val="none" w:sz="0" w:space="0" w:color="auto"/>
                <w:left w:val="none" w:sz="0" w:space="0" w:color="auto"/>
                <w:bottom w:val="none" w:sz="0" w:space="0" w:color="auto"/>
                <w:right w:val="none" w:sz="0" w:space="0" w:color="auto"/>
              </w:divBdr>
              <w:divsChild>
                <w:div w:id="1643390294">
                  <w:marLeft w:val="0"/>
                  <w:marRight w:val="0"/>
                  <w:marTop w:val="0"/>
                  <w:marBottom w:val="0"/>
                  <w:divBdr>
                    <w:top w:val="none" w:sz="0" w:space="0" w:color="auto"/>
                    <w:left w:val="none" w:sz="0" w:space="0" w:color="auto"/>
                    <w:bottom w:val="none" w:sz="0" w:space="0" w:color="auto"/>
                    <w:right w:val="none" w:sz="0" w:space="0" w:color="auto"/>
                  </w:divBdr>
                  <w:divsChild>
                    <w:div w:id="1643390322">
                      <w:marLeft w:val="0"/>
                      <w:marRight w:val="0"/>
                      <w:marTop w:val="0"/>
                      <w:marBottom w:val="0"/>
                      <w:divBdr>
                        <w:top w:val="none" w:sz="0" w:space="0" w:color="auto"/>
                        <w:left w:val="none" w:sz="0" w:space="0" w:color="auto"/>
                        <w:bottom w:val="none" w:sz="0" w:space="0" w:color="auto"/>
                        <w:right w:val="none" w:sz="0" w:space="0" w:color="auto"/>
                      </w:divBdr>
                      <w:divsChild>
                        <w:div w:id="1643390391">
                          <w:marLeft w:val="0"/>
                          <w:marRight w:val="0"/>
                          <w:marTop w:val="0"/>
                          <w:marBottom w:val="0"/>
                          <w:divBdr>
                            <w:top w:val="none" w:sz="0" w:space="0" w:color="auto"/>
                            <w:left w:val="none" w:sz="0" w:space="0" w:color="auto"/>
                            <w:bottom w:val="none" w:sz="0" w:space="0" w:color="auto"/>
                            <w:right w:val="none" w:sz="0" w:space="0" w:color="auto"/>
                          </w:divBdr>
                          <w:divsChild>
                            <w:div w:id="16433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394">
      <w:marLeft w:val="0"/>
      <w:marRight w:val="0"/>
      <w:marTop w:val="0"/>
      <w:marBottom w:val="0"/>
      <w:divBdr>
        <w:top w:val="none" w:sz="0" w:space="0" w:color="auto"/>
        <w:left w:val="none" w:sz="0" w:space="0" w:color="auto"/>
        <w:bottom w:val="none" w:sz="0" w:space="0" w:color="auto"/>
        <w:right w:val="none" w:sz="0" w:space="0" w:color="auto"/>
      </w:divBdr>
    </w:div>
    <w:div w:id="1643390399">
      <w:marLeft w:val="0"/>
      <w:marRight w:val="0"/>
      <w:marTop w:val="0"/>
      <w:marBottom w:val="0"/>
      <w:divBdr>
        <w:top w:val="none" w:sz="0" w:space="0" w:color="auto"/>
        <w:left w:val="none" w:sz="0" w:space="0" w:color="auto"/>
        <w:bottom w:val="none" w:sz="0" w:space="0" w:color="auto"/>
        <w:right w:val="none" w:sz="0" w:space="0" w:color="auto"/>
      </w:divBdr>
      <w:divsChild>
        <w:div w:id="1643390344">
          <w:marLeft w:val="0"/>
          <w:marRight w:val="0"/>
          <w:marTop w:val="0"/>
          <w:marBottom w:val="0"/>
          <w:divBdr>
            <w:top w:val="none" w:sz="0" w:space="0" w:color="auto"/>
            <w:left w:val="none" w:sz="0" w:space="0" w:color="auto"/>
            <w:bottom w:val="none" w:sz="0" w:space="0" w:color="auto"/>
            <w:right w:val="none" w:sz="0" w:space="0" w:color="auto"/>
          </w:divBdr>
          <w:divsChild>
            <w:div w:id="1643390341">
              <w:marLeft w:val="0"/>
              <w:marRight w:val="0"/>
              <w:marTop w:val="0"/>
              <w:marBottom w:val="0"/>
              <w:divBdr>
                <w:top w:val="none" w:sz="0" w:space="0" w:color="auto"/>
                <w:left w:val="none" w:sz="0" w:space="0" w:color="auto"/>
                <w:bottom w:val="none" w:sz="0" w:space="0" w:color="auto"/>
                <w:right w:val="none" w:sz="0" w:space="0" w:color="auto"/>
              </w:divBdr>
              <w:divsChild>
                <w:div w:id="1643390319">
                  <w:marLeft w:val="0"/>
                  <w:marRight w:val="0"/>
                  <w:marTop w:val="0"/>
                  <w:marBottom w:val="0"/>
                  <w:divBdr>
                    <w:top w:val="none" w:sz="0" w:space="0" w:color="auto"/>
                    <w:left w:val="none" w:sz="0" w:space="0" w:color="auto"/>
                    <w:bottom w:val="none" w:sz="0" w:space="0" w:color="auto"/>
                    <w:right w:val="none" w:sz="0" w:space="0" w:color="auto"/>
                  </w:divBdr>
                  <w:divsChild>
                    <w:div w:id="1643390333">
                      <w:marLeft w:val="0"/>
                      <w:marRight w:val="0"/>
                      <w:marTop w:val="0"/>
                      <w:marBottom w:val="0"/>
                      <w:divBdr>
                        <w:top w:val="none" w:sz="0" w:space="0" w:color="auto"/>
                        <w:left w:val="none" w:sz="0" w:space="0" w:color="auto"/>
                        <w:bottom w:val="none" w:sz="0" w:space="0" w:color="auto"/>
                        <w:right w:val="none" w:sz="0" w:space="0" w:color="auto"/>
                      </w:divBdr>
                      <w:divsChild>
                        <w:div w:id="1643390261">
                          <w:marLeft w:val="0"/>
                          <w:marRight w:val="0"/>
                          <w:marTop w:val="0"/>
                          <w:marBottom w:val="0"/>
                          <w:divBdr>
                            <w:top w:val="none" w:sz="0" w:space="0" w:color="auto"/>
                            <w:left w:val="none" w:sz="0" w:space="0" w:color="auto"/>
                            <w:bottom w:val="none" w:sz="0" w:space="0" w:color="auto"/>
                            <w:right w:val="none" w:sz="0" w:space="0" w:color="auto"/>
                          </w:divBdr>
                        </w:div>
                        <w:div w:id="164339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390405">
      <w:marLeft w:val="0"/>
      <w:marRight w:val="0"/>
      <w:marTop w:val="0"/>
      <w:marBottom w:val="0"/>
      <w:divBdr>
        <w:top w:val="none" w:sz="0" w:space="0" w:color="auto"/>
        <w:left w:val="none" w:sz="0" w:space="0" w:color="auto"/>
        <w:bottom w:val="none" w:sz="0" w:space="0" w:color="auto"/>
        <w:right w:val="none" w:sz="0" w:space="0" w:color="auto"/>
      </w:divBdr>
      <w:divsChild>
        <w:div w:id="1643390381">
          <w:marLeft w:val="0"/>
          <w:marRight w:val="0"/>
          <w:marTop w:val="0"/>
          <w:marBottom w:val="0"/>
          <w:divBdr>
            <w:top w:val="none" w:sz="0" w:space="0" w:color="auto"/>
            <w:left w:val="none" w:sz="0" w:space="0" w:color="auto"/>
            <w:bottom w:val="none" w:sz="0" w:space="0" w:color="auto"/>
            <w:right w:val="none" w:sz="0" w:space="0" w:color="auto"/>
          </w:divBdr>
          <w:divsChild>
            <w:div w:id="1643390304">
              <w:marLeft w:val="0"/>
              <w:marRight w:val="0"/>
              <w:marTop w:val="0"/>
              <w:marBottom w:val="0"/>
              <w:divBdr>
                <w:top w:val="none" w:sz="0" w:space="0" w:color="auto"/>
                <w:left w:val="none" w:sz="0" w:space="0" w:color="auto"/>
                <w:bottom w:val="none" w:sz="0" w:space="0" w:color="auto"/>
                <w:right w:val="none" w:sz="0" w:space="0" w:color="auto"/>
              </w:divBdr>
              <w:divsChild>
                <w:div w:id="1643390320">
                  <w:marLeft w:val="0"/>
                  <w:marRight w:val="0"/>
                  <w:marTop w:val="0"/>
                  <w:marBottom w:val="0"/>
                  <w:divBdr>
                    <w:top w:val="none" w:sz="0" w:space="0" w:color="auto"/>
                    <w:left w:val="none" w:sz="0" w:space="0" w:color="auto"/>
                    <w:bottom w:val="none" w:sz="0" w:space="0" w:color="auto"/>
                    <w:right w:val="none" w:sz="0" w:space="0" w:color="auto"/>
                  </w:divBdr>
                  <w:divsChild>
                    <w:div w:id="1643390395">
                      <w:marLeft w:val="0"/>
                      <w:marRight w:val="0"/>
                      <w:marTop w:val="0"/>
                      <w:marBottom w:val="0"/>
                      <w:divBdr>
                        <w:top w:val="none" w:sz="0" w:space="0" w:color="auto"/>
                        <w:left w:val="none" w:sz="0" w:space="0" w:color="auto"/>
                        <w:bottom w:val="none" w:sz="0" w:space="0" w:color="auto"/>
                        <w:right w:val="none" w:sz="0" w:space="0" w:color="auto"/>
                      </w:divBdr>
                      <w:divsChild>
                        <w:div w:id="1643390401">
                          <w:marLeft w:val="0"/>
                          <w:marRight w:val="0"/>
                          <w:marTop w:val="0"/>
                          <w:marBottom w:val="0"/>
                          <w:divBdr>
                            <w:top w:val="none" w:sz="0" w:space="0" w:color="auto"/>
                            <w:left w:val="none" w:sz="0" w:space="0" w:color="auto"/>
                            <w:bottom w:val="none" w:sz="0" w:space="0" w:color="auto"/>
                            <w:right w:val="none" w:sz="0" w:space="0" w:color="auto"/>
                          </w:divBdr>
                          <w:divsChild>
                            <w:div w:id="164339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90415">
      <w:marLeft w:val="0"/>
      <w:marRight w:val="0"/>
      <w:marTop w:val="0"/>
      <w:marBottom w:val="0"/>
      <w:divBdr>
        <w:top w:val="none" w:sz="0" w:space="0" w:color="auto"/>
        <w:left w:val="none" w:sz="0" w:space="0" w:color="auto"/>
        <w:bottom w:val="none" w:sz="0" w:space="0" w:color="auto"/>
        <w:right w:val="none" w:sz="0" w:space="0" w:color="auto"/>
      </w:divBdr>
    </w:div>
    <w:div w:id="1643390424">
      <w:marLeft w:val="0"/>
      <w:marRight w:val="0"/>
      <w:marTop w:val="0"/>
      <w:marBottom w:val="0"/>
      <w:divBdr>
        <w:top w:val="none" w:sz="0" w:space="0" w:color="auto"/>
        <w:left w:val="none" w:sz="0" w:space="0" w:color="auto"/>
        <w:bottom w:val="none" w:sz="0" w:space="0" w:color="auto"/>
        <w:right w:val="none" w:sz="0" w:space="0" w:color="auto"/>
      </w:divBdr>
    </w:div>
    <w:div w:id="1643390425">
      <w:marLeft w:val="0"/>
      <w:marRight w:val="0"/>
      <w:marTop w:val="0"/>
      <w:marBottom w:val="0"/>
      <w:divBdr>
        <w:top w:val="none" w:sz="0" w:space="0" w:color="auto"/>
        <w:left w:val="none" w:sz="0" w:space="0" w:color="auto"/>
        <w:bottom w:val="none" w:sz="0" w:space="0" w:color="auto"/>
        <w:right w:val="none" w:sz="0" w:space="0" w:color="auto"/>
      </w:divBdr>
      <w:divsChild>
        <w:div w:id="1643390317">
          <w:marLeft w:val="0"/>
          <w:marRight w:val="0"/>
          <w:marTop w:val="0"/>
          <w:marBottom w:val="0"/>
          <w:divBdr>
            <w:top w:val="none" w:sz="0" w:space="0" w:color="auto"/>
            <w:left w:val="none" w:sz="0" w:space="0" w:color="auto"/>
            <w:bottom w:val="none" w:sz="0" w:space="0" w:color="auto"/>
            <w:right w:val="none" w:sz="0" w:space="0" w:color="auto"/>
          </w:divBdr>
          <w:divsChild>
            <w:div w:id="1643390397">
              <w:marLeft w:val="0"/>
              <w:marRight w:val="0"/>
              <w:marTop w:val="0"/>
              <w:marBottom w:val="0"/>
              <w:divBdr>
                <w:top w:val="none" w:sz="0" w:space="0" w:color="auto"/>
                <w:left w:val="none" w:sz="0" w:space="0" w:color="auto"/>
                <w:bottom w:val="none" w:sz="0" w:space="0" w:color="auto"/>
                <w:right w:val="none" w:sz="0" w:space="0" w:color="auto"/>
              </w:divBdr>
              <w:divsChild>
                <w:div w:id="1643390281">
                  <w:marLeft w:val="0"/>
                  <w:marRight w:val="0"/>
                  <w:marTop w:val="0"/>
                  <w:marBottom w:val="0"/>
                  <w:divBdr>
                    <w:top w:val="none" w:sz="0" w:space="0" w:color="auto"/>
                    <w:left w:val="none" w:sz="0" w:space="0" w:color="auto"/>
                    <w:bottom w:val="none" w:sz="0" w:space="0" w:color="auto"/>
                    <w:right w:val="none" w:sz="0" w:space="0" w:color="auto"/>
                  </w:divBdr>
                  <w:divsChild>
                    <w:div w:id="1643390285">
                      <w:marLeft w:val="0"/>
                      <w:marRight w:val="0"/>
                      <w:marTop w:val="0"/>
                      <w:marBottom w:val="0"/>
                      <w:divBdr>
                        <w:top w:val="none" w:sz="0" w:space="0" w:color="auto"/>
                        <w:left w:val="none" w:sz="0" w:space="0" w:color="auto"/>
                        <w:bottom w:val="none" w:sz="0" w:space="0" w:color="auto"/>
                        <w:right w:val="none" w:sz="0" w:space="0" w:color="auto"/>
                      </w:divBdr>
                      <w:divsChild>
                        <w:div w:id="1643390349">
                          <w:marLeft w:val="0"/>
                          <w:marRight w:val="0"/>
                          <w:marTop w:val="0"/>
                          <w:marBottom w:val="0"/>
                          <w:divBdr>
                            <w:top w:val="none" w:sz="0" w:space="0" w:color="auto"/>
                            <w:left w:val="none" w:sz="0" w:space="0" w:color="auto"/>
                            <w:bottom w:val="none" w:sz="0" w:space="0" w:color="auto"/>
                            <w:right w:val="none" w:sz="0" w:space="0" w:color="auto"/>
                          </w:divBdr>
                          <w:divsChild>
                            <w:div w:id="164339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yperlink" Target="http://hudoc.echr.coe.int/sites/eng/Pages/search.aspx"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17</Pages>
  <Words>5724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keywords/>
  <dc:description/>
  <cp:lastModifiedBy/>
  <cp:revision>2</cp:revision>
  <cp:lastPrinted>2015-11-03T13:25:00Z</cp:lastPrinted>
  <dcterms:created xsi:type="dcterms:W3CDTF">2016-05-17T09:13:00Z</dcterms:created>
  <dcterms:modified xsi:type="dcterms:W3CDTF">2016-05-17T09:13:00Z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