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7.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06AA94F" w14:textId="77777777" w:rsidR="00014566" w:rsidRPr="00E477A0" w:rsidRDefault="00014566" w:rsidP="00E477A0">
      <w:pPr>
        <w:tabs>
          <w:tab w:val="left" w:pos="5670"/>
        </w:tabs>
        <w:rPr>
          <w:b/>
        </w:rPr>
      </w:pPr>
      <w:bookmarkStart w:id="0" w:name="_GoBack"/>
      <w:bookmarkEnd w:id="0"/>
    </w:p>
    <w:p w14:paraId="06EDFEC4" w14:textId="77777777" w:rsidR="00B01CD4" w:rsidRPr="00E477A0" w:rsidRDefault="00B01CD4" w:rsidP="00E477A0">
      <w:pPr>
        <w:tabs>
          <w:tab w:val="left" w:pos="5670"/>
        </w:tabs>
        <w:rPr>
          <w:b/>
        </w:rPr>
      </w:pPr>
    </w:p>
    <w:p w14:paraId="7353481E" w14:textId="77777777" w:rsidR="00014566" w:rsidRPr="00D76B80" w:rsidRDefault="005A07CE" w:rsidP="00E477A0">
      <w:pPr>
        <w:jc w:val="center"/>
        <w:rPr>
          <w:lang w:val="it-IT"/>
        </w:rPr>
      </w:pPr>
      <w:r>
        <w:rPr>
          <w:lang w:val="sl"/>
        </w:rPr>
        <w:t>ČETRTI ODDELEK</w:t>
      </w:r>
    </w:p>
    <w:p w14:paraId="5D029976" w14:textId="77777777" w:rsidR="00014566" w:rsidRPr="00D76B80" w:rsidRDefault="00014566" w:rsidP="00E477A0">
      <w:pPr>
        <w:jc w:val="center"/>
        <w:rPr>
          <w:lang w:val="it-IT"/>
        </w:rPr>
      </w:pPr>
    </w:p>
    <w:p w14:paraId="47C639BB" w14:textId="77777777" w:rsidR="00B01CD4" w:rsidRPr="00D76B80" w:rsidRDefault="00B01CD4" w:rsidP="00E477A0">
      <w:pPr>
        <w:jc w:val="center"/>
        <w:rPr>
          <w:lang w:val="it-IT"/>
        </w:rPr>
      </w:pPr>
    </w:p>
    <w:p w14:paraId="1AA18A0F" w14:textId="77777777" w:rsidR="00B01CD4" w:rsidRPr="00D76B80" w:rsidRDefault="00B01CD4" w:rsidP="00E477A0">
      <w:pPr>
        <w:jc w:val="center"/>
        <w:rPr>
          <w:lang w:val="it-IT"/>
        </w:rPr>
      </w:pPr>
    </w:p>
    <w:p w14:paraId="423A3418" w14:textId="77777777" w:rsidR="00B01CD4" w:rsidRPr="00D76B80" w:rsidRDefault="00B01CD4" w:rsidP="00E477A0">
      <w:pPr>
        <w:jc w:val="center"/>
        <w:rPr>
          <w:lang w:val="it-IT"/>
        </w:rPr>
      </w:pPr>
    </w:p>
    <w:p w14:paraId="4DED63F8" w14:textId="77777777" w:rsidR="00E477A0" w:rsidRPr="00D76B80" w:rsidRDefault="00E477A0" w:rsidP="00E477A0">
      <w:pPr>
        <w:jc w:val="center"/>
        <w:rPr>
          <w:lang w:val="it-IT"/>
        </w:rPr>
      </w:pPr>
    </w:p>
    <w:p w14:paraId="27210679" w14:textId="77777777" w:rsidR="00E477A0" w:rsidRPr="00D76B80" w:rsidRDefault="00E477A0" w:rsidP="00E477A0">
      <w:pPr>
        <w:jc w:val="center"/>
        <w:rPr>
          <w:lang w:val="it-IT"/>
        </w:rPr>
      </w:pPr>
    </w:p>
    <w:p w14:paraId="39022095" w14:textId="77777777" w:rsidR="00B01CD4" w:rsidRPr="00D76B80" w:rsidRDefault="00B01CD4" w:rsidP="00E477A0">
      <w:pPr>
        <w:jc w:val="center"/>
        <w:rPr>
          <w:lang w:val="it-IT"/>
        </w:rPr>
      </w:pPr>
    </w:p>
    <w:p w14:paraId="21A8B8B1" w14:textId="77777777" w:rsidR="00014566" w:rsidRPr="00D76B80" w:rsidRDefault="00014566" w:rsidP="00E477A0">
      <w:pPr>
        <w:jc w:val="center"/>
        <w:rPr>
          <w:b/>
          <w:lang w:val="it-IT"/>
        </w:rPr>
      </w:pPr>
      <w:bookmarkStart w:id="1" w:name="To"/>
      <w:r>
        <w:rPr>
          <w:b/>
          <w:bCs/>
          <w:lang w:val="sl"/>
        </w:rPr>
        <w:t>ZADEVA</w:t>
      </w:r>
      <w:bookmarkEnd w:id="1"/>
      <w:r>
        <w:rPr>
          <w:b/>
          <w:bCs/>
          <w:lang w:val="sl"/>
        </w:rPr>
        <w:t xml:space="preserve"> DEVINAR proti</w:t>
      </w:r>
      <w:r>
        <w:rPr>
          <w:lang w:val="sl"/>
        </w:rPr>
        <w:t xml:space="preserve"> </w:t>
      </w:r>
      <w:r>
        <w:rPr>
          <w:b/>
          <w:bCs/>
          <w:lang w:val="sl"/>
        </w:rPr>
        <w:t>SLOVENIJI</w:t>
      </w:r>
    </w:p>
    <w:p w14:paraId="60C2197E" w14:textId="77777777" w:rsidR="00014566" w:rsidRPr="00D76B80" w:rsidRDefault="00014566" w:rsidP="00E477A0">
      <w:pPr>
        <w:jc w:val="center"/>
        <w:rPr>
          <w:lang w:val="it-IT"/>
        </w:rPr>
      </w:pPr>
    </w:p>
    <w:p w14:paraId="1158E3A6" w14:textId="77777777" w:rsidR="00014566" w:rsidRPr="00E477A0" w:rsidRDefault="00014566" w:rsidP="00E477A0">
      <w:pPr>
        <w:jc w:val="center"/>
        <w:rPr>
          <w:i/>
        </w:rPr>
      </w:pPr>
      <w:r>
        <w:rPr>
          <w:i/>
          <w:iCs/>
          <w:lang w:val="sl"/>
        </w:rPr>
        <w:t>(pritožba št. 28621/15)</w:t>
      </w:r>
    </w:p>
    <w:p w14:paraId="1A2207DC" w14:textId="77777777" w:rsidR="00014566" w:rsidRPr="00E477A0" w:rsidRDefault="00014566" w:rsidP="00E477A0">
      <w:pPr>
        <w:jc w:val="center"/>
      </w:pPr>
    </w:p>
    <w:p w14:paraId="26945160" w14:textId="77777777" w:rsidR="00014566" w:rsidRPr="00E477A0" w:rsidRDefault="00014566" w:rsidP="00E477A0">
      <w:pPr>
        <w:jc w:val="center"/>
      </w:pPr>
    </w:p>
    <w:p w14:paraId="23028A2C" w14:textId="77777777" w:rsidR="00B01CD4" w:rsidRPr="00E477A0" w:rsidRDefault="00B01CD4" w:rsidP="00E477A0">
      <w:pPr>
        <w:jc w:val="center"/>
      </w:pPr>
    </w:p>
    <w:p w14:paraId="337B7999" w14:textId="77777777" w:rsidR="00B01CD4" w:rsidRPr="00E477A0" w:rsidRDefault="00B01CD4" w:rsidP="00E477A0">
      <w:pPr>
        <w:jc w:val="center"/>
      </w:pPr>
    </w:p>
    <w:p w14:paraId="22F4C497" w14:textId="77777777" w:rsidR="00B01CD4" w:rsidRPr="00E477A0" w:rsidRDefault="00B01CD4" w:rsidP="00E477A0">
      <w:pPr>
        <w:jc w:val="center"/>
      </w:pPr>
    </w:p>
    <w:p w14:paraId="23269ED0" w14:textId="77777777" w:rsidR="00B01CD4" w:rsidRPr="00E477A0" w:rsidRDefault="00B01CD4" w:rsidP="00E477A0">
      <w:pPr>
        <w:jc w:val="center"/>
      </w:pPr>
    </w:p>
    <w:p w14:paraId="1BA74FC1" w14:textId="77777777" w:rsidR="00B01CD4" w:rsidRPr="00E477A0" w:rsidRDefault="00B01CD4" w:rsidP="00E477A0">
      <w:pPr>
        <w:jc w:val="center"/>
      </w:pPr>
    </w:p>
    <w:p w14:paraId="7CAB6FCF" w14:textId="77777777" w:rsidR="00B01CD4" w:rsidRPr="00E477A0" w:rsidRDefault="00B01CD4" w:rsidP="00E477A0">
      <w:pPr>
        <w:jc w:val="center"/>
      </w:pPr>
    </w:p>
    <w:p w14:paraId="57ED4A17" w14:textId="77777777" w:rsidR="00B01CD4" w:rsidRPr="00E477A0" w:rsidRDefault="00B01CD4" w:rsidP="00E477A0">
      <w:pPr>
        <w:jc w:val="center"/>
      </w:pPr>
    </w:p>
    <w:p w14:paraId="454031CB" w14:textId="77777777" w:rsidR="00014566" w:rsidRPr="00E477A0" w:rsidRDefault="00B01CD4" w:rsidP="00E477A0">
      <w:pPr>
        <w:jc w:val="center"/>
        <w:rPr>
          <w:szCs w:val="24"/>
        </w:rPr>
      </w:pPr>
      <w:r>
        <w:rPr>
          <w:szCs w:val="24"/>
          <w:lang w:val="sl"/>
        </w:rPr>
        <w:t>SODBA</w:t>
      </w:r>
    </w:p>
    <w:p w14:paraId="4AC2FFA1" w14:textId="77777777" w:rsidR="00014566" w:rsidRPr="00E477A0" w:rsidRDefault="00014566" w:rsidP="00E477A0">
      <w:pPr>
        <w:rPr>
          <w:szCs w:val="24"/>
        </w:rPr>
      </w:pPr>
    </w:p>
    <w:p w14:paraId="35D596E2" w14:textId="77777777" w:rsidR="00B01CD4" w:rsidRPr="00E477A0" w:rsidRDefault="00B01CD4" w:rsidP="00E477A0">
      <w:pPr>
        <w:pStyle w:val="JuCase"/>
        <w:ind w:firstLine="0"/>
        <w:jc w:val="center"/>
        <w:rPr>
          <w:b w:val="0"/>
          <w:sz w:val="22"/>
        </w:rPr>
      </w:pPr>
    </w:p>
    <w:p w14:paraId="5E0A3C4F" w14:textId="77777777" w:rsidR="00B01CD4" w:rsidRPr="00E477A0" w:rsidRDefault="00B01CD4" w:rsidP="00E477A0">
      <w:pPr>
        <w:pStyle w:val="JuCase"/>
        <w:ind w:firstLine="0"/>
        <w:jc w:val="center"/>
        <w:rPr>
          <w:b w:val="0"/>
          <w:szCs w:val="24"/>
        </w:rPr>
      </w:pPr>
      <w:r>
        <w:rPr>
          <w:b w:val="0"/>
          <w:szCs w:val="24"/>
          <w:lang w:val="sl"/>
        </w:rPr>
        <w:t>STRASBOURG</w:t>
      </w:r>
    </w:p>
    <w:p w14:paraId="49B8853B" w14:textId="77777777" w:rsidR="00B01CD4" w:rsidRPr="00E477A0" w:rsidRDefault="00B01CD4" w:rsidP="00E477A0">
      <w:pPr>
        <w:pStyle w:val="JuCase"/>
        <w:ind w:firstLine="0"/>
        <w:jc w:val="center"/>
        <w:rPr>
          <w:b w:val="0"/>
          <w:sz w:val="22"/>
        </w:rPr>
      </w:pPr>
    </w:p>
    <w:p w14:paraId="46DBFCCE" w14:textId="77777777" w:rsidR="00B01CD4" w:rsidRPr="00E477A0" w:rsidRDefault="00B01CD4" w:rsidP="00E477A0">
      <w:pPr>
        <w:pStyle w:val="JuCase"/>
        <w:ind w:firstLine="0"/>
        <w:jc w:val="center"/>
        <w:rPr>
          <w:b w:val="0"/>
          <w:szCs w:val="24"/>
        </w:rPr>
      </w:pPr>
      <w:r>
        <w:rPr>
          <w:b w:val="0"/>
          <w:szCs w:val="24"/>
          <w:lang w:val="sl"/>
        </w:rPr>
        <w:t>22. maj 2018</w:t>
      </w:r>
    </w:p>
    <w:p w14:paraId="007E328C" w14:textId="77777777" w:rsidR="00B01CD4" w:rsidRPr="00E477A0" w:rsidRDefault="00B01CD4" w:rsidP="00E477A0">
      <w:pPr>
        <w:pStyle w:val="JuCase"/>
        <w:ind w:firstLine="0"/>
        <w:jc w:val="center"/>
        <w:rPr>
          <w:b w:val="0"/>
          <w:sz w:val="22"/>
        </w:rPr>
      </w:pPr>
    </w:p>
    <w:p w14:paraId="0465D1D2" w14:textId="77777777" w:rsidR="00E477A0" w:rsidRPr="00E477A0" w:rsidRDefault="00E477A0" w:rsidP="00E477A0">
      <w:pPr>
        <w:pStyle w:val="ECHRPara"/>
      </w:pPr>
    </w:p>
    <w:p w14:paraId="512F182A" w14:textId="77777777" w:rsidR="00E477A0" w:rsidRPr="00E477A0" w:rsidRDefault="00E477A0" w:rsidP="00E477A0">
      <w:pPr>
        <w:pStyle w:val="ECHRPara"/>
      </w:pPr>
    </w:p>
    <w:p w14:paraId="16BEF569" w14:textId="77777777" w:rsidR="00B01CD4" w:rsidRPr="00E477A0" w:rsidRDefault="00B01CD4" w:rsidP="00E477A0">
      <w:pPr>
        <w:pStyle w:val="ECHRPara"/>
      </w:pPr>
    </w:p>
    <w:p w14:paraId="36D971D2" w14:textId="77777777" w:rsidR="00B01CD4" w:rsidRPr="00E477A0" w:rsidRDefault="00B01CD4" w:rsidP="00E477A0">
      <w:pPr>
        <w:pStyle w:val="ECHRPara"/>
      </w:pPr>
    </w:p>
    <w:p w14:paraId="4EF0535D" w14:textId="77777777" w:rsidR="005A07CE" w:rsidRPr="00D76B80" w:rsidRDefault="00B01CD4" w:rsidP="00E477A0">
      <w:pPr>
        <w:pStyle w:val="JuCase"/>
        <w:ind w:firstLine="0"/>
        <w:rPr>
          <w:b w:val="0"/>
          <w:lang w:val="sl"/>
        </w:rPr>
      </w:pPr>
      <w:r>
        <w:rPr>
          <w:b w:val="0"/>
          <w:i/>
          <w:iCs/>
          <w:sz w:val="22"/>
          <w:lang w:val="sl"/>
        </w:rPr>
        <w:t>Ta sodba bo postala dokončna v okoliščinah, navedenih v drugem odstavku 44. člena konvencije. Mogoči so uredniški popravki.</w:t>
      </w:r>
    </w:p>
    <w:p w14:paraId="74BAFAF6" w14:textId="77777777" w:rsidR="00B01CD4" w:rsidRPr="00D76B80" w:rsidRDefault="00B01CD4" w:rsidP="00E477A0">
      <w:pPr>
        <w:pStyle w:val="JuCase"/>
        <w:jc w:val="left"/>
        <w:rPr>
          <w:lang w:val="sl"/>
        </w:rPr>
      </w:pPr>
    </w:p>
    <w:p w14:paraId="443AA9F3" w14:textId="77777777" w:rsidR="00E477A0" w:rsidRPr="00D76B80" w:rsidRDefault="00E477A0" w:rsidP="00E477A0">
      <w:pPr>
        <w:pStyle w:val="ECHRPara"/>
        <w:rPr>
          <w:lang w:val="sl"/>
        </w:rPr>
        <w:sectPr w:rsidR="00E477A0" w:rsidRPr="00D76B80" w:rsidSect="00B01CD4">
          <w:headerReference w:type="default" r:id="rId11"/>
          <w:headerReference w:type="first" r:id="rId12"/>
          <w:footerReference w:type="first" r:id="rId13"/>
          <w:footnotePr>
            <w:numRestart w:val="eachSect"/>
          </w:footnotePr>
          <w:pgSz w:w="11906" w:h="16838" w:code="9"/>
          <w:pgMar w:top="2274" w:right="2274" w:bottom="2274" w:left="2274" w:header="1701" w:footer="720" w:gutter="0"/>
          <w:pgNumType w:start="1"/>
          <w:cols w:space="720"/>
          <w:titlePg/>
          <w:docGrid w:linePitch="326"/>
        </w:sectPr>
      </w:pPr>
    </w:p>
    <w:p w14:paraId="1996AF6A" w14:textId="77777777" w:rsidR="00014566" w:rsidRPr="00D76B80" w:rsidRDefault="00014566" w:rsidP="00E477A0">
      <w:pPr>
        <w:pStyle w:val="JuCase"/>
        <w:jc w:val="left"/>
        <w:rPr>
          <w:bCs/>
          <w:lang w:val="sl"/>
        </w:rPr>
      </w:pPr>
      <w:r>
        <w:rPr>
          <w:bCs/>
          <w:lang w:val="sl"/>
        </w:rPr>
        <w:lastRenderedPageBreak/>
        <w:t>V zadevi Devinar proti Sloveniji</w:t>
      </w:r>
    </w:p>
    <w:p w14:paraId="44D42AB5" w14:textId="77777777" w:rsidR="00014566" w:rsidRPr="00D76B80" w:rsidRDefault="00014566" w:rsidP="00E477A0">
      <w:pPr>
        <w:pStyle w:val="ECHRPara"/>
        <w:rPr>
          <w:lang w:val="sl"/>
        </w:rPr>
      </w:pPr>
      <w:r>
        <w:rPr>
          <w:lang w:val="sl"/>
        </w:rPr>
        <w:t>Evropsko sodišče za človekove pravice (četrti oddelek) kot senat v sestavi:</w:t>
      </w:r>
    </w:p>
    <w:p w14:paraId="1A773A3F" w14:textId="77777777" w:rsidR="00014566" w:rsidRPr="00D76B80" w:rsidRDefault="00B01CD4" w:rsidP="00E477A0">
      <w:pPr>
        <w:pStyle w:val="ECHRDecisionBody"/>
        <w:rPr>
          <w:lang w:val="sl"/>
        </w:rPr>
      </w:pPr>
      <w:r>
        <w:rPr>
          <w:lang w:val="sl"/>
        </w:rPr>
        <w:tab/>
        <w:t xml:space="preserve">Ganna Yudkivska, </w:t>
      </w:r>
      <w:r>
        <w:rPr>
          <w:i/>
          <w:iCs/>
          <w:lang w:val="sl"/>
        </w:rPr>
        <w:t>predsednica</w:t>
      </w:r>
      <w:r>
        <w:rPr>
          <w:lang w:val="sl"/>
        </w:rPr>
        <w:t>,</w:t>
      </w:r>
      <w:r>
        <w:rPr>
          <w:lang w:val="sl"/>
        </w:rPr>
        <w:br/>
      </w:r>
      <w:r>
        <w:rPr>
          <w:lang w:val="sl"/>
        </w:rPr>
        <w:tab/>
        <w:t>Vincent A. De Gaetano,</w:t>
      </w:r>
      <w:r>
        <w:rPr>
          <w:lang w:val="sl"/>
        </w:rPr>
        <w:br/>
      </w:r>
      <w:r>
        <w:rPr>
          <w:lang w:val="sl"/>
        </w:rPr>
        <w:tab/>
        <w:t>Paulo Pinto de Albuquerque,</w:t>
      </w:r>
      <w:r>
        <w:rPr>
          <w:lang w:val="sl"/>
        </w:rPr>
        <w:br/>
      </w:r>
      <w:r>
        <w:rPr>
          <w:lang w:val="sl"/>
        </w:rPr>
        <w:tab/>
        <w:t>Faris Vehabović,</w:t>
      </w:r>
      <w:r>
        <w:rPr>
          <w:lang w:val="sl"/>
        </w:rPr>
        <w:br/>
      </w:r>
      <w:r>
        <w:rPr>
          <w:lang w:val="sl"/>
        </w:rPr>
        <w:tab/>
        <w:t>Carlo Ranzoni,</w:t>
      </w:r>
      <w:r>
        <w:rPr>
          <w:lang w:val="sl"/>
        </w:rPr>
        <w:br/>
      </w:r>
      <w:r>
        <w:rPr>
          <w:lang w:val="sl"/>
        </w:rPr>
        <w:tab/>
        <w:t>Georges Ravarani,</w:t>
      </w:r>
      <w:r>
        <w:rPr>
          <w:lang w:val="sl"/>
        </w:rPr>
        <w:br/>
      </w:r>
      <w:r>
        <w:rPr>
          <w:lang w:val="sl"/>
        </w:rPr>
        <w:tab/>
        <w:t>Marko Bošnjak,</w:t>
      </w:r>
      <w:r>
        <w:rPr>
          <w:i/>
          <w:iCs/>
          <w:lang w:val="sl"/>
        </w:rPr>
        <w:t xml:space="preserve"> sodniki,</w:t>
      </w:r>
      <w:r>
        <w:rPr>
          <w:szCs w:val="24"/>
          <w:lang w:val="sl"/>
        </w:rPr>
        <w:br/>
      </w:r>
      <w:r>
        <w:rPr>
          <w:lang w:val="sl"/>
        </w:rPr>
        <w:t xml:space="preserve">in Marialena Tsirli, </w:t>
      </w:r>
      <w:r>
        <w:rPr>
          <w:i/>
          <w:iCs/>
          <w:lang w:val="sl"/>
        </w:rPr>
        <w:t>sodna tajnica oddelka,</w:t>
      </w:r>
    </w:p>
    <w:p w14:paraId="6B024A37" w14:textId="77777777" w:rsidR="00014566" w:rsidRPr="00D76B80" w:rsidRDefault="00014566" w:rsidP="00E477A0">
      <w:pPr>
        <w:pStyle w:val="ECHRPara"/>
        <w:rPr>
          <w:lang w:val="it-IT"/>
        </w:rPr>
      </w:pPr>
      <w:r>
        <w:rPr>
          <w:lang w:val="sl"/>
        </w:rPr>
        <w:t>po razpravi, zaprti za javnost, ki je bila 27. marca 2018,</w:t>
      </w:r>
    </w:p>
    <w:p w14:paraId="51E61D2F" w14:textId="77777777" w:rsidR="00014566" w:rsidRPr="00D76B80" w:rsidRDefault="00014566" w:rsidP="00E477A0">
      <w:pPr>
        <w:pStyle w:val="ECHRPara"/>
        <w:rPr>
          <w:lang w:val="it-IT"/>
        </w:rPr>
      </w:pPr>
      <w:r>
        <w:rPr>
          <w:lang w:val="sl"/>
        </w:rPr>
        <w:t>izreka to sodbo, sprejeto navedenega dne:</w:t>
      </w:r>
    </w:p>
    <w:p w14:paraId="03FA81FF" w14:textId="77777777" w:rsidR="00014566" w:rsidRPr="00D76B80" w:rsidRDefault="00014566" w:rsidP="00E477A0">
      <w:pPr>
        <w:pStyle w:val="ECHRTitle1"/>
        <w:rPr>
          <w:lang w:val="it-IT"/>
        </w:rPr>
      </w:pPr>
      <w:r>
        <w:rPr>
          <w:lang w:val="sl"/>
        </w:rPr>
        <w:t>POSTOPEK</w:t>
      </w:r>
    </w:p>
    <w:p w14:paraId="3C59D905" w14:textId="7993DE0F" w:rsidR="00390A4C" w:rsidRPr="00D76B80" w:rsidRDefault="005A07CE" w:rsidP="00E477A0">
      <w:pPr>
        <w:pStyle w:val="ECHRPara"/>
        <w:rPr>
          <w:lang w:val="it-IT"/>
        </w:rPr>
      </w:pPr>
      <w:r>
        <w:rPr>
          <w:lang w:val="sl"/>
        </w:rPr>
        <w:fldChar w:fldCharType="begin"/>
      </w:r>
      <w:r>
        <w:rPr>
          <w:lang w:val="sl"/>
        </w:rPr>
        <w:instrText xml:space="preserve"> SEQ level0 \*arabic </w:instrText>
      </w:r>
      <w:r>
        <w:rPr>
          <w:lang w:val="sl"/>
        </w:rPr>
        <w:fldChar w:fldCharType="separate"/>
      </w:r>
      <w:r w:rsidR="003B619B">
        <w:rPr>
          <w:noProof/>
          <w:lang w:val="sl"/>
        </w:rPr>
        <w:t>1</w:t>
      </w:r>
      <w:r>
        <w:rPr>
          <w:lang w:val="sl"/>
        </w:rPr>
        <w:fldChar w:fldCharType="end"/>
      </w:r>
      <w:r>
        <w:rPr>
          <w:lang w:val="sl"/>
        </w:rPr>
        <w:t>.  Zadeva se je začela s pritožbo (št. 28621/15) proti Republiki Sloveniji, ki jo je na podlagi 34. člena Konvencije o varstvu človekovih pravic in temeljnih svoboščin (v nadaljnjem besedilu: konvencija) pri Sodišču 9. junija 2015 vložila slovenska državljanka Verena Devinar (v nadaljnjem besedilu: pritožnica).</w:t>
      </w:r>
    </w:p>
    <w:p w14:paraId="5DE7764C" w14:textId="01C07AE6" w:rsidR="005A07CE" w:rsidRPr="00D76B80" w:rsidRDefault="005A07CE" w:rsidP="00E477A0">
      <w:pPr>
        <w:pStyle w:val="ECHRPara"/>
        <w:rPr>
          <w:rFonts w:ascii="Times New Roman" w:hAnsi="Times New Roman" w:cs="Times New Roman"/>
          <w:lang w:val="sl"/>
        </w:rPr>
      </w:pPr>
      <w:r>
        <w:rPr>
          <w:lang w:val="sl"/>
        </w:rPr>
        <w:fldChar w:fldCharType="begin"/>
      </w:r>
      <w:r>
        <w:rPr>
          <w:lang w:val="sl"/>
        </w:rPr>
        <w:instrText xml:space="preserve"> SEQ level0 \*arabic </w:instrText>
      </w:r>
      <w:r>
        <w:rPr>
          <w:lang w:val="sl"/>
        </w:rPr>
        <w:fldChar w:fldCharType="separate"/>
      </w:r>
      <w:r w:rsidR="003B619B">
        <w:rPr>
          <w:noProof/>
          <w:lang w:val="sl"/>
        </w:rPr>
        <w:t>2</w:t>
      </w:r>
      <w:r>
        <w:rPr>
          <w:lang w:val="sl"/>
        </w:rPr>
        <w:fldChar w:fldCharType="end"/>
      </w:r>
      <w:r>
        <w:rPr>
          <w:lang w:val="sl"/>
        </w:rPr>
        <w:t>.  </w:t>
      </w:r>
      <w:r>
        <w:rPr>
          <w:rFonts w:ascii="Times New Roman" w:hAnsi="Times New Roman"/>
          <w:lang w:val="sl"/>
        </w:rPr>
        <w:t>Pritožnico je zastopal I. Makuc, odvetnik iz Tolmina. Slovensko vlado (v nadaljnjem besedilu: vlada) pa njena zastopnica J. Morela, državna odvetnica.</w:t>
      </w:r>
    </w:p>
    <w:p w14:paraId="13B22784" w14:textId="5D7BAF99" w:rsidR="00014566" w:rsidRPr="008410BE" w:rsidRDefault="005A07CE" w:rsidP="00E477A0">
      <w:pPr>
        <w:pStyle w:val="ECHRPara"/>
        <w:rPr>
          <w:lang w:val="sl"/>
        </w:rPr>
      </w:pPr>
      <w:r>
        <w:rPr>
          <w:lang w:val="sl"/>
        </w:rPr>
        <w:fldChar w:fldCharType="begin"/>
      </w:r>
      <w:r>
        <w:rPr>
          <w:lang w:val="sl"/>
        </w:rPr>
        <w:instrText xml:space="preserve"> SEQ level0 \*arabic </w:instrText>
      </w:r>
      <w:r>
        <w:rPr>
          <w:lang w:val="sl"/>
        </w:rPr>
        <w:fldChar w:fldCharType="separate"/>
      </w:r>
      <w:r w:rsidR="003B619B">
        <w:rPr>
          <w:noProof/>
          <w:lang w:val="sl"/>
        </w:rPr>
        <w:t>3</w:t>
      </w:r>
      <w:r>
        <w:rPr>
          <w:lang w:val="sl"/>
        </w:rPr>
        <w:fldChar w:fldCharType="end"/>
      </w:r>
      <w:r>
        <w:rPr>
          <w:lang w:val="sl"/>
        </w:rPr>
        <w:t>.  Pritožnica je trdila, da je bila kršena njena pravica do poštenega sojenja iz 6. člena konvencije.</w:t>
      </w:r>
    </w:p>
    <w:p w14:paraId="34A2A7A1" w14:textId="6BE72336" w:rsidR="00014566" w:rsidRPr="00D76B80" w:rsidRDefault="005A07CE" w:rsidP="00E477A0">
      <w:pPr>
        <w:pStyle w:val="ECHRPara"/>
        <w:rPr>
          <w:lang w:val="it-IT"/>
        </w:rPr>
      </w:pPr>
      <w:r>
        <w:rPr>
          <w:lang w:val="sl"/>
        </w:rPr>
        <w:fldChar w:fldCharType="begin"/>
      </w:r>
      <w:r>
        <w:rPr>
          <w:lang w:val="sl"/>
        </w:rPr>
        <w:instrText xml:space="preserve"> SEQ level0 \*arabic </w:instrText>
      </w:r>
      <w:r>
        <w:rPr>
          <w:lang w:val="sl"/>
        </w:rPr>
        <w:fldChar w:fldCharType="separate"/>
      </w:r>
      <w:r w:rsidR="003B619B">
        <w:rPr>
          <w:noProof/>
          <w:lang w:val="sl"/>
        </w:rPr>
        <w:t>4</w:t>
      </w:r>
      <w:r>
        <w:rPr>
          <w:lang w:val="sl"/>
        </w:rPr>
        <w:fldChar w:fldCharType="end"/>
      </w:r>
      <w:r>
        <w:rPr>
          <w:lang w:val="sl"/>
        </w:rPr>
        <w:t xml:space="preserve">.  Vlada je bila o pritožbi obveščena </w:t>
      </w:r>
      <w:r>
        <w:rPr>
          <w:szCs w:val="24"/>
          <w:lang w:val="sl"/>
        </w:rPr>
        <w:t>2. marca 2016</w:t>
      </w:r>
      <w:r>
        <w:rPr>
          <w:lang w:val="sl"/>
        </w:rPr>
        <w:t>.</w:t>
      </w:r>
    </w:p>
    <w:p w14:paraId="5F059990" w14:textId="77777777" w:rsidR="00014566" w:rsidRPr="00D76B80" w:rsidRDefault="00014566" w:rsidP="00E477A0">
      <w:pPr>
        <w:pStyle w:val="ECHRTitle1"/>
        <w:rPr>
          <w:lang w:val="it-IT"/>
        </w:rPr>
      </w:pPr>
      <w:r>
        <w:rPr>
          <w:lang w:val="sl"/>
        </w:rPr>
        <w:t>DEJSTVA</w:t>
      </w:r>
    </w:p>
    <w:p w14:paraId="74E10D7D" w14:textId="77777777" w:rsidR="00014566" w:rsidRPr="00D76B80" w:rsidRDefault="00014566" w:rsidP="00E477A0">
      <w:pPr>
        <w:pStyle w:val="ECHRHeading1"/>
        <w:rPr>
          <w:lang w:val="it-IT"/>
        </w:rPr>
      </w:pPr>
      <w:r>
        <w:rPr>
          <w:bCs w:val="0"/>
          <w:lang w:val="sl"/>
        </w:rPr>
        <w:t>I.  OKOLIŠČINE ZADEVE</w:t>
      </w:r>
    </w:p>
    <w:p w14:paraId="78CF6EFD" w14:textId="71CB64C0" w:rsidR="00014566" w:rsidRPr="00D76B80" w:rsidRDefault="005A07CE" w:rsidP="00E477A0">
      <w:pPr>
        <w:pStyle w:val="ECHRPara"/>
        <w:rPr>
          <w:lang w:val="it-IT"/>
        </w:rPr>
      </w:pPr>
      <w:r>
        <w:rPr>
          <w:lang w:val="sl"/>
        </w:rPr>
        <w:fldChar w:fldCharType="begin"/>
      </w:r>
      <w:r>
        <w:rPr>
          <w:lang w:val="sl"/>
        </w:rPr>
        <w:instrText xml:space="preserve"> SEQ level0 \*arabic </w:instrText>
      </w:r>
      <w:r>
        <w:rPr>
          <w:lang w:val="sl"/>
        </w:rPr>
        <w:fldChar w:fldCharType="separate"/>
      </w:r>
      <w:r w:rsidR="003B619B">
        <w:rPr>
          <w:noProof/>
          <w:lang w:val="sl"/>
        </w:rPr>
        <w:t>5</w:t>
      </w:r>
      <w:r>
        <w:rPr>
          <w:lang w:val="sl"/>
        </w:rPr>
        <w:fldChar w:fldCharType="end"/>
      </w:r>
      <w:r>
        <w:rPr>
          <w:lang w:val="sl"/>
        </w:rPr>
        <w:t>.  Pritožnica se je rodila leta 1959 in živi v Novi Gorici.</w:t>
      </w:r>
    </w:p>
    <w:bookmarkStart w:id="2" w:name="FactsOldproceedings2006"/>
    <w:p w14:paraId="48E1E668" w14:textId="4C90153C" w:rsidR="00390A4C" w:rsidRPr="00D76B80" w:rsidRDefault="006774C9" w:rsidP="00E477A0">
      <w:pPr>
        <w:pStyle w:val="ECHRPara"/>
        <w:rPr>
          <w:rFonts w:ascii="Times New Roman" w:hAnsi="Times New Roman" w:cs="Times New Roman"/>
          <w:lang w:val="sl"/>
        </w:rPr>
      </w:pPr>
      <w:r>
        <w:rPr>
          <w:lang w:val="sl"/>
        </w:rPr>
        <w:fldChar w:fldCharType="begin"/>
      </w:r>
      <w:r>
        <w:rPr>
          <w:lang w:val="sl"/>
        </w:rPr>
        <w:instrText xml:space="preserve"> SEQ level0 \*arabic </w:instrText>
      </w:r>
      <w:r>
        <w:rPr>
          <w:lang w:val="sl"/>
        </w:rPr>
        <w:fldChar w:fldCharType="separate"/>
      </w:r>
      <w:r w:rsidR="003B619B">
        <w:rPr>
          <w:noProof/>
          <w:lang w:val="sl"/>
        </w:rPr>
        <w:t>6</w:t>
      </w:r>
      <w:r>
        <w:rPr>
          <w:lang w:val="sl"/>
        </w:rPr>
        <w:fldChar w:fldCharType="end"/>
      </w:r>
      <w:bookmarkEnd w:id="2"/>
      <w:r>
        <w:rPr>
          <w:lang w:val="sl"/>
        </w:rPr>
        <w:t>.  </w:t>
      </w:r>
      <w:r>
        <w:rPr>
          <w:rFonts w:ascii="Times New Roman" w:hAnsi="Times New Roman"/>
          <w:lang w:val="sl"/>
        </w:rPr>
        <w:t>Pritožnica je delala kot čistilka, ko naj bi v njenem levem zapestju prišlo do hude zdravstvene težave, ki naj bi jo bilo mogoče le delno zdraviti z operacijo.</w:t>
      </w:r>
      <w:r w:rsidR="004C7116">
        <w:rPr>
          <w:rFonts w:ascii="Times New Roman" w:hAnsi="Times New Roman"/>
          <w:lang w:val="sl"/>
        </w:rPr>
        <w:t xml:space="preserve"> </w:t>
      </w:r>
      <w:r>
        <w:rPr>
          <w:rFonts w:ascii="Times New Roman" w:hAnsi="Times New Roman"/>
          <w:lang w:val="sl"/>
        </w:rPr>
        <w:t>Zato je uporabljala pretežno desno roko, kar je povzročilo preobremenjenost te roke in posledično številne zdravstvene težave. Zaradi teh zdravstvenih težav je bilo leta 2006 ugotovljeno, da ni več zmožna za delo in ji je bila uradno priznana delna invalidnost.</w:t>
      </w:r>
    </w:p>
    <w:p w14:paraId="1D50FF6C" w14:textId="55DB3323" w:rsidR="005A07CE" w:rsidRPr="00D76B80" w:rsidRDefault="005A07CE" w:rsidP="00E477A0">
      <w:pPr>
        <w:pStyle w:val="ECHRPara"/>
        <w:rPr>
          <w:color w:val="000000"/>
          <w:lang w:val="sl"/>
        </w:rPr>
      </w:pPr>
      <w:r>
        <w:rPr>
          <w:lang w:val="sl"/>
        </w:rPr>
        <w:lastRenderedPageBreak/>
        <w:fldChar w:fldCharType="begin"/>
      </w:r>
      <w:r>
        <w:rPr>
          <w:rFonts w:ascii="Times New Roman" w:hAnsi="Times New Roman"/>
          <w:lang w:val="sl"/>
        </w:rPr>
        <w:instrText xml:space="preserve"> SEQ level0 \*arabic </w:instrText>
      </w:r>
      <w:r>
        <w:rPr>
          <w:lang w:val="sl"/>
        </w:rPr>
        <w:fldChar w:fldCharType="separate"/>
      </w:r>
      <w:r w:rsidR="003B619B">
        <w:rPr>
          <w:rFonts w:ascii="Times New Roman" w:hAnsi="Times New Roman"/>
          <w:noProof/>
          <w:lang w:val="sl"/>
        </w:rPr>
        <w:t>7</w:t>
      </w:r>
      <w:r>
        <w:rPr>
          <w:lang w:val="sl"/>
        </w:rPr>
        <w:fldChar w:fldCharType="end"/>
      </w:r>
      <w:r>
        <w:rPr>
          <w:rFonts w:ascii="Times New Roman" w:hAnsi="Times New Roman"/>
          <w:lang w:val="sl"/>
        </w:rPr>
        <w:t>.  Pritožnica je 30. decembra 2011 na Zavodu za pokojninsko in invalidsko zavarovanje Slovenije (</w:t>
      </w:r>
      <w:r>
        <w:rPr>
          <w:color w:val="000000"/>
          <w:lang w:val="sl"/>
        </w:rPr>
        <w:t>v nadaljnjem besedilu: zavod</w:t>
      </w:r>
      <w:r>
        <w:rPr>
          <w:rFonts w:ascii="Times New Roman" w:hAnsi="Times New Roman"/>
          <w:lang w:val="sl"/>
        </w:rPr>
        <w:t>) vložila zahtevo za nadomestilo za invalidnost zaradi telesne okvare.</w:t>
      </w:r>
    </w:p>
    <w:bookmarkStart w:id="3" w:name="Commision1"/>
    <w:p w14:paraId="47638B54" w14:textId="03BE77A0" w:rsidR="005A07CE" w:rsidRPr="00D76B80" w:rsidRDefault="005A07CE" w:rsidP="00E477A0">
      <w:pPr>
        <w:pStyle w:val="ECHR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sidR="003B619B">
        <w:rPr>
          <w:rFonts w:ascii="Times New Roman" w:hAnsi="Times New Roman"/>
          <w:noProof/>
          <w:lang w:val="sl"/>
        </w:rPr>
        <w:t>8</w:t>
      </w:r>
      <w:r>
        <w:rPr>
          <w:lang w:val="sl"/>
        </w:rPr>
        <w:fldChar w:fldCharType="end"/>
      </w:r>
      <w:bookmarkEnd w:id="3"/>
      <w:r>
        <w:rPr>
          <w:rFonts w:ascii="Times New Roman" w:hAnsi="Times New Roman"/>
          <w:lang w:val="sl"/>
        </w:rPr>
        <w:t xml:space="preserve">.  Invalidska komisija I. stopnje </w:t>
      </w:r>
      <w:r w:rsidR="00A34091">
        <w:rPr>
          <w:rFonts w:ascii="Times New Roman" w:hAnsi="Times New Roman"/>
          <w:lang w:val="sl"/>
        </w:rPr>
        <w:t>z</w:t>
      </w:r>
      <w:r w:rsidR="004C74A5">
        <w:rPr>
          <w:rFonts w:ascii="Times New Roman" w:hAnsi="Times New Roman"/>
          <w:lang w:val="sl"/>
        </w:rPr>
        <w:t xml:space="preserve">avoda, </w:t>
      </w:r>
      <w:r w:rsidR="0037328A">
        <w:rPr>
          <w:rFonts w:ascii="Times New Roman" w:hAnsi="Times New Roman"/>
          <w:lang w:val="sl"/>
        </w:rPr>
        <w:t>Območna e</w:t>
      </w:r>
      <w:r w:rsidR="004C74A5">
        <w:rPr>
          <w:rFonts w:ascii="Times New Roman" w:hAnsi="Times New Roman"/>
          <w:lang w:val="sl"/>
        </w:rPr>
        <w:t xml:space="preserve">nota </w:t>
      </w:r>
      <w:r>
        <w:rPr>
          <w:rFonts w:ascii="Times New Roman" w:hAnsi="Times New Roman"/>
          <w:lang w:val="sl"/>
        </w:rPr>
        <w:t>Nov</w:t>
      </w:r>
      <w:r w:rsidR="00A34091">
        <w:rPr>
          <w:rFonts w:ascii="Times New Roman" w:hAnsi="Times New Roman"/>
          <w:lang w:val="sl"/>
        </w:rPr>
        <w:t>a</w:t>
      </w:r>
      <w:r>
        <w:rPr>
          <w:rFonts w:ascii="Times New Roman" w:hAnsi="Times New Roman"/>
          <w:lang w:val="sl"/>
        </w:rPr>
        <w:t xml:space="preserve"> Goric</w:t>
      </w:r>
      <w:r w:rsidR="00A34091">
        <w:rPr>
          <w:rFonts w:ascii="Times New Roman" w:hAnsi="Times New Roman"/>
          <w:lang w:val="sl"/>
        </w:rPr>
        <w:t>a</w:t>
      </w:r>
      <w:r w:rsidR="000D0631">
        <w:rPr>
          <w:rFonts w:ascii="Times New Roman" w:hAnsi="Times New Roman"/>
          <w:lang w:val="sl"/>
        </w:rPr>
        <w:t>,</w:t>
      </w:r>
      <w:r>
        <w:rPr>
          <w:rFonts w:ascii="Times New Roman" w:hAnsi="Times New Roman"/>
          <w:lang w:val="sl"/>
        </w:rPr>
        <w:t xml:space="preserve"> je </w:t>
      </w:r>
      <w:r w:rsidR="00D76B80">
        <w:rPr>
          <w:rFonts w:ascii="Times New Roman" w:hAnsi="Times New Roman"/>
          <w:lang w:val="sl"/>
        </w:rPr>
        <w:t xml:space="preserve">dne 12. </w:t>
      </w:r>
      <w:r w:rsidR="000D0631">
        <w:rPr>
          <w:rFonts w:ascii="Times New Roman" w:hAnsi="Times New Roman"/>
          <w:lang w:val="sl"/>
        </w:rPr>
        <w:t>marca 2</w:t>
      </w:r>
      <w:r w:rsidR="00D76B80">
        <w:rPr>
          <w:rFonts w:ascii="Times New Roman" w:hAnsi="Times New Roman"/>
          <w:lang w:val="sl"/>
        </w:rPr>
        <w:t xml:space="preserve">012 </w:t>
      </w:r>
      <w:r>
        <w:rPr>
          <w:rFonts w:ascii="Times New Roman" w:hAnsi="Times New Roman"/>
          <w:lang w:val="sl"/>
        </w:rPr>
        <w:t xml:space="preserve">izdala poročilo, da pritožnica nima telesne okvare, navedene v Samoupravnem sporazumu o seznamu telesnih okvar (v nadaljnjem besedilu: seznam; glej </w:t>
      </w:r>
      <w:r w:rsidR="0084249B">
        <w:rPr>
          <w:rFonts w:ascii="Times New Roman" w:hAnsi="Times New Roman"/>
          <w:lang w:val="sl"/>
        </w:rPr>
        <w:t xml:space="preserve">22. </w:t>
      </w:r>
      <w:r>
        <w:rPr>
          <w:rFonts w:ascii="Times New Roman" w:hAnsi="Times New Roman"/>
          <w:lang w:val="sl"/>
        </w:rPr>
        <w:t xml:space="preserve">odstavek). Komisija, ki so jo sestavljali </w:t>
      </w:r>
      <w:r w:rsidR="007078DD">
        <w:rPr>
          <w:rFonts w:ascii="Times New Roman" w:hAnsi="Times New Roman"/>
          <w:lang w:val="sl"/>
        </w:rPr>
        <w:t xml:space="preserve">zdravnik </w:t>
      </w:r>
      <w:r>
        <w:rPr>
          <w:rFonts w:ascii="Times New Roman" w:hAnsi="Times New Roman"/>
          <w:lang w:val="sl"/>
        </w:rPr>
        <w:t xml:space="preserve">specialist medicine dela, specialist ortoped ter zdravnik </w:t>
      </w:r>
      <w:r>
        <w:rPr>
          <w:rFonts w:ascii="Open Sans" w:hAnsi="Open Sans"/>
          <w:lang w:val="sl"/>
        </w:rPr>
        <w:t>fizikalne in rehabilitacijske medicine,</w:t>
      </w:r>
      <w:r>
        <w:rPr>
          <w:rFonts w:ascii="Times New Roman" w:hAnsi="Times New Roman"/>
          <w:lang w:val="sl"/>
        </w:rPr>
        <w:t xml:space="preserve"> je svoje mnenje napisala na podlagi pregleda medicinske dokumentacije, ki jo je predložila pritožnica, in kliničnega pregleda pritožnice.</w:t>
      </w:r>
    </w:p>
    <w:bookmarkStart w:id="4" w:name="ZPIZNovaGorica"/>
    <w:p w14:paraId="50E4FF17" w14:textId="05DAD148" w:rsidR="005A07CE"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9</w:t>
      </w:r>
      <w:r>
        <w:rPr>
          <w:rFonts w:ascii="Times New Roman" w:hAnsi="Times New Roman" w:cs="Times New Roman"/>
          <w:lang w:val="sl"/>
        </w:rPr>
        <w:fldChar w:fldCharType="end"/>
      </w:r>
      <w:bookmarkEnd w:id="4"/>
      <w:r>
        <w:rPr>
          <w:rFonts w:ascii="Times New Roman" w:hAnsi="Times New Roman" w:cs="Times New Roman"/>
          <w:lang w:val="sl"/>
        </w:rPr>
        <w:t xml:space="preserve">. Na podlagi mnenja invalidske komisije I. stopnje je </w:t>
      </w:r>
      <w:r w:rsidR="009E1524">
        <w:rPr>
          <w:rFonts w:ascii="Times New Roman" w:hAnsi="Times New Roman" w:cs="Times New Roman"/>
          <w:lang w:val="sl"/>
        </w:rPr>
        <w:t xml:space="preserve">Območna enota </w:t>
      </w:r>
      <w:r w:rsidR="00A34091">
        <w:rPr>
          <w:rFonts w:ascii="Times New Roman" w:hAnsi="Times New Roman" w:cs="Times New Roman"/>
          <w:lang w:val="sl"/>
        </w:rPr>
        <w:t>z</w:t>
      </w:r>
      <w:r w:rsidR="009E1524">
        <w:rPr>
          <w:rFonts w:ascii="Times New Roman" w:hAnsi="Times New Roman" w:cs="Times New Roman"/>
          <w:lang w:val="sl"/>
        </w:rPr>
        <w:t xml:space="preserve">avoda </w:t>
      </w:r>
      <w:r>
        <w:rPr>
          <w:rFonts w:ascii="Times New Roman" w:hAnsi="Times New Roman" w:cs="Times New Roman"/>
          <w:lang w:val="sl"/>
        </w:rPr>
        <w:t>Nov</w:t>
      </w:r>
      <w:r w:rsidR="00A34091">
        <w:rPr>
          <w:rFonts w:ascii="Times New Roman" w:hAnsi="Times New Roman" w:cs="Times New Roman"/>
          <w:lang w:val="sl"/>
        </w:rPr>
        <w:t>a</w:t>
      </w:r>
      <w:r w:rsidR="009E1524">
        <w:rPr>
          <w:rFonts w:ascii="Times New Roman" w:hAnsi="Times New Roman" w:cs="Times New Roman"/>
          <w:lang w:val="sl"/>
        </w:rPr>
        <w:t xml:space="preserve"> </w:t>
      </w:r>
      <w:r>
        <w:rPr>
          <w:rFonts w:ascii="Times New Roman" w:hAnsi="Times New Roman" w:cs="Times New Roman"/>
          <w:lang w:val="sl"/>
        </w:rPr>
        <w:t>Goric</w:t>
      </w:r>
      <w:r w:rsidR="00A34091">
        <w:rPr>
          <w:rFonts w:ascii="Times New Roman" w:hAnsi="Times New Roman" w:cs="Times New Roman"/>
          <w:lang w:val="sl"/>
        </w:rPr>
        <w:t>a</w:t>
      </w:r>
      <w:r>
        <w:rPr>
          <w:rFonts w:ascii="Times New Roman" w:hAnsi="Times New Roman" w:cs="Times New Roman"/>
          <w:lang w:val="sl"/>
        </w:rPr>
        <w:t xml:space="preserve"> </w:t>
      </w:r>
      <w:r w:rsidR="009E1524">
        <w:rPr>
          <w:rFonts w:ascii="Times New Roman" w:hAnsi="Times New Roman" w:cs="Times New Roman"/>
          <w:lang w:val="sl"/>
        </w:rPr>
        <w:t xml:space="preserve">15. marca 2012 </w:t>
      </w:r>
      <w:r>
        <w:rPr>
          <w:rFonts w:ascii="Times New Roman" w:hAnsi="Times New Roman" w:cs="Times New Roman"/>
          <w:lang w:val="sl"/>
        </w:rPr>
        <w:t>zavrnila zahtevo pritožnice za nadomestilo za invalidnost. Odločbi je bil priložen izvod mnenja invalidske komisije I. stopnje.  Pritožnica se je pritožila.</w:t>
      </w:r>
    </w:p>
    <w:bookmarkStart w:id="5" w:name="Commision2"/>
    <w:p w14:paraId="7C1AEC92" w14:textId="5C720F40" w:rsidR="00B01CD4"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10</w:t>
      </w:r>
      <w:r>
        <w:rPr>
          <w:rFonts w:ascii="Times New Roman" w:hAnsi="Times New Roman" w:cs="Times New Roman"/>
          <w:lang w:val="sl"/>
        </w:rPr>
        <w:fldChar w:fldCharType="end"/>
      </w:r>
      <w:bookmarkEnd w:id="5"/>
      <w:r>
        <w:rPr>
          <w:rFonts w:ascii="Times New Roman" w:hAnsi="Times New Roman" w:cs="Times New Roman"/>
          <w:lang w:val="sl"/>
        </w:rPr>
        <w:t xml:space="preserve">.  Invalidska komisija II. stopnje zavoda </w:t>
      </w:r>
      <w:r w:rsidR="001C7D68">
        <w:rPr>
          <w:rFonts w:ascii="Times New Roman" w:hAnsi="Times New Roman" w:cs="Times New Roman"/>
          <w:lang w:val="sl"/>
        </w:rPr>
        <w:t xml:space="preserve">Območna enota </w:t>
      </w:r>
      <w:r>
        <w:rPr>
          <w:rFonts w:ascii="Times New Roman" w:hAnsi="Times New Roman" w:cs="Times New Roman"/>
          <w:lang w:val="sl"/>
        </w:rPr>
        <w:t>Ljubljan</w:t>
      </w:r>
      <w:r w:rsidR="001C7D68">
        <w:rPr>
          <w:rFonts w:ascii="Times New Roman" w:hAnsi="Times New Roman" w:cs="Times New Roman"/>
          <w:lang w:val="sl"/>
        </w:rPr>
        <w:t>a</w:t>
      </w:r>
      <w:r>
        <w:rPr>
          <w:rFonts w:ascii="Times New Roman" w:hAnsi="Times New Roman" w:cs="Times New Roman"/>
          <w:lang w:val="sl"/>
        </w:rPr>
        <w:t xml:space="preserve">, ki  </w:t>
      </w:r>
      <w:r w:rsidR="0043014D">
        <w:rPr>
          <w:rFonts w:ascii="Times New Roman" w:hAnsi="Times New Roman" w:cs="Times New Roman"/>
          <w:lang w:val="sl"/>
        </w:rPr>
        <w:t xml:space="preserve">sta </w:t>
      </w:r>
      <w:r>
        <w:rPr>
          <w:rFonts w:ascii="Times New Roman" w:hAnsi="Times New Roman" w:cs="Times New Roman"/>
          <w:lang w:val="sl"/>
        </w:rPr>
        <w:t>jo sestavljala specialist medicine dela in specialist ortoped, je 15. maja 2012 pr</w:t>
      </w:r>
      <w:r w:rsidR="0043014D">
        <w:rPr>
          <w:rFonts w:ascii="Times New Roman" w:hAnsi="Times New Roman" w:cs="Times New Roman"/>
          <w:lang w:val="sl"/>
        </w:rPr>
        <w:t>o</w:t>
      </w:r>
      <w:r>
        <w:rPr>
          <w:rFonts w:ascii="Times New Roman" w:hAnsi="Times New Roman" w:cs="Times New Roman"/>
          <w:lang w:val="sl"/>
        </w:rPr>
        <w:t xml:space="preserve">učila medicinsko dokumentacijo pritožnice in </w:t>
      </w:r>
      <w:r w:rsidR="0043014D">
        <w:rPr>
          <w:rFonts w:ascii="Times New Roman" w:hAnsi="Times New Roman" w:cs="Times New Roman"/>
          <w:lang w:val="sl"/>
        </w:rPr>
        <w:t xml:space="preserve">ponovno </w:t>
      </w:r>
      <w:r>
        <w:rPr>
          <w:rFonts w:ascii="Times New Roman" w:hAnsi="Times New Roman" w:cs="Times New Roman"/>
          <w:lang w:val="sl"/>
        </w:rPr>
        <w:t>izdala poročilo, da ni bila ugotovljena telesna okvara s seznama.</w:t>
      </w:r>
    </w:p>
    <w:bookmarkStart w:id="6" w:name="ZPIZ"/>
    <w:p w14:paraId="2FF2875D" w14:textId="3755D92C" w:rsidR="00B01CD4"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11</w:t>
      </w:r>
      <w:r>
        <w:rPr>
          <w:rFonts w:ascii="Times New Roman" w:hAnsi="Times New Roman" w:cs="Times New Roman"/>
          <w:lang w:val="sl"/>
        </w:rPr>
        <w:fldChar w:fldCharType="end"/>
      </w:r>
      <w:bookmarkEnd w:id="6"/>
      <w:r>
        <w:rPr>
          <w:rFonts w:ascii="Times New Roman" w:hAnsi="Times New Roman" w:cs="Times New Roman"/>
          <w:lang w:val="sl"/>
        </w:rPr>
        <w:t xml:space="preserve">.  Na podlagi ugotovitev invalidske komisije II. stopnje je </w:t>
      </w:r>
      <w:r w:rsidR="00435CE5">
        <w:rPr>
          <w:rFonts w:ascii="Times New Roman" w:hAnsi="Times New Roman" w:cs="Times New Roman"/>
          <w:lang w:val="sl"/>
        </w:rPr>
        <w:t>C</w:t>
      </w:r>
      <w:r>
        <w:rPr>
          <w:rFonts w:ascii="Times New Roman" w:hAnsi="Times New Roman" w:cs="Times New Roman"/>
          <w:lang w:val="sl"/>
        </w:rPr>
        <w:t xml:space="preserve">entrala </w:t>
      </w:r>
      <w:r w:rsidR="00435CE5">
        <w:rPr>
          <w:rFonts w:ascii="Times New Roman" w:hAnsi="Times New Roman" w:cs="Times New Roman"/>
          <w:lang w:val="sl"/>
        </w:rPr>
        <w:t xml:space="preserve">zavoda </w:t>
      </w:r>
      <w:r>
        <w:rPr>
          <w:rFonts w:ascii="Times New Roman" w:hAnsi="Times New Roman" w:cs="Times New Roman"/>
          <w:lang w:val="sl"/>
        </w:rPr>
        <w:t xml:space="preserve">na sedežu </w:t>
      </w:r>
      <w:r w:rsidR="00435CE5">
        <w:rPr>
          <w:rFonts w:ascii="Times New Roman" w:hAnsi="Times New Roman" w:cs="Times New Roman"/>
          <w:lang w:val="sl"/>
        </w:rPr>
        <w:t xml:space="preserve">V Ljubljani, </w:t>
      </w:r>
      <w:r>
        <w:rPr>
          <w:rFonts w:ascii="Times New Roman" w:hAnsi="Times New Roman" w:cs="Times New Roman"/>
          <w:lang w:val="sl"/>
        </w:rPr>
        <w:t>7. junija 2012 zavrnil</w:t>
      </w:r>
      <w:r w:rsidR="00435CE5">
        <w:rPr>
          <w:rFonts w:ascii="Times New Roman" w:hAnsi="Times New Roman" w:cs="Times New Roman"/>
          <w:lang w:val="sl"/>
        </w:rPr>
        <w:t>a</w:t>
      </w:r>
      <w:r>
        <w:rPr>
          <w:rFonts w:ascii="Times New Roman" w:hAnsi="Times New Roman" w:cs="Times New Roman"/>
          <w:lang w:val="sl"/>
        </w:rPr>
        <w:t xml:space="preserve"> pritožbo pritožnice. Odločbi je bil priložen izvod mnenja invalidske komisije II. stopnje. </w:t>
      </w:r>
    </w:p>
    <w:bookmarkStart w:id="7" w:name="TOZBA"/>
    <w:p w14:paraId="063FCB0A" w14:textId="60955B3F" w:rsidR="005A07CE"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12</w:t>
      </w:r>
      <w:r>
        <w:rPr>
          <w:rFonts w:ascii="Times New Roman" w:hAnsi="Times New Roman" w:cs="Times New Roman"/>
          <w:lang w:val="sl"/>
        </w:rPr>
        <w:fldChar w:fldCharType="end"/>
      </w:r>
      <w:bookmarkEnd w:id="7"/>
      <w:r>
        <w:rPr>
          <w:rFonts w:ascii="Times New Roman" w:hAnsi="Times New Roman" w:cs="Times New Roman"/>
          <w:lang w:val="sl"/>
        </w:rPr>
        <w:t xml:space="preserve">.  Pritožnica je proti zavodu 12. julija 2012 začela postopek pred Delovnim in socialnim sodiščem v Ljubljani za odpravo omenjenih odločb zavoda in zatrjevala, da dejstva niso bila pravilno ugotovljena in postopek ni potekal pravilno.  Trdila je, da je bila zaradi onesposobljenosti rok otežena aktivnost njenega </w:t>
      </w:r>
      <w:r w:rsidR="00141C9A">
        <w:rPr>
          <w:rFonts w:ascii="Times New Roman" w:hAnsi="Times New Roman" w:cs="Times New Roman"/>
          <w:lang w:val="sl"/>
        </w:rPr>
        <w:t xml:space="preserve">telesa </w:t>
      </w:r>
      <w:r>
        <w:rPr>
          <w:rFonts w:ascii="Times New Roman" w:hAnsi="Times New Roman" w:cs="Times New Roman"/>
          <w:lang w:val="sl"/>
        </w:rPr>
        <w:t xml:space="preserve">in potreben večji napor za zadovoljevanje vsakodnevnih potreb. Trdila je tudi, da bi nasprotna stranka morala </w:t>
      </w:r>
      <w:r w:rsidR="00A274C5">
        <w:rPr>
          <w:rFonts w:ascii="Times New Roman" w:hAnsi="Times New Roman" w:cs="Times New Roman"/>
          <w:lang w:val="sl"/>
        </w:rPr>
        <w:t xml:space="preserve">bolj resno </w:t>
      </w:r>
      <w:r w:rsidR="006C7D17">
        <w:rPr>
          <w:rFonts w:ascii="Times New Roman" w:hAnsi="Times New Roman" w:cs="Times New Roman"/>
          <w:lang w:val="sl"/>
        </w:rPr>
        <w:t xml:space="preserve">preveriti </w:t>
      </w:r>
      <w:r>
        <w:rPr>
          <w:rFonts w:ascii="Times New Roman" w:hAnsi="Times New Roman" w:cs="Times New Roman"/>
          <w:lang w:val="sl"/>
        </w:rPr>
        <w:t xml:space="preserve">vse njene zdravstvene težave. </w:t>
      </w:r>
      <w:r w:rsidR="006C7D17">
        <w:rPr>
          <w:rFonts w:ascii="Times New Roman" w:hAnsi="Times New Roman" w:cs="Times New Roman"/>
          <w:lang w:val="sl"/>
        </w:rPr>
        <w:t xml:space="preserve">Po njeni oceni je </w:t>
      </w:r>
      <w:r w:rsidR="001E3A51">
        <w:rPr>
          <w:rFonts w:ascii="Times New Roman" w:hAnsi="Times New Roman" w:cs="Times New Roman"/>
          <w:lang w:val="sl"/>
        </w:rPr>
        <w:t xml:space="preserve">zaradi njene </w:t>
      </w:r>
      <w:r>
        <w:rPr>
          <w:rFonts w:ascii="Times New Roman" w:hAnsi="Times New Roman" w:cs="Times New Roman"/>
          <w:lang w:val="sl"/>
        </w:rPr>
        <w:t xml:space="preserve">telesne okvare </w:t>
      </w:r>
      <w:r w:rsidR="001E3A51">
        <w:rPr>
          <w:rFonts w:ascii="Times New Roman" w:hAnsi="Times New Roman" w:cs="Times New Roman"/>
          <w:lang w:val="sl"/>
        </w:rPr>
        <w:t xml:space="preserve">stopnja </w:t>
      </w:r>
      <w:r w:rsidR="00970E27">
        <w:rPr>
          <w:rFonts w:ascii="Times New Roman" w:hAnsi="Times New Roman" w:cs="Times New Roman"/>
          <w:lang w:val="sl"/>
        </w:rPr>
        <w:t xml:space="preserve">njene </w:t>
      </w:r>
      <w:r w:rsidR="001E3A51">
        <w:rPr>
          <w:rFonts w:ascii="Times New Roman" w:hAnsi="Times New Roman" w:cs="Times New Roman"/>
          <w:lang w:val="sl"/>
        </w:rPr>
        <w:t xml:space="preserve">nezmožnosti </w:t>
      </w:r>
      <w:r>
        <w:rPr>
          <w:rFonts w:ascii="Times New Roman" w:hAnsi="Times New Roman" w:cs="Times New Roman"/>
          <w:lang w:val="sl"/>
        </w:rPr>
        <w:t>najmanj 50</w:t>
      </w:r>
      <w:r w:rsidR="004C7116">
        <w:rPr>
          <w:rFonts w:ascii="Times New Roman" w:hAnsi="Times New Roman" w:cs="Times New Roman"/>
          <w:lang w:val="sl"/>
        </w:rPr>
        <w:t>-</w:t>
      </w:r>
      <w:r>
        <w:rPr>
          <w:rFonts w:ascii="Times New Roman" w:hAnsi="Times New Roman" w:cs="Times New Roman"/>
          <w:lang w:val="sl"/>
        </w:rPr>
        <w:t xml:space="preserve">odstotna; vendar stopnjo lahko natančno določi le izvedenec medicinske stroke. </w:t>
      </w:r>
      <w:r w:rsidR="00F51581">
        <w:rPr>
          <w:rFonts w:ascii="Times New Roman" w:hAnsi="Times New Roman" w:cs="Times New Roman"/>
          <w:lang w:val="sl"/>
        </w:rPr>
        <w:t xml:space="preserve">Posledično je zato </w:t>
      </w:r>
      <w:r>
        <w:rPr>
          <w:rFonts w:ascii="Times New Roman" w:hAnsi="Times New Roman" w:cs="Times New Roman"/>
          <w:lang w:val="sl"/>
        </w:rPr>
        <w:t>predlagala postavitev sodnega izvedenca medicinske stroke.</w:t>
      </w:r>
    </w:p>
    <w:bookmarkStart w:id="8" w:name="PRVASTOPNJA"/>
    <w:p w14:paraId="585CE059" w14:textId="45129C99" w:rsidR="0004269F"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13</w:t>
      </w:r>
      <w:r>
        <w:rPr>
          <w:rFonts w:ascii="Times New Roman" w:hAnsi="Times New Roman" w:cs="Times New Roman"/>
          <w:lang w:val="sl"/>
        </w:rPr>
        <w:fldChar w:fldCharType="end"/>
      </w:r>
      <w:bookmarkEnd w:id="8"/>
      <w:r>
        <w:rPr>
          <w:rFonts w:ascii="Times New Roman" w:hAnsi="Times New Roman" w:cs="Times New Roman"/>
          <w:lang w:val="sl"/>
        </w:rPr>
        <w:t xml:space="preserve">.  Delovno in socialno sodišče v Ljubljani je </w:t>
      </w:r>
      <w:r w:rsidR="00EF735E">
        <w:rPr>
          <w:rFonts w:ascii="Times New Roman" w:hAnsi="Times New Roman" w:cs="Times New Roman"/>
          <w:lang w:val="sl"/>
        </w:rPr>
        <w:t xml:space="preserve">po sodniku posamezniku </w:t>
      </w:r>
      <w:r w:rsidR="00667855">
        <w:rPr>
          <w:rFonts w:ascii="Times New Roman" w:hAnsi="Times New Roman" w:cs="Times New Roman"/>
          <w:lang w:val="sl"/>
        </w:rPr>
        <w:t xml:space="preserve">dne </w:t>
      </w:r>
      <w:r>
        <w:rPr>
          <w:rFonts w:ascii="Times New Roman" w:hAnsi="Times New Roman" w:cs="Times New Roman"/>
          <w:lang w:val="sl"/>
        </w:rPr>
        <w:t xml:space="preserve">6. septembra 2013 zavrnilo tožbeni zahtevek pritožnice za nadomestilo za invalidnost. Navedlo je, da je bila njegova vloga preveriti, ali sta bili izpodbijani upravni odločbi izdani v postopku v skladu s postopkovnimi pravili ter sta temeljili na pravilno ugotovljenih dejstvih in pravilni uporabi prava. Poleg tega je tudi navedlo, da je bila zatrjevana telesna okvara pravno </w:t>
      </w:r>
      <w:r w:rsidR="00667855">
        <w:rPr>
          <w:rFonts w:ascii="Times New Roman" w:hAnsi="Times New Roman" w:cs="Times New Roman"/>
          <w:lang w:val="sl"/>
        </w:rPr>
        <w:t xml:space="preserve">relevantno </w:t>
      </w:r>
      <w:r>
        <w:rPr>
          <w:rFonts w:ascii="Times New Roman" w:hAnsi="Times New Roman" w:cs="Times New Roman"/>
          <w:lang w:val="sl"/>
        </w:rPr>
        <w:t>dejstvo in je za priznanje upravičenosti do nadomestila za invalidnost treba dokazati njeno stopnjo v skladu z ustreznimi pravnimi določbami (glej</w:t>
      </w:r>
      <w:r w:rsidR="003E78AF">
        <w:rPr>
          <w:rFonts w:ascii="Times New Roman" w:hAnsi="Times New Roman" w:cs="Times New Roman"/>
          <w:lang w:val="sl"/>
        </w:rPr>
        <w:t xml:space="preserve"> 22. </w:t>
      </w:r>
      <w:r>
        <w:rPr>
          <w:rFonts w:ascii="Times New Roman" w:hAnsi="Times New Roman" w:cs="Times New Roman"/>
          <w:lang w:val="sl"/>
        </w:rPr>
        <w:t xml:space="preserve">odstavek). Na podlagi dokumentov v spisu in </w:t>
      </w:r>
      <w:r w:rsidR="003E78AF">
        <w:rPr>
          <w:rFonts w:ascii="Times New Roman" w:hAnsi="Times New Roman" w:cs="Times New Roman"/>
          <w:lang w:val="sl"/>
        </w:rPr>
        <w:t xml:space="preserve">zaslišanju </w:t>
      </w:r>
      <w:r>
        <w:rPr>
          <w:rFonts w:ascii="Times New Roman" w:hAnsi="Times New Roman" w:cs="Times New Roman"/>
          <w:lang w:val="sl"/>
        </w:rPr>
        <w:t>pritožnice je sodišče odločilo, da je zavod pravilno ugotovil dejstva. Glede na ugotovitve invalidsk</w:t>
      </w:r>
      <w:r w:rsidR="00907C24">
        <w:rPr>
          <w:rFonts w:ascii="Times New Roman" w:hAnsi="Times New Roman" w:cs="Times New Roman"/>
          <w:lang w:val="sl"/>
        </w:rPr>
        <w:t xml:space="preserve">ih </w:t>
      </w:r>
      <w:r>
        <w:rPr>
          <w:rFonts w:ascii="Times New Roman" w:hAnsi="Times New Roman" w:cs="Times New Roman"/>
          <w:lang w:val="sl"/>
        </w:rPr>
        <w:t>komisij</w:t>
      </w:r>
      <w:r w:rsidR="00907C24">
        <w:rPr>
          <w:rFonts w:ascii="Times New Roman" w:hAnsi="Times New Roman" w:cs="Times New Roman"/>
          <w:lang w:val="sl"/>
        </w:rPr>
        <w:t xml:space="preserve"> </w:t>
      </w:r>
      <w:r>
        <w:rPr>
          <w:rFonts w:ascii="Times New Roman" w:hAnsi="Times New Roman" w:cs="Times New Roman"/>
          <w:lang w:val="sl"/>
        </w:rPr>
        <w:t>in svoj</w:t>
      </w:r>
      <w:r w:rsidR="00907C24">
        <w:rPr>
          <w:rFonts w:ascii="Times New Roman" w:hAnsi="Times New Roman" w:cs="Times New Roman"/>
          <w:lang w:val="sl"/>
        </w:rPr>
        <w:t xml:space="preserve">ih neposrednih ugotovitev ob zaslišanju </w:t>
      </w:r>
      <w:r>
        <w:rPr>
          <w:rFonts w:ascii="Times New Roman" w:hAnsi="Times New Roman" w:cs="Times New Roman"/>
          <w:lang w:val="sl"/>
        </w:rPr>
        <w:lastRenderedPageBreak/>
        <w:t xml:space="preserve">pritožnice je sodišče odločilo, da pritožničina </w:t>
      </w:r>
      <w:r w:rsidR="00BA3914">
        <w:rPr>
          <w:rFonts w:ascii="Times New Roman" w:hAnsi="Times New Roman" w:cs="Times New Roman"/>
          <w:lang w:val="sl"/>
        </w:rPr>
        <w:t xml:space="preserve">okvara zdravja ne predstavlja telesne okvare </w:t>
      </w:r>
      <w:r w:rsidR="007C00E9">
        <w:rPr>
          <w:rFonts w:ascii="Times New Roman" w:hAnsi="Times New Roman" w:cs="Times New Roman"/>
          <w:lang w:val="sl"/>
        </w:rPr>
        <w:t xml:space="preserve">v smislu zakona. </w:t>
      </w:r>
      <w:r w:rsidR="00BA3914">
        <w:rPr>
          <w:rFonts w:ascii="Times New Roman" w:hAnsi="Times New Roman" w:cs="Times New Roman"/>
          <w:lang w:val="sl"/>
        </w:rPr>
        <w:t xml:space="preserve"> </w:t>
      </w:r>
    </w:p>
    <w:bookmarkStart w:id="9" w:name="PRVOSTOPENJKO2"/>
    <w:p w14:paraId="7E17AC7E" w14:textId="6F5ABA92" w:rsidR="005A07CE"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14</w:t>
      </w:r>
      <w:r>
        <w:rPr>
          <w:rFonts w:ascii="Times New Roman" w:hAnsi="Times New Roman" w:cs="Times New Roman"/>
          <w:lang w:val="sl"/>
        </w:rPr>
        <w:fldChar w:fldCharType="end"/>
      </w:r>
      <w:bookmarkEnd w:id="9"/>
      <w:r>
        <w:rPr>
          <w:rFonts w:ascii="Times New Roman" w:hAnsi="Times New Roman" w:cs="Times New Roman"/>
          <w:lang w:val="sl"/>
        </w:rPr>
        <w:t>.  </w:t>
      </w:r>
      <w:r w:rsidR="00891A71">
        <w:rPr>
          <w:rFonts w:ascii="Times New Roman" w:hAnsi="Times New Roman" w:cs="Times New Roman"/>
          <w:lang w:val="sl"/>
        </w:rPr>
        <w:t xml:space="preserve">Upoštevajoč </w:t>
      </w:r>
      <w:r w:rsidR="007F40E6">
        <w:rPr>
          <w:rFonts w:ascii="Times New Roman" w:hAnsi="Times New Roman" w:cs="Times New Roman"/>
          <w:lang w:val="sl"/>
        </w:rPr>
        <w:t xml:space="preserve">navedene </w:t>
      </w:r>
      <w:r w:rsidR="00CA401A">
        <w:rPr>
          <w:rFonts w:ascii="Times New Roman" w:hAnsi="Times New Roman" w:cs="Times New Roman"/>
          <w:lang w:val="sl"/>
        </w:rPr>
        <w:t xml:space="preserve">zaključke kot zadostne </w:t>
      </w:r>
      <w:r w:rsidR="0072409A">
        <w:rPr>
          <w:rFonts w:ascii="Times New Roman" w:hAnsi="Times New Roman" w:cs="Times New Roman"/>
          <w:lang w:val="sl"/>
        </w:rPr>
        <w:t xml:space="preserve">za sprejem odločitve, je sodišče zavrnilo zahtevo pritožnice za </w:t>
      </w:r>
      <w:r>
        <w:rPr>
          <w:rFonts w:ascii="Times New Roman" w:hAnsi="Times New Roman" w:cs="Times New Roman"/>
          <w:lang w:val="sl"/>
        </w:rPr>
        <w:t>postavitev sodnega izvedenca medicinske stroke</w:t>
      </w:r>
      <w:r w:rsidR="0072409A">
        <w:rPr>
          <w:rFonts w:ascii="Times New Roman" w:hAnsi="Times New Roman" w:cs="Times New Roman"/>
          <w:lang w:val="sl"/>
        </w:rPr>
        <w:t xml:space="preserve"> kot nepotrebno</w:t>
      </w:r>
      <w:r>
        <w:rPr>
          <w:rFonts w:ascii="Times New Roman" w:hAnsi="Times New Roman" w:cs="Times New Roman"/>
          <w:lang w:val="sl"/>
        </w:rPr>
        <w:t xml:space="preserve">. </w:t>
      </w:r>
    </w:p>
    <w:bookmarkStart w:id="10" w:name="pritozba"/>
    <w:p w14:paraId="6D4148C5" w14:textId="05E965A4" w:rsidR="0004269F"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15</w:t>
      </w:r>
      <w:r>
        <w:rPr>
          <w:rFonts w:ascii="Times New Roman" w:hAnsi="Times New Roman" w:cs="Times New Roman"/>
          <w:lang w:val="sl"/>
        </w:rPr>
        <w:fldChar w:fldCharType="end"/>
      </w:r>
      <w:bookmarkEnd w:id="10"/>
      <w:r w:rsidRPr="000D0631">
        <w:rPr>
          <w:rFonts w:ascii="Times New Roman" w:hAnsi="Times New Roman" w:cs="Times New Roman"/>
          <w:lang w:val="sl"/>
        </w:rPr>
        <w:t>.  Pritožnica</w:t>
      </w:r>
      <w:r>
        <w:rPr>
          <w:rFonts w:ascii="Times New Roman" w:hAnsi="Times New Roman" w:cs="Times New Roman"/>
          <w:lang w:val="sl"/>
        </w:rPr>
        <w:t xml:space="preserve"> se je 17. oktobra 2013 pritožila na odločitev sodišča prve stopnje. Navedla je, da okvare na obeh rokah, njena psihološka bolezen in glavoboli pomenijo, da je otežena aktivnost njenega organizma in opravljanje vsakodnevnih nalog od nje zahteva večji napor; </w:t>
      </w:r>
      <w:r w:rsidR="000D0631">
        <w:rPr>
          <w:rFonts w:ascii="Times New Roman" w:hAnsi="Times New Roman" w:cs="Times New Roman"/>
          <w:lang w:val="sl"/>
        </w:rPr>
        <w:t xml:space="preserve">da </w:t>
      </w:r>
      <w:r>
        <w:rPr>
          <w:rFonts w:ascii="Times New Roman" w:hAnsi="Times New Roman" w:cs="Times New Roman"/>
          <w:lang w:val="sl"/>
        </w:rPr>
        <w:t xml:space="preserve">zastareli seznam nikakor ne more biti popoln seznam vseh bolezni in poškodb; </w:t>
      </w:r>
      <w:r w:rsidR="000D0631">
        <w:rPr>
          <w:rFonts w:ascii="Times New Roman" w:hAnsi="Times New Roman" w:cs="Times New Roman"/>
          <w:lang w:val="sl"/>
        </w:rPr>
        <w:t xml:space="preserve">da </w:t>
      </w:r>
      <w:r>
        <w:rPr>
          <w:rFonts w:ascii="Times New Roman" w:hAnsi="Times New Roman" w:cs="Times New Roman"/>
          <w:lang w:val="sl"/>
        </w:rPr>
        <w:t xml:space="preserve">se sodišče prve stopnje ne bi smelo opirati na mnenja invalidskih komisij in zdravnika (mnenja, ki jih je pritožnica izpodbijala); </w:t>
      </w:r>
      <w:r w:rsidR="000D0631">
        <w:rPr>
          <w:rFonts w:ascii="Times New Roman" w:hAnsi="Times New Roman" w:cs="Times New Roman"/>
          <w:lang w:val="sl"/>
        </w:rPr>
        <w:t xml:space="preserve">da </w:t>
      </w:r>
      <w:r>
        <w:rPr>
          <w:rFonts w:ascii="Times New Roman" w:hAnsi="Times New Roman" w:cs="Times New Roman"/>
          <w:lang w:val="sl"/>
        </w:rPr>
        <w:t>bi sodišče prve stopnje moralo postaviti izvedenca medicinsk</w:t>
      </w:r>
      <w:r w:rsidR="000D0631">
        <w:rPr>
          <w:rFonts w:ascii="Times New Roman" w:hAnsi="Times New Roman" w:cs="Times New Roman"/>
          <w:lang w:val="sl"/>
        </w:rPr>
        <w:t>e</w:t>
      </w:r>
      <w:r>
        <w:rPr>
          <w:rFonts w:ascii="Times New Roman" w:hAnsi="Times New Roman" w:cs="Times New Roman"/>
          <w:lang w:val="sl"/>
        </w:rPr>
        <w:t xml:space="preserve"> strok</w:t>
      </w:r>
      <w:r w:rsidR="000D0631">
        <w:rPr>
          <w:rFonts w:ascii="Times New Roman" w:hAnsi="Times New Roman" w:cs="Times New Roman"/>
          <w:lang w:val="sl"/>
        </w:rPr>
        <w:t>e</w:t>
      </w:r>
      <w:r>
        <w:rPr>
          <w:rFonts w:ascii="Times New Roman" w:hAnsi="Times New Roman" w:cs="Times New Roman"/>
          <w:lang w:val="sl"/>
        </w:rPr>
        <w:t>, kot je predlagala</w:t>
      </w:r>
      <w:r w:rsidR="00857931">
        <w:rPr>
          <w:rFonts w:ascii="Times New Roman" w:hAnsi="Times New Roman" w:cs="Times New Roman"/>
          <w:lang w:val="sl"/>
        </w:rPr>
        <w:t xml:space="preserve"> pritožnica</w:t>
      </w:r>
      <w:r>
        <w:rPr>
          <w:rFonts w:ascii="Times New Roman" w:hAnsi="Times New Roman" w:cs="Times New Roman"/>
          <w:lang w:val="sl"/>
        </w:rPr>
        <w:t xml:space="preserve">; </w:t>
      </w:r>
      <w:r w:rsidR="00857931">
        <w:rPr>
          <w:rFonts w:ascii="Times New Roman" w:hAnsi="Times New Roman" w:cs="Times New Roman"/>
          <w:lang w:val="sl"/>
        </w:rPr>
        <w:t xml:space="preserve">da </w:t>
      </w:r>
      <w:r>
        <w:rPr>
          <w:rFonts w:ascii="Times New Roman" w:hAnsi="Times New Roman" w:cs="Times New Roman"/>
          <w:lang w:val="sl"/>
        </w:rPr>
        <w:t xml:space="preserve">pritožnica </w:t>
      </w:r>
      <w:r w:rsidR="00857931">
        <w:rPr>
          <w:rFonts w:ascii="Times New Roman" w:hAnsi="Times New Roman" w:cs="Times New Roman"/>
          <w:lang w:val="sl"/>
        </w:rPr>
        <w:t xml:space="preserve">na naroku </w:t>
      </w:r>
      <w:r>
        <w:rPr>
          <w:rFonts w:ascii="Times New Roman" w:hAnsi="Times New Roman" w:cs="Times New Roman"/>
          <w:lang w:val="sl"/>
        </w:rPr>
        <w:t xml:space="preserve">ni mogla pojasniti vseh svojih zdravstvenih težav in </w:t>
      </w:r>
      <w:r w:rsidR="00857931">
        <w:rPr>
          <w:rFonts w:ascii="Times New Roman" w:hAnsi="Times New Roman" w:cs="Times New Roman"/>
          <w:lang w:val="sl"/>
        </w:rPr>
        <w:t xml:space="preserve">da </w:t>
      </w:r>
      <w:r>
        <w:rPr>
          <w:rFonts w:ascii="Times New Roman" w:hAnsi="Times New Roman" w:cs="Times New Roman"/>
          <w:lang w:val="sl"/>
        </w:rPr>
        <w:t>sodišče ne more ocenjevati pregibnosti njenih rok.</w:t>
      </w:r>
    </w:p>
    <w:bookmarkStart w:id="11" w:name="Visje"/>
    <w:p w14:paraId="7C919617" w14:textId="74BF5777" w:rsidR="005A07CE" w:rsidRPr="00A36033"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16</w:t>
      </w:r>
      <w:r>
        <w:rPr>
          <w:rFonts w:ascii="Times New Roman" w:hAnsi="Times New Roman" w:cs="Times New Roman"/>
          <w:lang w:val="sl"/>
        </w:rPr>
        <w:fldChar w:fldCharType="end"/>
      </w:r>
      <w:bookmarkEnd w:id="11"/>
      <w:r>
        <w:rPr>
          <w:rFonts w:ascii="Times New Roman" w:hAnsi="Times New Roman" w:cs="Times New Roman"/>
          <w:lang w:val="sl"/>
        </w:rPr>
        <w:t>.  </w:t>
      </w:r>
      <w:r w:rsidRPr="0089107B">
        <w:rPr>
          <w:rFonts w:ascii="Times New Roman" w:hAnsi="Times New Roman" w:cs="Times New Roman"/>
          <w:lang w:val="sl"/>
        </w:rPr>
        <w:t>Višje</w:t>
      </w:r>
      <w:r>
        <w:rPr>
          <w:rFonts w:ascii="Times New Roman" w:hAnsi="Times New Roman" w:cs="Times New Roman"/>
          <w:lang w:val="sl"/>
        </w:rPr>
        <w:t xml:space="preserve"> delovno in socialno sodišče je 6. februarja 2014 zavrnilo pritožbo pritožnice, saj je ugotovilo, da je bilo dejansko stanje dovolj razčiščeno in materialno pravo pravilno uporabljeno. Ugotovilo je tudi, da zavrnitev predloga pritožnice za postavitev izvedenca ni vplivala na zakonitost odločitve, ker ta kljub postavitvi izvedenca ne bi bila drugačna. Višje delovno in socialno sodišče je še ugotovilo:</w:t>
      </w:r>
    </w:p>
    <w:p w14:paraId="6F2A3064" w14:textId="02647913" w:rsidR="008410BE" w:rsidRPr="008410BE" w:rsidRDefault="008410BE" w:rsidP="008410BE">
      <w:pPr>
        <w:pStyle w:val="JuQuotSub"/>
        <w:rPr>
          <w:rFonts w:ascii="Times New Roman" w:hAnsi="Times New Roman" w:cs="Times New Roman"/>
          <w:lang w:val="sl-SI"/>
        </w:rPr>
      </w:pPr>
      <w:r w:rsidRPr="008410BE">
        <w:rPr>
          <w:rFonts w:ascii="Times New Roman" w:hAnsi="Times New Roman" w:cs="Times New Roman"/>
          <w:lang w:val="sl-SI"/>
        </w:rPr>
        <w:t xml:space="preserve">»Sodišče v sodno socialnem sporu ….. presoja pravilnost in zakonitost izpodbijanih posamičnih upravnih aktov </w:t>
      </w:r>
      <w:r w:rsidR="00A50C34" w:rsidRPr="008410BE">
        <w:rPr>
          <w:rFonts w:ascii="Times New Roman" w:hAnsi="Times New Roman" w:cs="Times New Roman"/>
          <w:lang w:val="sl-SI"/>
        </w:rPr>
        <w:t>[</w:t>
      </w:r>
      <w:r w:rsidR="008D5F0B">
        <w:rPr>
          <w:rFonts w:ascii="Times New Roman" w:hAnsi="Times New Roman" w:cs="Times New Roman"/>
          <w:lang w:val="sl-SI"/>
        </w:rPr>
        <w:t>v presoji</w:t>
      </w:r>
      <w:r w:rsidR="00A50C34" w:rsidRPr="008410BE">
        <w:rPr>
          <w:rFonts w:ascii="Times New Roman" w:hAnsi="Times New Roman" w:cs="Times New Roman"/>
          <w:lang w:val="sl-SI"/>
        </w:rPr>
        <w:t>]</w:t>
      </w:r>
      <w:r w:rsidR="00A50C34">
        <w:rPr>
          <w:rFonts w:ascii="Times New Roman" w:hAnsi="Times New Roman" w:cs="Times New Roman"/>
          <w:lang w:val="sl-SI"/>
        </w:rPr>
        <w:t xml:space="preserve"> </w:t>
      </w:r>
      <w:r w:rsidRPr="008410BE">
        <w:rPr>
          <w:rFonts w:ascii="Times New Roman" w:hAnsi="Times New Roman" w:cs="Times New Roman"/>
          <w:lang w:val="sl-SI"/>
        </w:rPr>
        <w:t xml:space="preserve">in glede na spor polne jurisdikcije </w:t>
      </w:r>
      <w:r w:rsidR="000E165A" w:rsidRPr="008410BE">
        <w:rPr>
          <w:rFonts w:ascii="Times New Roman" w:hAnsi="Times New Roman" w:cs="Times New Roman"/>
          <w:lang w:val="sl-SI"/>
        </w:rPr>
        <w:t>[sodišč</w:t>
      </w:r>
      <w:r w:rsidR="00526515">
        <w:rPr>
          <w:rFonts w:ascii="Times New Roman" w:hAnsi="Times New Roman" w:cs="Times New Roman"/>
          <w:lang w:val="sl-SI"/>
        </w:rPr>
        <w:t>e</w:t>
      </w:r>
      <w:r w:rsidR="000E165A" w:rsidRPr="008410BE">
        <w:rPr>
          <w:rFonts w:ascii="Times New Roman" w:hAnsi="Times New Roman" w:cs="Times New Roman"/>
          <w:lang w:val="sl-SI"/>
        </w:rPr>
        <w:t>]</w:t>
      </w:r>
      <w:r w:rsidR="000E165A">
        <w:rPr>
          <w:rFonts w:ascii="Times New Roman" w:hAnsi="Times New Roman" w:cs="Times New Roman"/>
          <w:lang w:val="sl-SI"/>
        </w:rPr>
        <w:t xml:space="preserve"> </w:t>
      </w:r>
      <w:r w:rsidRPr="008410BE">
        <w:rPr>
          <w:rFonts w:ascii="Times New Roman" w:hAnsi="Times New Roman" w:cs="Times New Roman"/>
          <w:lang w:val="sl-SI"/>
        </w:rPr>
        <w:t xml:space="preserve">v primeru </w:t>
      </w:r>
      <w:r w:rsidR="00526515">
        <w:rPr>
          <w:rFonts w:ascii="Times New Roman" w:hAnsi="Times New Roman" w:cs="Times New Roman"/>
          <w:lang w:val="sl-SI"/>
        </w:rPr>
        <w:t xml:space="preserve">njihove </w:t>
      </w:r>
      <w:r w:rsidRPr="008410BE">
        <w:rPr>
          <w:rFonts w:ascii="Times New Roman" w:hAnsi="Times New Roman" w:cs="Times New Roman"/>
          <w:lang w:val="sl-SI"/>
        </w:rPr>
        <w:t xml:space="preserve">odprave </w:t>
      </w:r>
      <w:r w:rsidR="000E165A" w:rsidRPr="008410BE">
        <w:rPr>
          <w:rFonts w:ascii="Times New Roman" w:hAnsi="Times New Roman" w:cs="Times New Roman"/>
          <w:lang w:val="sl-SI"/>
        </w:rPr>
        <w:t>[</w:t>
      </w:r>
      <w:r w:rsidR="000E165A">
        <w:rPr>
          <w:rFonts w:ascii="Times New Roman" w:hAnsi="Times New Roman" w:cs="Times New Roman"/>
          <w:lang w:val="sl-SI"/>
        </w:rPr>
        <w:t>upravne odločbe</w:t>
      </w:r>
      <w:r w:rsidR="000E165A" w:rsidRPr="008410BE">
        <w:rPr>
          <w:rFonts w:ascii="Times New Roman" w:hAnsi="Times New Roman" w:cs="Times New Roman"/>
          <w:lang w:val="sl-SI"/>
        </w:rPr>
        <w:t>]</w:t>
      </w:r>
      <w:r w:rsidR="006A2DFB">
        <w:rPr>
          <w:rFonts w:ascii="Times New Roman" w:hAnsi="Times New Roman" w:cs="Times New Roman"/>
          <w:lang w:val="sl-SI"/>
        </w:rPr>
        <w:t xml:space="preserve"> </w:t>
      </w:r>
      <w:r w:rsidRPr="008410BE">
        <w:rPr>
          <w:rFonts w:ascii="Times New Roman" w:hAnsi="Times New Roman" w:cs="Times New Roman"/>
          <w:lang w:val="sl-SI"/>
        </w:rPr>
        <w:t xml:space="preserve">tudi samo meritorno odloči o vtoževani pravici. Ob sodni kontroli upravnih odločb [sodišče] seveda ni dolžno izvesti dokaza </w:t>
      </w:r>
      <w:r w:rsidR="006A2DFB" w:rsidRPr="008410BE">
        <w:rPr>
          <w:rFonts w:ascii="Times New Roman" w:hAnsi="Times New Roman" w:cs="Times New Roman"/>
          <w:lang w:val="sl-SI"/>
        </w:rPr>
        <w:t>[</w:t>
      </w:r>
      <w:r w:rsidR="006A2DFB">
        <w:rPr>
          <w:rFonts w:ascii="Times New Roman" w:hAnsi="Times New Roman" w:cs="Times New Roman"/>
          <w:lang w:val="sl-SI"/>
        </w:rPr>
        <w:t>predloženega s strani</w:t>
      </w:r>
      <w:r w:rsidR="006A2DFB" w:rsidRPr="008410BE">
        <w:rPr>
          <w:rFonts w:ascii="Times New Roman" w:hAnsi="Times New Roman" w:cs="Times New Roman"/>
          <w:lang w:val="sl-SI"/>
        </w:rPr>
        <w:t>]</w:t>
      </w:r>
      <w:r w:rsidR="006A2DFB">
        <w:rPr>
          <w:rFonts w:ascii="Times New Roman" w:hAnsi="Times New Roman" w:cs="Times New Roman"/>
          <w:lang w:val="sl-SI"/>
        </w:rPr>
        <w:t xml:space="preserve"> s </w:t>
      </w:r>
      <w:r w:rsidRPr="008410BE">
        <w:rPr>
          <w:rFonts w:ascii="Times New Roman" w:hAnsi="Times New Roman" w:cs="Times New Roman"/>
          <w:lang w:val="sl-SI"/>
        </w:rPr>
        <w:t xml:space="preserve">sodno medicinskim izvedencem, če je že na podlagi izvedenskih mnenje invalidske komisije I. in II. </w:t>
      </w:r>
      <w:r w:rsidR="00526515">
        <w:rPr>
          <w:rFonts w:ascii="Times New Roman" w:hAnsi="Times New Roman" w:cs="Times New Roman"/>
          <w:lang w:val="sl-SI"/>
        </w:rPr>
        <w:t>s</w:t>
      </w:r>
      <w:r w:rsidRPr="008410BE">
        <w:rPr>
          <w:rFonts w:ascii="Times New Roman" w:hAnsi="Times New Roman" w:cs="Times New Roman"/>
          <w:lang w:val="sl-SI"/>
        </w:rPr>
        <w:t xml:space="preserve">topnje mogoče zaključiti, da sta zavrnilna upravna akta pravilna in zakonita, ker sta izdana na podlagi prepričljivih ocen obeh invalidskih komisij glede na razpoložljivo listinsko medicinsko dokumentacijo in izvid </w:t>
      </w:r>
      <w:r w:rsidR="00526515" w:rsidRPr="008410BE">
        <w:rPr>
          <w:rFonts w:ascii="Times New Roman" w:hAnsi="Times New Roman" w:cs="Times New Roman"/>
          <w:lang w:val="sl-SI"/>
        </w:rPr>
        <w:t>[</w:t>
      </w:r>
      <w:r w:rsidR="00526515">
        <w:rPr>
          <w:rFonts w:ascii="Times New Roman" w:hAnsi="Times New Roman" w:cs="Times New Roman"/>
          <w:lang w:val="sl-SI"/>
        </w:rPr>
        <w:t>relevantnega</w:t>
      </w:r>
      <w:r w:rsidR="00526515" w:rsidRPr="008410BE">
        <w:rPr>
          <w:rFonts w:ascii="Times New Roman" w:hAnsi="Times New Roman" w:cs="Times New Roman"/>
          <w:lang w:val="sl-SI"/>
        </w:rPr>
        <w:t>]</w:t>
      </w:r>
      <w:r w:rsidR="00526515">
        <w:rPr>
          <w:rFonts w:ascii="Times New Roman" w:hAnsi="Times New Roman" w:cs="Times New Roman"/>
          <w:lang w:val="sl-SI"/>
        </w:rPr>
        <w:t xml:space="preserve"> </w:t>
      </w:r>
      <w:r w:rsidRPr="008410BE">
        <w:rPr>
          <w:rFonts w:ascii="Times New Roman" w:hAnsi="Times New Roman" w:cs="Times New Roman"/>
          <w:lang w:val="sl-SI"/>
        </w:rPr>
        <w:t>osebnega pregleda. Takšno procesno stanje je podano v predmetni zadevi, saj sta tudi po oceni pritožbenega sodišča izvedenska organa v predsodnem upravnem postopku pravilno ocenila, da pri tožnici telesna okvara sploh ni podana.«</w:t>
      </w:r>
    </w:p>
    <w:bookmarkStart w:id="12" w:name="Visje2"/>
    <w:p w14:paraId="1193980C" w14:textId="5FEE50B9" w:rsidR="005A07CE"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17</w:t>
      </w:r>
      <w:r>
        <w:rPr>
          <w:rFonts w:ascii="Times New Roman" w:hAnsi="Times New Roman" w:cs="Times New Roman"/>
          <w:lang w:val="sl"/>
        </w:rPr>
        <w:fldChar w:fldCharType="end"/>
      </w:r>
      <w:bookmarkEnd w:id="12"/>
      <w:r>
        <w:rPr>
          <w:rFonts w:ascii="Times New Roman" w:hAnsi="Times New Roman" w:cs="Times New Roman"/>
          <w:lang w:val="sl"/>
        </w:rPr>
        <w:t>.  Sodišče je tudi menilo, da ni mogoče ugotoviti telesnih okvar, ki niso navedene na seznamu. Poleg tega je vprašanje, ali je neko zdravstveno stanje okvara, drugačno od vprašanja, ali pomeni invalidnost. V pritožničin</w:t>
      </w:r>
      <w:r w:rsidR="003D38BD">
        <w:rPr>
          <w:rFonts w:ascii="Times New Roman" w:hAnsi="Times New Roman" w:cs="Times New Roman"/>
          <w:lang w:val="sl"/>
        </w:rPr>
        <w:t>em primeru</w:t>
      </w:r>
      <w:r>
        <w:rPr>
          <w:rFonts w:ascii="Times New Roman" w:hAnsi="Times New Roman" w:cs="Times New Roman"/>
          <w:lang w:val="sl"/>
        </w:rPr>
        <w:t>, čeprav je imela priznano invalidnost, samo to dejstvo – brez funkcionaln</w:t>
      </w:r>
      <w:r w:rsidR="003D38BD">
        <w:rPr>
          <w:rFonts w:ascii="Times New Roman" w:hAnsi="Times New Roman" w:cs="Times New Roman"/>
          <w:lang w:val="sl"/>
        </w:rPr>
        <w:t xml:space="preserve">ih </w:t>
      </w:r>
      <w:r>
        <w:rPr>
          <w:rFonts w:ascii="Times New Roman" w:hAnsi="Times New Roman" w:cs="Times New Roman"/>
          <w:lang w:val="sl"/>
        </w:rPr>
        <w:t xml:space="preserve">težav v zvezi z nepregibnostjo sklepov – ni bilo dovolj za uvrstitev njenega zdravstvenega stanja </w:t>
      </w:r>
      <w:r w:rsidR="003D38BD">
        <w:rPr>
          <w:rFonts w:ascii="Times New Roman" w:hAnsi="Times New Roman" w:cs="Times New Roman"/>
          <w:lang w:val="sl"/>
        </w:rPr>
        <w:t>kot eno od telesnih okvar</w:t>
      </w:r>
      <w:r>
        <w:rPr>
          <w:rFonts w:ascii="Times New Roman" w:hAnsi="Times New Roman" w:cs="Times New Roman"/>
          <w:lang w:val="sl"/>
        </w:rPr>
        <w:t>. Višje delovno in socialno sodišče je soglašalo s sodiščem prve stopnje, da sta invalidski komisiji v predsodnem upravnem postopku pravilno ocenili, ko sta odločili, da pritožnica nima telesne okvare. Poudarilo</w:t>
      </w:r>
      <w:r w:rsidR="0035190D">
        <w:rPr>
          <w:rFonts w:ascii="Times New Roman" w:hAnsi="Times New Roman" w:cs="Times New Roman"/>
          <w:lang w:val="sl"/>
        </w:rPr>
        <w:t xml:space="preserve"> je tudi</w:t>
      </w:r>
      <w:r>
        <w:rPr>
          <w:rFonts w:ascii="Times New Roman" w:hAnsi="Times New Roman" w:cs="Times New Roman"/>
          <w:lang w:val="sl"/>
        </w:rPr>
        <w:t xml:space="preserve">, da sodišče ni bilo dolžno postaviti neodvisnega izvedenca, če je bilo iz mnenj invalidskih komisij mogoče sklepati, da so bile odločitve zavoda utemeljene, kot je bilo mogoče v obravnavani zadevi. </w:t>
      </w:r>
    </w:p>
    <w:bookmarkStart w:id="13" w:name="revzija"/>
    <w:p w14:paraId="663CD235" w14:textId="21589B3C" w:rsidR="005A07CE" w:rsidRPr="00D76B80" w:rsidRDefault="005A07CE" w:rsidP="00E477A0">
      <w:pPr>
        <w:pStyle w:val="ECHRPara"/>
        <w:rPr>
          <w:rFonts w:ascii="Times New Roman" w:hAnsi="Times New Roman" w:cs="Times New Roman"/>
          <w:lang w:val="sl"/>
        </w:rPr>
      </w:pPr>
      <w:r>
        <w:rPr>
          <w:rFonts w:ascii="Times New Roman" w:hAnsi="Times New Roman" w:cs="Times New Roman"/>
          <w:lang w:val="sl"/>
        </w:rPr>
        <w:lastRenderedPageBreak/>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18</w:t>
      </w:r>
      <w:r>
        <w:rPr>
          <w:rFonts w:ascii="Times New Roman" w:hAnsi="Times New Roman" w:cs="Times New Roman"/>
          <w:lang w:val="sl"/>
        </w:rPr>
        <w:fldChar w:fldCharType="end"/>
      </w:r>
      <w:bookmarkEnd w:id="13"/>
      <w:r>
        <w:rPr>
          <w:rFonts w:ascii="Times New Roman" w:hAnsi="Times New Roman" w:cs="Times New Roman"/>
          <w:lang w:val="sl"/>
        </w:rPr>
        <w:t xml:space="preserve">.  Pritožnica je vložila predlog za dopustitev revizije. Zatrjevala je, da je bila kršena njena pravica do poštenega sojenja, ker sodišče ni postavilo izvedenca medicinske stroke in je samo ocenilo pritožničino zdravstveno stanje, čeprav za to ni imelo potrebnega medicinskega znanja. Tako ji je bila onemogočena edina možnost izpodbijanja odločb zavoda. Pritožnica je tudi opozorila na dejstvo, da so izvedenci, ki jih je postavilo sodišče, v številnih primerih ugotovili, da so invalidske komisije napačno ugotovile dejstva. </w:t>
      </w:r>
      <w:r w:rsidR="00E70B32">
        <w:rPr>
          <w:rFonts w:ascii="Times New Roman" w:hAnsi="Times New Roman" w:cs="Times New Roman"/>
          <w:lang w:val="sl"/>
        </w:rPr>
        <w:t>Poleg tega je z</w:t>
      </w:r>
      <w:r>
        <w:rPr>
          <w:rFonts w:ascii="Times New Roman" w:hAnsi="Times New Roman" w:cs="Times New Roman"/>
          <w:lang w:val="sl"/>
        </w:rPr>
        <w:t>atrjevala, da sodišče prve stopnje svoje odločitve ne bi smelo utemeljevati s seznamom.</w:t>
      </w:r>
    </w:p>
    <w:bookmarkStart w:id="14" w:name="Vrhovno"/>
    <w:p w14:paraId="465930E4" w14:textId="7700B2BF" w:rsidR="005A07CE"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19</w:t>
      </w:r>
      <w:r>
        <w:rPr>
          <w:rFonts w:ascii="Times New Roman" w:hAnsi="Times New Roman" w:cs="Times New Roman"/>
          <w:lang w:val="sl"/>
        </w:rPr>
        <w:fldChar w:fldCharType="end"/>
      </w:r>
      <w:bookmarkEnd w:id="14"/>
      <w:r>
        <w:rPr>
          <w:rFonts w:ascii="Times New Roman" w:hAnsi="Times New Roman" w:cs="Times New Roman"/>
          <w:lang w:val="sl"/>
        </w:rPr>
        <w:t xml:space="preserve">.  Vrhovno sodišče je 10. junija 2014 zavrnilo </w:t>
      </w:r>
      <w:r w:rsidR="00C81C95">
        <w:rPr>
          <w:rFonts w:ascii="Times New Roman" w:hAnsi="Times New Roman" w:cs="Times New Roman"/>
          <w:lang w:val="sl"/>
        </w:rPr>
        <w:t xml:space="preserve">pritožničin </w:t>
      </w:r>
      <w:r>
        <w:rPr>
          <w:rFonts w:ascii="Times New Roman" w:hAnsi="Times New Roman" w:cs="Times New Roman"/>
          <w:lang w:val="sl"/>
        </w:rPr>
        <w:t xml:space="preserve">predlog za </w:t>
      </w:r>
      <w:r w:rsidR="00C81C95">
        <w:rPr>
          <w:rFonts w:ascii="Times New Roman" w:hAnsi="Times New Roman" w:cs="Times New Roman"/>
          <w:lang w:val="sl"/>
        </w:rPr>
        <w:t xml:space="preserve">dopustitev </w:t>
      </w:r>
      <w:r>
        <w:rPr>
          <w:rFonts w:ascii="Times New Roman" w:hAnsi="Times New Roman" w:cs="Times New Roman"/>
          <w:lang w:val="sl"/>
        </w:rPr>
        <w:t>revizij</w:t>
      </w:r>
      <w:r w:rsidR="00C81C95">
        <w:rPr>
          <w:rFonts w:ascii="Times New Roman" w:hAnsi="Times New Roman" w:cs="Times New Roman"/>
          <w:lang w:val="sl"/>
        </w:rPr>
        <w:t>e</w:t>
      </w:r>
      <w:r w:rsidR="00A135BA">
        <w:rPr>
          <w:rFonts w:ascii="Times New Roman" w:hAnsi="Times New Roman" w:cs="Times New Roman"/>
          <w:lang w:val="sl"/>
        </w:rPr>
        <w:t xml:space="preserve">, ker </w:t>
      </w:r>
      <w:r w:rsidR="00C81C95">
        <w:rPr>
          <w:rFonts w:ascii="Times New Roman" w:hAnsi="Times New Roman" w:cs="Times New Roman"/>
          <w:lang w:val="sl"/>
        </w:rPr>
        <w:t xml:space="preserve">niso </w:t>
      </w:r>
      <w:r w:rsidR="00A135BA">
        <w:rPr>
          <w:rFonts w:ascii="Times New Roman" w:hAnsi="Times New Roman" w:cs="Times New Roman"/>
          <w:lang w:val="sl"/>
        </w:rPr>
        <w:t xml:space="preserve">bili </w:t>
      </w:r>
      <w:r w:rsidR="00C81C95">
        <w:rPr>
          <w:rFonts w:ascii="Times New Roman" w:hAnsi="Times New Roman" w:cs="Times New Roman"/>
          <w:lang w:val="sl"/>
        </w:rPr>
        <w:t xml:space="preserve">izpolnjeni pogoji za dopustitev revizije. </w:t>
      </w:r>
    </w:p>
    <w:bookmarkStart w:id="15" w:name="ustavnapritozba"/>
    <w:p w14:paraId="66B57B69" w14:textId="4F890C71" w:rsidR="00390A4C"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20</w:t>
      </w:r>
      <w:r>
        <w:rPr>
          <w:rFonts w:ascii="Times New Roman" w:hAnsi="Times New Roman" w:cs="Times New Roman"/>
          <w:lang w:val="sl"/>
        </w:rPr>
        <w:fldChar w:fldCharType="end"/>
      </w:r>
      <w:bookmarkEnd w:id="15"/>
      <w:r>
        <w:rPr>
          <w:rFonts w:ascii="Times New Roman" w:hAnsi="Times New Roman" w:cs="Times New Roman"/>
          <w:lang w:val="sl"/>
        </w:rPr>
        <w:t xml:space="preserve">.  Pritožnica je 21. julija 2014 vložila ustavno pritožbo. </w:t>
      </w:r>
      <w:r w:rsidR="001B3515">
        <w:rPr>
          <w:rFonts w:ascii="Times New Roman" w:hAnsi="Times New Roman" w:cs="Times New Roman"/>
          <w:lang w:val="sl"/>
        </w:rPr>
        <w:t>Pritoževala se je</w:t>
      </w:r>
      <w:r>
        <w:rPr>
          <w:rFonts w:ascii="Times New Roman" w:hAnsi="Times New Roman" w:cs="Times New Roman"/>
          <w:lang w:val="sl"/>
        </w:rPr>
        <w:t xml:space="preserve">, da odločitev Vrhovnega sodišča ni bila obrazložena. </w:t>
      </w:r>
      <w:r w:rsidR="001B3515">
        <w:rPr>
          <w:rFonts w:ascii="Times New Roman" w:hAnsi="Times New Roman" w:cs="Times New Roman"/>
          <w:lang w:val="sl"/>
        </w:rPr>
        <w:t xml:space="preserve">Nadalje je trdila, da </w:t>
      </w:r>
      <w:r>
        <w:rPr>
          <w:rFonts w:ascii="Times New Roman" w:hAnsi="Times New Roman" w:cs="Times New Roman"/>
          <w:lang w:val="sl"/>
        </w:rPr>
        <w:t xml:space="preserve"> </w:t>
      </w:r>
      <w:r w:rsidR="001B3515">
        <w:rPr>
          <w:rFonts w:ascii="Times New Roman" w:hAnsi="Times New Roman" w:cs="Times New Roman"/>
          <w:lang w:val="sl"/>
        </w:rPr>
        <w:t xml:space="preserve">na zaslišanju </w:t>
      </w:r>
      <w:r>
        <w:rPr>
          <w:rFonts w:ascii="Times New Roman" w:hAnsi="Times New Roman" w:cs="Times New Roman"/>
          <w:lang w:val="sl"/>
        </w:rPr>
        <w:t xml:space="preserve">ni mogla pojasniti vseh svojih zdravstvenih težav in </w:t>
      </w:r>
      <w:r w:rsidR="005B4064">
        <w:rPr>
          <w:rFonts w:ascii="Times New Roman" w:hAnsi="Times New Roman" w:cs="Times New Roman"/>
          <w:lang w:val="sl"/>
        </w:rPr>
        <w:t xml:space="preserve">da </w:t>
      </w:r>
      <w:r>
        <w:rPr>
          <w:rFonts w:ascii="Times New Roman" w:hAnsi="Times New Roman" w:cs="Times New Roman"/>
          <w:lang w:val="sl"/>
        </w:rPr>
        <w:t>sodišče ni moglo oceniti pregibnosti njenih rok. Pritožnica bi lahko učinkovito izpodbijala odločitev zavoda samo</w:t>
      </w:r>
      <w:r w:rsidR="005B4064">
        <w:rPr>
          <w:rFonts w:ascii="Times New Roman" w:hAnsi="Times New Roman" w:cs="Times New Roman"/>
          <w:lang w:val="sl"/>
        </w:rPr>
        <w:t>,</w:t>
      </w:r>
      <w:r>
        <w:rPr>
          <w:rFonts w:ascii="Times New Roman" w:hAnsi="Times New Roman" w:cs="Times New Roman"/>
          <w:lang w:val="sl"/>
        </w:rPr>
        <w:t xml:space="preserve"> če bi bil postavljen neodvisen izvedenec medicinske stroke; kot je bilo dokazano v preteklosti, so neodvisni izvedenci medicinske stroke pogosto prišli do ugotovitev</w:t>
      </w:r>
      <w:r w:rsidR="005B4064">
        <w:rPr>
          <w:rFonts w:ascii="Times New Roman" w:hAnsi="Times New Roman" w:cs="Times New Roman"/>
          <w:lang w:val="sl"/>
        </w:rPr>
        <w:t xml:space="preserve">, ki so bile </w:t>
      </w:r>
      <w:r>
        <w:rPr>
          <w:rFonts w:ascii="Times New Roman" w:hAnsi="Times New Roman" w:cs="Times New Roman"/>
          <w:lang w:val="sl"/>
        </w:rPr>
        <w:t>v nasprotju z ugotovitvami invalidskih komisij. Sklicevala se je na 22. člen (enako varstvo pravic) in 23. člen (pravica do sodnega varstva) Ustave. Ponovno se je tudi pritožila zaradi opiranja na seznam.</w:t>
      </w:r>
    </w:p>
    <w:bookmarkStart w:id="16" w:name="usravnosodisce"/>
    <w:p w14:paraId="5B4C4A27" w14:textId="060883CB" w:rsidR="005A07CE"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21</w:t>
      </w:r>
      <w:r>
        <w:rPr>
          <w:rFonts w:ascii="Times New Roman" w:hAnsi="Times New Roman" w:cs="Times New Roman"/>
          <w:lang w:val="sl"/>
        </w:rPr>
        <w:fldChar w:fldCharType="end"/>
      </w:r>
      <w:bookmarkEnd w:id="16"/>
      <w:r>
        <w:rPr>
          <w:rFonts w:ascii="Times New Roman" w:hAnsi="Times New Roman" w:cs="Times New Roman"/>
          <w:lang w:val="sl"/>
        </w:rPr>
        <w:t>.  Ustavno sodišče je 10. decembra 2014 odločilo, da pritožničine ustavne pritožbe ne sprejme v obravnavo, ker se ne nanaša na pomembno ustavno vprašanje ali kršitev človekovih pravic, ki bi imela resne posledice za pritožnico.</w:t>
      </w:r>
    </w:p>
    <w:p w14:paraId="18C5A04C" w14:textId="77777777" w:rsidR="00014566" w:rsidRPr="00D76B80" w:rsidRDefault="00014566" w:rsidP="00E477A0">
      <w:pPr>
        <w:pStyle w:val="ECHRHeading1"/>
        <w:rPr>
          <w:lang w:val="it-IT"/>
        </w:rPr>
      </w:pPr>
      <w:r>
        <w:rPr>
          <w:bCs w:val="0"/>
          <w:lang w:val="sl"/>
        </w:rPr>
        <w:t>II. UPOŠTEVANI DOMAČA ZAKONODAJA IN PRAKSA</w:t>
      </w:r>
    </w:p>
    <w:p w14:paraId="70A34D30" w14:textId="77777777" w:rsidR="005A07CE" w:rsidRPr="00D76B80" w:rsidRDefault="005A07CE" w:rsidP="00E477A0">
      <w:pPr>
        <w:pStyle w:val="ECHRHeading2"/>
        <w:rPr>
          <w:rFonts w:ascii="Times New Roman" w:hAnsi="Times New Roman" w:cs="Times New Roman"/>
          <w:lang w:val="it-IT"/>
        </w:rPr>
      </w:pPr>
      <w:r>
        <w:rPr>
          <w:rFonts w:ascii="Times New Roman" w:hAnsi="Times New Roman" w:cs="Times New Roman"/>
          <w:lang w:val="sl"/>
        </w:rPr>
        <w:t>A.  Določbe o nadomestilu za invalidnost za telesno okvaro</w:t>
      </w:r>
    </w:p>
    <w:bookmarkStart w:id="17" w:name="ZPIZ143"/>
    <w:p w14:paraId="43D51283" w14:textId="20C29C02" w:rsidR="005A07CE" w:rsidRPr="00D76B80" w:rsidRDefault="005A07CE" w:rsidP="00E477A0">
      <w:pPr>
        <w:pStyle w:val="ECHRPara"/>
        <w:rPr>
          <w:rFonts w:ascii="Times New Roman" w:hAnsi="Times New Roman" w:cs="Times New Roman"/>
          <w:i/>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22</w:t>
      </w:r>
      <w:r>
        <w:rPr>
          <w:rFonts w:ascii="Times New Roman" w:hAnsi="Times New Roman" w:cs="Times New Roman"/>
          <w:lang w:val="sl"/>
        </w:rPr>
        <w:fldChar w:fldCharType="end"/>
      </w:r>
      <w:bookmarkEnd w:id="17"/>
      <w:r>
        <w:rPr>
          <w:rFonts w:ascii="Times New Roman" w:hAnsi="Times New Roman" w:cs="Times New Roman"/>
          <w:lang w:val="sl"/>
        </w:rPr>
        <w:t xml:space="preserve">.  V skladu s </w:t>
      </w:r>
      <w:r w:rsidR="005B164D">
        <w:rPr>
          <w:rFonts w:ascii="Times New Roman" w:hAnsi="Times New Roman" w:cs="Times New Roman"/>
          <w:lang w:val="sl"/>
        </w:rPr>
        <w:t xml:space="preserve">1. </w:t>
      </w:r>
      <w:r>
        <w:rPr>
          <w:rFonts w:ascii="Times New Roman" w:hAnsi="Times New Roman" w:cs="Times New Roman"/>
          <w:lang w:val="sl"/>
        </w:rPr>
        <w:t>odstavkom 143. člena Zakona o pokojninskem in invalidskem zavarovanju (prečiščeno besedilo, objavljeno v Ur</w:t>
      </w:r>
      <w:r w:rsidR="00461687">
        <w:rPr>
          <w:rFonts w:ascii="Times New Roman" w:hAnsi="Times New Roman" w:cs="Times New Roman"/>
          <w:lang w:val="sl"/>
        </w:rPr>
        <w:t xml:space="preserve">. l. </w:t>
      </w:r>
      <w:r>
        <w:rPr>
          <w:rFonts w:ascii="Times New Roman" w:hAnsi="Times New Roman" w:cs="Times New Roman"/>
          <w:lang w:val="sl"/>
        </w:rPr>
        <w:t xml:space="preserve">RS, št. 109/06, s poznejšimi spremembami) je "telesna okvara" </w:t>
      </w:r>
      <w:r w:rsidR="00461687">
        <w:rPr>
          <w:rFonts w:ascii="Times New Roman" w:hAnsi="Times New Roman" w:cs="Times New Roman"/>
          <w:lang w:val="sl"/>
        </w:rPr>
        <w:t xml:space="preserve">definirana kot </w:t>
      </w:r>
      <w:r>
        <w:rPr>
          <w:rFonts w:ascii="Times New Roman" w:hAnsi="Times New Roman" w:cs="Times New Roman"/>
          <w:lang w:val="sl"/>
        </w:rPr>
        <w:t>izguba, bistvenejša poškodovanost ali znatnejša onesposobljenost posameznih organov</w:t>
      </w:r>
      <w:r w:rsidR="00461687">
        <w:rPr>
          <w:rFonts w:ascii="Times New Roman" w:hAnsi="Times New Roman" w:cs="Times New Roman"/>
          <w:lang w:val="sl"/>
        </w:rPr>
        <w:t xml:space="preserve"> zavarovane osebe</w:t>
      </w:r>
      <w:r>
        <w:rPr>
          <w:rFonts w:ascii="Times New Roman" w:hAnsi="Times New Roman" w:cs="Times New Roman"/>
          <w:lang w:val="sl"/>
        </w:rPr>
        <w:t xml:space="preserve">, kar otežuje aktivnost organizma in zahteva večje napore pri zadovoljevanju življenjskih potreb. </w:t>
      </w:r>
      <w:r w:rsidR="00AB3D3D">
        <w:rPr>
          <w:rFonts w:ascii="Times New Roman" w:hAnsi="Times New Roman" w:cs="Times New Roman"/>
          <w:lang w:val="sl"/>
        </w:rPr>
        <w:t>Po 3. od</w:t>
      </w:r>
      <w:r>
        <w:rPr>
          <w:rFonts w:ascii="Times New Roman" w:hAnsi="Times New Roman" w:cs="Times New Roman"/>
          <w:lang w:val="sl"/>
        </w:rPr>
        <w:t>stavk</w:t>
      </w:r>
      <w:r w:rsidR="00AB3D3D">
        <w:rPr>
          <w:rFonts w:ascii="Times New Roman" w:hAnsi="Times New Roman" w:cs="Times New Roman"/>
          <w:lang w:val="sl"/>
        </w:rPr>
        <w:t xml:space="preserve">u </w:t>
      </w:r>
      <w:r w:rsidR="0013107E">
        <w:rPr>
          <w:rFonts w:ascii="Times New Roman" w:hAnsi="Times New Roman" w:cs="Times New Roman"/>
          <w:lang w:val="sl"/>
        </w:rPr>
        <w:t xml:space="preserve">tega člena pa </w:t>
      </w:r>
      <w:r>
        <w:rPr>
          <w:rFonts w:ascii="Times New Roman" w:hAnsi="Times New Roman" w:cs="Times New Roman"/>
          <w:lang w:val="sl"/>
        </w:rPr>
        <w:t>seznam različnih vrst telesnih okvar, na podlagi katerih se pridobi pravica do nadomestila za invalidnost, določi minister, pristojen za zdravje. Dokler minister takega seznama ne sprejme, se v domačih postopkih uporablja Samoupravni sporazum o seznamu telesnih okvar (glej</w:t>
      </w:r>
      <w:r w:rsidR="0013107E">
        <w:rPr>
          <w:rFonts w:ascii="Times New Roman" w:hAnsi="Times New Roman" w:cs="Times New Roman"/>
          <w:lang w:val="sl"/>
        </w:rPr>
        <w:t xml:space="preserve"> 8. točko</w:t>
      </w:r>
      <w:r>
        <w:rPr>
          <w:rFonts w:ascii="Times New Roman" w:hAnsi="Times New Roman" w:cs="Times New Roman"/>
          <w:lang w:val="sl"/>
        </w:rPr>
        <w:t xml:space="preserve">), prvič sprejet leta 1983 in zadnjič spremenjen leta 1989. V 8. in 13. točki razdelka B ("Funkcionalne motnje") poglavja IV ("Zgornje okončine") so navedene vrste funkcionalnih motenj ramenskega in posebej ročnega sklepa, ki se štejejo za telesno okvaro.    </w:t>
      </w:r>
    </w:p>
    <w:bookmarkStart w:id="18" w:name="ZPIZ144"/>
    <w:p w14:paraId="603410F7" w14:textId="13084AF4" w:rsidR="005A07CE" w:rsidRPr="00D76B80" w:rsidRDefault="005A07CE" w:rsidP="00E477A0">
      <w:pPr>
        <w:pStyle w:val="ECHRPara"/>
        <w:rPr>
          <w:rFonts w:ascii="Times New Roman" w:hAnsi="Times New Roman" w:cs="Times New Roman"/>
          <w:lang w:val="sl"/>
        </w:rPr>
      </w:pPr>
      <w:r>
        <w:rPr>
          <w:rFonts w:ascii="Times New Roman" w:hAnsi="Times New Roman" w:cs="Times New Roman"/>
          <w:lang w:val="sl"/>
        </w:rPr>
        <w:lastRenderedPageBreak/>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23</w:t>
      </w:r>
      <w:r>
        <w:rPr>
          <w:rFonts w:ascii="Times New Roman" w:hAnsi="Times New Roman" w:cs="Times New Roman"/>
          <w:lang w:val="sl"/>
        </w:rPr>
        <w:fldChar w:fldCharType="end"/>
      </w:r>
      <w:bookmarkEnd w:id="18"/>
      <w:r>
        <w:rPr>
          <w:rFonts w:ascii="Times New Roman" w:hAnsi="Times New Roman" w:cs="Times New Roman"/>
          <w:lang w:val="sl"/>
        </w:rPr>
        <w:t xml:space="preserve">.  V skladu s 144. členom Zakona o pokojninskem in invalidskem zavarovanju, ki je veljal v </w:t>
      </w:r>
      <w:r w:rsidR="002964C9">
        <w:rPr>
          <w:rFonts w:ascii="Times New Roman" w:hAnsi="Times New Roman" w:cs="Times New Roman"/>
          <w:lang w:val="sl"/>
        </w:rPr>
        <w:t xml:space="preserve">času, relevantnem </w:t>
      </w:r>
      <w:r>
        <w:rPr>
          <w:rFonts w:ascii="Times New Roman" w:hAnsi="Times New Roman" w:cs="Times New Roman"/>
          <w:lang w:val="sl"/>
        </w:rPr>
        <w:t xml:space="preserve">za pritožbo, ima zavarovanec pod določenimi pogoji pravico do nadomestila za invalidnost za telesno okvaro, pri čemer je eden od pogojev stopnja telesne okvare. </w:t>
      </w:r>
    </w:p>
    <w:p w14:paraId="487BCAB7" w14:textId="77777777" w:rsidR="005A07CE" w:rsidRPr="00D76B80" w:rsidRDefault="005A07CE" w:rsidP="00E477A0">
      <w:pPr>
        <w:pStyle w:val="ECHRHeading2"/>
        <w:rPr>
          <w:rFonts w:ascii="Times New Roman" w:hAnsi="Times New Roman" w:cs="Times New Roman"/>
          <w:lang w:val="sl"/>
        </w:rPr>
      </w:pPr>
      <w:r>
        <w:rPr>
          <w:rFonts w:ascii="Times New Roman" w:hAnsi="Times New Roman" w:cs="Times New Roman"/>
          <w:lang w:val="sl"/>
        </w:rPr>
        <w:t>B.  Pravila postopka</w:t>
      </w:r>
    </w:p>
    <w:p w14:paraId="501CB967" w14:textId="0C3F9D84" w:rsidR="00D53DB4"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24</w:t>
      </w:r>
      <w:r>
        <w:rPr>
          <w:rFonts w:ascii="Times New Roman" w:hAnsi="Times New Roman" w:cs="Times New Roman"/>
          <w:lang w:val="sl"/>
        </w:rPr>
        <w:fldChar w:fldCharType="end"/>
      </w:r>
      <w:r>
        <w:rPr>
          <w:rFonts w:ascii="Times New Roman" w:hAnsi="Times New Roman" w:cs="Times New Roman"/>
          <w:lang w:val="sl"/>
        </w:rPr>
        <w:t>.  O</w:t>
      </w:r>
      <w:r w:rsidR="008C435C">
        <w:rPr>
          <w:rFonts w:ascii="Times New Roman" w:hAnsi="Times New Roman" w:cs="Times New Roman"/>
          <w:lang w:val="sl"/>
        </w:rPr>
        <w:t xml:space="preserve"> upravičenosti do </w:t>
      </w:r>
      <w:r>
        <w:rPr>
          <w:rFonts w:ascii="Times New Roman" w:hAnsi="Times New Roman" w:cs="Times New Roman"/>
          <w:lang w:val="sl"/>
        </w:rPr>
        <w:t xml:space="preserve">nadomestila za invalidnost zaradi telesne okvare </w:t>
      </w:r>
      <w:r w:rsidR="008C435C">
        <w:rPr>
          <w:rFonts w:ascii="Times New Roman" w:hAnsi="Times New Roman" w:cs="Times New Roman"/>
          <w:lang w:val="sl"/>
        </w:rPr>
        <w:t xml:space="preserve">odloča </w:t>
      </w:r>
      <w:r>
        <w:rPr>
          <w:rFonts w:ascii="Times New Roman" w:hAnsi="Times New Roman" w:cs="Times New Roman"/>
          <w:lang w:val="sl"/>
        </w:rPr>
        <w:t xml:space="preserve">zavod v </w:t>
      </w:r>
      <w:r w:rsidR="007417E9">
        <w:rPr>
          <w:rFonts w:ascii="Times New Roman" w:hAnsi="Times New Roman" w:cs="Times New Roman"/>
          <w:lang w:val="sl"/>
        </w:rPr>
        <w:t xml:space="preserve">dvo-stopenjskem </w:t>
      </w:r>
      <w:r>
        <w:rPr>
          <w:rFonts w:ascii="Times New Roman" w:hAnsi="Times New Roman" w:cs="Times New Roman"/>
          <w:lang w:val="sl"/>
        </w:rPr>
        <w:t>upravnem postopku – na prvi</w:t>
      </w:r>
      <w:r w:rsidR="008C435C">
        <w:rPr>
          <w:rFonts w:ascii="Times New Roman" w:hAnsi="Times New Roman" w:cs="Times New Roman"/>
          <w:lang w:val="sl"/>
        </w:rPr>
        <w:t xml:space="preserve"> stopnji </w:t>
      </w:r>
      <w:r>
        <w:rPr>
          <w:rFonts w:ascii="Times New Roman" w:hAnsi="Times New Roman" w:cs="Times New Roman"/>
          <w:lang w:val="sl"/>
        </w:rPr>
        <w:t>regionaln</w:t>
      </w:r>
      <w:r w:rsidR="008C435C">
        <w:rPr>
          <w:rFonts w:ascii="Times New Roman" w:hAnsi="Times New Roman" w:cs="Times New Roman"/>
          <w:lang w:val="sl"/>
        </w:rPr>
        <w:t>a</w:t>
      </w:r>
      <w:r>
        <w:rPr>
          <w:rFonts w:ascii="Times New Roman" w:hAnsi="Times New Roman" w:cs="Times New Roman"/>
          <w:lang w:val="sl"/>
        </w:rPr>
        <w:t xml:space="preserve"> enot</w:t>
      </w:r>
      <w:r w:rsidR="008C435C">
        <w:rPr>
          <w:rFonts w:ascii="Times New Roman" w:hAnsi="Times New Roman" w:cs="Times New Roman"/>
          <w:lang w:val="sl"/>
        </w:rPr>
        <w:t>a</w:t>
      </w:r>
      <w:r>
        <w:rPr>
          <w:rFonts w:ascii="Times New Roman" w:hAnsi="Times New Roman" w:cs="Times New Roman"/>
          <w:lang w:val="sl"/>
        </w:rPr>
        <w:t xml:space="preserve"> in na drugi </w:t>
      </w:r>
      <w:r w:rsidR="008C435C">
        <w:rPr>
          <w:rFonts w:ascii="Times New Roman" w:hAnsi="Times New Roman" w:cs="Times New Roman"/>
          <w:lang w:val="sl"/>
        </w:rPr>
        <w:t xml:space="preserve">stopnji </w:t>
      </w:r>
      <w:r>
        <w:rPr>
          <w:rFonts w:ascii="Times New Roman" w:hAnsi="Times New Roman" w:cs="Times New Roman"/>
          <w:lang w:val="sl"/>
        </w:rPr>
        <w:t xml:space="preserve">centralna na sedežu zavoda.  </w:t>
      </w:r>
    </w:p>
    <w:bookmarkStart w:id="19" w:name="DLrulesonprocedure"/>
    <w:p w14:paraId="790185F9" w14:textId="29F79722" w:rsidR="005A07CE"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25</w:t>
      </w:r>
      <w:r>
        <w:rPr>
          <w:rFonts w:ascii="Times New Roman" w:hAnsi="Times New Roman" w:cs="Times New Roman"/>
          <w:lang w:val="sl"/>
        </w:rPr>
        <w:fldChar w:fldCharType="end"/>
      </w:r>
      <w:bookmarkEnd w:id="19"/>
      <w:r>
        <w:rPr>
          <w:rFonts w:ascii="Times New Roman" w:hAnsi="Times New Roman" w:cs="Times New Roman"/>
          <w:lang w:val="sl"/>
        </w:rPr>
        <w:t xml:space="preserve">.  Za upoštevano domačo zakonodajo o sodnem postopku v sporih o pravicah socialne varnosti glej </w:t>
      </w:r>
      <w:r>
        <w:rPr>
          <w:rFonts w:ascii="Times New Roman" w:hAnsi="Times New Roman" w:cs="Times New Roman"/>
          <w:i/>
          <w:iCs/>
          <w:lang w:val="sl"/>
        </w:rPr>
        <w:t>Korošec proti Sloveniji</w:t>
      </w:r>
      <w:r>
        <w:rPr>
          <w:rFonts w:ascii="Times New Roman" w:hAnsi="Times New Roman" w:cs="Times New Roman"/>
          <w:lang w:val="sl"/>
        </w:rPr>
        <w:t xml:space="preserve"> (št. 77212/12, 8. oktober 2015, 25.–27. odstavek).</w:t>
      </w:r>
    </w:p>
    <w:p w14:paraId="4A7D8E54" w14:textId="77777777" w:rsidR="005A07CE" w:rsidRPr="00D76B80" w:rsidRDefault="005A07CE" w:rsidP="00E477A0">
      <w:pPr>
        <w:pStyle w:val="ECHRHeading2"/>
        <w:rPr>
          <w:rFonts w:ascii="Times New Roman" w:hAnsi="Times New Roman" w:cs="Times New Roman"/>
          <w:lang w:val="sl"/>
        </w:rPr>
      </w:pPr>
      <w:r>
        <w:rPr>
          <w:rFonts w:ascii="Times New Roman" w:hAnsi="Times New Roman" w:cs="Times New Roman"/>
          <w:lang w:val="sl"/>
        </w:rPr>
        <w:t>C. Invalidske komisije Zavoda za pokojninsko in invalidsko zavarovanje</w:t>
      </w:r>
    </w:p>
    <w:bookmarkStart w:id="20" w:name="DLdisabilitycommission"/>
    <w:p w14:paraId="4DCA0382" w14:textId="2D6096F6" w:rsidR="005A07CE"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26</w:t>
      </w:r>
      <w:r>
        <w:rPr>
          <w:rFonts w:ascii="Times New Roman" w:hAnsi="Times New Roman" w:cs="Times New Roman"/>
          <w:lang w:val="sl"/>
        </w:rPr>
        <w:fldChar w:fldCharType="end"/>
      </w:r>
      <w:bookmarkEnd w:id="20"/>
      <w:r>
        <w:rPr>
          <w:rFonts w:ascii="Times New Roman" w:hAnsi="Times New Roman" w:cs="Times New Roman"/>
          <w:lang w:val="sl"/>
        </w:rPr>
        <w:t>.  Invalidske komisije pomagajo zavodu v postopkih na I. in II. stopnji z izdajo mnenj o invalidnosti in drugih zadevah, ki so pomembne pri odločanju o pridobitvi pravic iz pokojninskega in invalidskega zavarovanja.</w:t>
      </w:r>
    </w:p>
    <w:bookmarkStart w:id="21" w:name="DLappointmentofexperts"/>
    <w:bookmarkStart w:id="22" w:name="DLdsiabilitycommisionsORGANISATION"/>
    <w:p w14:paraId="59F567A5" w14:textId="09D1A333" w:rsidR="00390A4C"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27</w:t>
      </w:r>
      <w:r>
        <w:rPr>
          <w:rFonts w:ascii="Times New Roman" w:hAnsi="Times New Roman" w:cs="Times New Roman"/>
          <w:lang w:val="sl"/>
        </w:rPr>
        <w:fldChar w:fldCharType="end"/>
      </w:r>
      <w:bookmarkEnd w:id="21"/>
      <w:bookmarkEnd w:id="22"/>
      <w:r>
        <w:rPr>
          <w:rFonts w:ascii="Times New Roman" w:hAnsi="Times New Roman" w:cs="Times New Roman"/>
          <w:lang w:val="sl"/>
        </w:rPr>
        <w:t xml:space="preserve">.  Njihovo organiziranost in delo ureja Pravilnik o organizaciji in načinu delovanja invalidskih komisij ter drugih izvedenskih </w:t>
      </w:r>
      <w:r w:rsidR="004D70EB">
        <w:rPr>
          <w:rFonts w:ascii="Times New Roman" w:hAnsi="Times New Roman" w:cs="Times New Roman"/>
          <w:lang w:val="sl"/>
        </w:rPr>
        <w:t xml:space="preserve">organov Zavoda za pokojninsko in invalidsko </w:t>
      </w:r>
      <w:r>
        <w:rPr>
          <w:rFonts w:ascii="Times New Roman" w:hAnsi="Times New Roman" w:cs="Times New Roman"/>
          <w:lang w:val="sl"/>
        </w:rPr>
        <w:t xml:space="preserve">zavarovanje Slovenije, ki je veljal v </w:t>
      </w:r>
      <w:r w:rsidR="00C83510">
        <w:rPr>
          <w:rFonts w:ascii="Times New Roman" w:hAnsi="Times New Roman" w:cs="Times New Roman"/>
          <w:lang w:val="sl"/>
        </w:rPr>
        <w:t xml:space="preserve">času, </w:t>
      </w:r>
      <w:r>
        <w:rPr>
          <w:rFonts w:ascii="Times New Roman" w:hAnsi="Times New Roman" w:cs="Times New Roman"/>
          <w:lang w:val="sl"/>
        </w:rPr>
        <w:t xml:space="preserve">relevantnem za pritožbo (v nadaljnjem besedilu: pravilnik). V skladu s 17. členom pravilnika so invalidske komisije, ki podajo mnenje, sestavljene kot senat, katerega člane določi predsednik posamezne invalidske komisije. Vsak predsednik vodi in organizira delo svoje invalidske komisije. Vsak senat ima tudi predsednika, ki ga imenuje predsednik posamezne invalidske komisije. Predsednik senata je v </w:t>
      </w:r>
      <w:r w:rsidR="00681CD6">
        <w:rPr>
          <w:rFonts w:ascii="Times New Roman" w:hAnsi="Times New Roman" w:cs="Times New Roman"/>
          <w:lang w:val="sl"/>
        </w:rPr>
        <w:t xml:space="preserve">zadevnem </w:t>
      </w:r>
      <w:r>
        <w:rPr>
          <w:rFonts w:ascii="Times New Roman" w:hAnsi="Times New Roman" w:cs="Times New Roman"/>
          <w:lang w:val="sl"/>
        </w:rPr>
        <w:t>primeru tudi poročevalec (43. člen).</w:t>
      </w:r>
    </w:p>
    <w:bookmarkStart w:id="23" w:name="DLdsiabilitycommisionsQUALIFICATION"/>
    <w:p w14:paraId="3696017B" w14:textId="0FB27F7C" w:rsidR="005A07CE"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28</w:t>
      </w:r>
      <w:r>
        <w:rPr>
          <w:rFonts w:ascii="Times New Roman" w:hAnsi="Times New Roman" w:cs="Times New Roman"/>
          <w:lang w:val="sl"/>
        </w:rPr>
        <w:fldChar w:fldCharType="end"/>
      </w:r>
      <w:bookmarkEnd w:id="23"/>
      <w:r>
        <w:rPr>
          <w:rFonts w:ascii="Times New Roman" w:hAnsi="Times New Roman" w:cs="Times New Roman"/>
          <w:lang w:val="sl"/>
        </w:rPr>
        <w:t>.  </w:t>
      </w:r>
      <w:r w:rsidRPr="00A36033">
        <w:rPr>
          <w:rFonts w:ascii="Times New Roman" w:hAnsi="Times New Roman" w:cs="Times New Roman"/>
          <w:lang w:val="sl"/>
        </w:rPr>
        <w:t>Za</w:t>
      </w:r>
      <w:r>
        <w:rPr>
          <w:rFonts w:ascii="Times New Roman" w:hAnsi="Times New Roman" w:cs="Times New Roman"/>
          <w:lang w:val="sl"/>
        </w:rPr>
        <w:t xml:space="preserve"> izvedenca je lahko imenovan zdravnik</w:t>
      </w:r>
      <w:r w:rsidR="002403DA">
        <w:rPr>
          <w:rFonts w:ascii="Times New Roman" w:hAnsi="Times New Roman" w:cs="Times New Roman"/>
          <w:lang w:val="sl"/>
        </w:rPr>
        <w:t xml:space="preserve"> s</w:t>
      </w:r>
      <w:r w:rsidR="002403DA" w:rsidRPr="005969EC">
        <w:rPr>
          <w:rFonts w:ascii="Times New Roman" w:hAnsi="Times New Roman" w:cs="Times New Roman"/>
          <w:lang w:val="sl"/>
        </w:rPr>
        <w:t xml:space="preserve">pecialist ustrezne klinične usmeritve z veljavno licenco Zdravniške zbornice Slovenije, z najmanj dveletnimi delovnimi izkušnjami v svoji specialistični dejavnosti, ki je </w:t>
      </w:r>
      <w:r w:rsidR="002403DA">
        <w:rPr>
          <w:rFonts w:ascii="Times New Roman" w:hAnsi="Times New Roman" w:cs="Times New Roman"/>
          <w:lang w:val="sl"/>
        </w:rPr>
        <w:t>v re</w:t>
      </w:r>
      <w:r w:rsidR="002403DA" w:rsidRPr="005969EC">
        <w:rPr>
          <w:rFonts w:ascii="Times New Roman" w:hAnsi="Times New Roman" w:cs="Times New Roman"/>
          <w:lang w:val="sl"/>
        </w:rPr>
        <w:t>dnem delovnem razmerju ali je samozaposlen</w:t>
      </w:r>
      <w:r w:rsidR="002403DA">
        <w:rPr>
          <w:rFonts w:ascii="Times New Roman" w:hAnsi="Times New Roman" w:cs="Times New Roman"/>
          <w:lang w:val="sl"/>
        </w:rPr>
        <w:t xml:space="preserve"> kot zdravnik. </w:t>
      </w:r>
      <w:r w:rsidR="002403DA" w:rsidRPr="002403DA">
        <w:rPr>
          <w:rFonts w:ascii="Times New Roman" w:hAnsi="Times New Roman" w:cs="Times New Roman"/>
          <w:lang w:val="sl"/>
        </w:rPr>
        <w:t>Za predsednika invalidske komisije je lahko imenovan zdravnik specialist</w:t>
      </w:r>
      <w:r w:rsidR="002403DA">
        <w:rPr>
          <w:rFonts w:ascii="Times New Roman" w:hAnsi="Times New Roman" w:cs="Times New Roman"/>
          <w:lang w:val="sl"/>
        </w:rPr>
        <w:t xml:space="preserve"> </w:t>
      </w:r>
      <w:r w:rsidR="002403DA" w:rsidRPr="002403DA">
        <w:rPr>
          <w:rFonts w:ascii="Times New Roman" w:hAnsi="Times New Roman" w:cs="Times New Roman"/>
          <w:lang w:val="sl"/>
        </w:rPr>
        <w:t xml:space="preserve">medicine dela, ki ima štiri leta delovnih izkušenj v svoji specialistični dejavnosti, in je v rednem delovnem razmerju v Zavodu </w:t>
      </w:r>
      <w:r>
        <w:rPr>
          <w:rFonts w:ascii="Times New Roman" w:hAnsi="Times New Roman" w:cs="Times New Roman"/>
          <w:lang w:val="sl"/>
        </w:rPr>
        <w:t xml:space="preserve">(5. člen pravilnika). </w:t>
      </w:r>
    </w:p>
    <w:bookmarkStart w:id="24" w:name="DLdsiabilitycommisionsAPPOINTMENT"/>
    <w:p w14:paraId="33C38BAC" w14:textId="0B7EF29C" w:rsidR="00BF16F0"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29</w:t>
      </w:r>
      <w:r>
        <w:rPr>
          <w:rFonts w:ascii="Times New Roman" w:hAnsi="Times New Roman" w:cs="Times New Roman"/>
          <w:lang w:val="sl"/>
        </w:rPr>
        <w:fldChar w:fldCharType="end"/>
      </w:r>
      <w:bookmarkEnd w:id="24"/>
      <w:r>
        <w:rPr>
          <w:rFonts w:ascii="Times New Roman" w:hAnsi="Times New Roman" w:cs="Times New Roman"/>
          <w:lang w:val="sl"/>
        </w:rPr>
        <w:t xml:space="preserve">.  Izvedence imenuje svet zavoda na predlog generalnega direktorja zavoda. Izvedenci, </w:t>
      </w:r>
      <w:r w:rsidR="00015D6A">
        <w:rPr>
          <w:rFonts w:ascii="Times New Roman" w:hAnsi="Times New Roman" w:cs="Times New Roman"/>
          <w:lang w:val="sl"/>
        </w:rPr>
        <w:t xml:space="preserve">z izjemo tistih, ki so zaposleni na </w:t>
      </w:r>
      <w:r w:rsidR="00CD5F42">
        <w:rPr>
          <w:rFonts w:ascii="Times New Roman" w:hAnsi="Times New Roman" w:cs="Times New Roman"/>
          <w:lang w:val="sl"/>
        </w:rPr>
        <w:t>z</w:t>
      </w:r>
      <w:r w:rsidR="00015D6A">
        <w:rPr>
          <w:rFonts w:ascii="Times New Roman" w:hAnsi="Times New Roman" w:cs="Times New Roman"/>
          <w:lang w:val="sl"/>
        </w:rPr>
        <w:t>avodu (</w:t>
      </w:r>
      <w:r w:rsidR="00CD5F42">
        <w:rPr>
          <w:rFonts w:ascii="Times New Roman" w:hAnsi="Times New Roman" w:cs="Times New Roman"/>
          <w:lang w:val="sl"/>
        </w:rPr>
        <w:t xml:space="preserve">kot predsedniki invalidskih komisij),  </w:t>
      </w:r>
      <w:r>
        <w:rPr>
          <w:rFonts w:ascii="Times New Roman" w:hAnsi="Times New Roman" w:cs="Times New Roman"/>
          <w:lang w:val="sl"/>
        </w:rPr>
        <w:t>so imenovani za dobo štirih let z možnostjo ponovnega imenovanja (4. člen pravilnika).</w:t>
      </w:r>
    </w:p>
    <w:bookmarkStart w:id="25" w:name="Rules3"/>
    <w:bookmarkStart w:id="26" w:name="DLsiabilitycommissionBOUNDBYLAWAUTNOMOUS"/>
    <w:p w14:paraId="6FD223F7" w14:textId="4EAB8A5E" w:rsidR="00390A4C" w:rsidRPr="00D76B80" w:rsidRDefault="005A07CE" w:rsidP="00E477A0">
      <w:pPr>
        <w:pStyle w:val="ECHRPara"/>
        <w:rPr>
          <w:rFonts w:ascii="Times New Roman" w:hAnsi="Times New Roman" w:cs="Times New Roman"/>
          <w:lang w:val="it-IT"/>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30</w:t>
      </w:r>
      <w:r>
        <w:rPr>
          <w:rFonts w:ascii="Times New Roman" w:hAnsi="Times New Roman" w:cs="Times New Roman"/>
          <w:lang w:val="sl"/>
        </w:rPr>
        <w:fldChar w:fldCharType="end"/>
      </w:r>
      <w:bookmarkEnd w:id="25"/>
      <w:bookmarkEnd w:id="26"/>
      <w:r>
        <w:rPr>
          <w:rFonts w:ascii="Times New Roman" w:hAnsi="Times New Roman" w:cs="Times New Roman"/>
          <w:lang w:val="sl"/>
        </w:rPr>
        <w:t xml:space="preserve">.  V skladu s 14. členom pravilnika so izvedenski organi dolžni upoštevati zakonodajo, pravilnik in druge splošne akte zavoda, izvedensko prakso zavoda, smernice in priporočila vodstva, osnovna načela Zakona o splošnem upravnem postopku, etični kodeks ter splošna in etična načela </w:t>
      </w:r>
      <w:r>
        <w:rPr>
          <w:rFonts w:ascii="Times New Roman" w:hAnsi="Times New Roman" w:cs="Times New Roman"/>
          <w:lang w:val="sl"/>
        </w:rPr>
        <w:lastRenderedPageBreak/>
        <w:t>stroke. V skladu s 15. členom so izvedenci pri svojem delu samostojni in vezani na pravila stroke in doktrino.</w:t>
      </w:r>
    </w:p>
    <w:bookmarkStart w:id="27" w:name="DLsiabilitycommissionINVOLVMENTOFINSURED"/>
    <w:p w14:paraId="6BBABCCE" w14:textId="31D35C5E" w:rsidR="00531F32" w:rsidRPr="00CC7ACF"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31</w:t>
      </w:r>
      <w:r>
        <w:rPr>
          <w:rFonts w:ascii="Times New Roman" w:hAnsi="Times New Roman" w:cs="Times New Roman"/>
          <w:lang w:val="sl"/>
        </w:rPr>
        <w:fldChar w:fldCharType="end"/>
      </w:r>
      <w:bookmarkEnd w:id="27"/>
      <w:r>
        <w:rPr>
          <w:rFonts w:ascii="Times New Roman" w:hAnsi="Times New Roman" w:cs="Times New Roman"/>
          <w:lang w:val="sl"/>
        </w:rPr>
        <w:t>.  V skladu s 43. členom senat invalidske komisije I. stopnje z zavarovancem opravi pogovor ali ga pregleda. Zavarovanec lahko predlaga</w:t>
      </w:r>
      <w:r w:rsidR="00CC7ACF">
        <w:rPr>
          <w:rFonts w:ascii="Times New Roman" w:hAnsi="Times New Roman" w:cs="Times New Roman"/>
          <w:lang w:val="sl"/>
        </w:rPr>
        <w:t xml:space="preserve"> tudi</w:t>
      </w:r>
      <w:r>
        <w:rPr>
          <w:rFonts w:ascii="Times New Roman" w:hAnsi="Times New Roman" w:cs="Times New Roman"/>
          <w:lang w:val="sl"/>
        </w:rPr>
        <w:t>, da ga pregleda invalidska komisija II. stopnje (56. člen).</w:t>
      </w:r>
    </w:p>
    <w:p w14:paraId="75EA1143" w14:textId="77777777" w:rsidR="00531F32" w:rsidRPr="00D76B80" w:rsidRDefault="005A07CE" w:rsidP="00E477A0">
      <w:pPr>
        <w:pStyle w:val="ECHRHeading2"/>
        <w:rPr>
          <w:lang w:val="it-IT"/>
        </w:rPr>
      </w:pPr>
      <w:r>
        <w:rPr>
          <w:lang w:val="sl"/>
        </w:rPr>
        <w:t>D. Izbrana domača sodna praksa</w:t>
      </w:r>
    </w:p>
    <w:bookmarkStart w:id="28" w:name="DLSUPREMECOURT"/>
    <w:p w14:paraId="2FA51CDE" w14:textId="4D2030C9" w:rsidR="00390A4C" w:rsidRPr="00D76B80" w:rsidRDefault="005A07CE"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32</w:t>
      </w:r>
      <w:r>
        <w:rPr>
          <w:rFonts w:ascii="Times New Roman" w:hAnsi="Times New Roman" w:cs="Times New Roman"/>
          <w:lang w:val="sl"/>
        </w:rPr>
        <w:fldChar w:fldCharType="end"/>
      </w:r>
      <w:bookmarkEnd w:id="28"/>
      <w:r>
        <w:rPr>
          <w:rFonts w:ascii="Times New Roman" w:hAnsi="Times New Roman" w:cs="Times New Roman"/>
          <w:lang w:val="sl"/>
        </w:rPr>
        <w:t xml:space="preserve">.  Vrhovno sodišče je s sklepom št. VIII Ips 3/2006 z dne 7. novembra 2006 odločilo, da imajo mnenja invalidskih komisij naravo izvedenskih mnenj le v predsodnih postopkih </w:t>
      </w:r>
      <w:r w:rsidR="0050669E">
        <w:rPr>
          <w:rFonts w:ascii="Times New Roman" w:hAnsi="Times New Roman" w:cs="Times New Roman"/>
          <w:lang w:val="sl"/>
        </w:rPr>
        <w:t xml:space="preserve">znotraj </w:t>
      </w:r>
      <w:r>
        <w:rPr>
          <w:rFonts w:ascii="Times New Roman" w:hAnsi="Times New Roman" w:cs="Times New Roman"/>
          <w:lang w:val="sl"/>
        </w:rPr>
        <w:t>zavoda</w:t>
      </w:r>
      <w:r w:rsidR="00596DA7">
        <w:rPr>
          <w:rFonts w:ascii="Times New Roman" w:hAnsi="Times New Roman" w:cs="Times New Roman"/>
          <w:lang w:val="sl"/>
        </w:rPr>
        <w:t xml:space="preserve">, </w:t>
      </w:r>
      <w:r>
        <w:rPr>
          <w:rFonts w:ascii="Times New Roman" w:hAnsi="Times New Roman" w:cs="Times New Roman"/>
          <w:lang w:val="sl"/>
        </w:rPr>
        <w:t xml:space="preserve">ne </w:t>
      </w:r>
      <w:r w:rsidR="001D2158">
        <w:rPr>
          <w:rFonts w:ascii="Times New Roman" w:hAnsi="Times New Roman" w:cs="Times New Roman"/>
          <w:lang w:val="sl"/>
        </w:rPr>
        <w:t xml:space="preserve">pa tudi v sodnih postopkih, </w:t>
      </w:r>
      <w:r>
        <w:rPr>
          <w:rFonts w:ascii="Times New Roman" w:hAnsi="Times New Roman" w:cs="Times New Roman"/>
          <w:lang w:val="sl"/>
        </w:rPr>
        <w:t xml:space="preserve">kjer naj bi bilo </w:t>
      </w:r>
      <w:r w:rsidR="00132AAE">
        <w:rPr>
          <w:rFonts w:ascii="Times New Roman" w:hAnsi="Times New Roman" w:cs="Times New Roman"/>
          <w:lang w:val="sl"/>
        </w:rPr>
        <w:t xml:space="preserve">izvedensko mnenje </w:t>
      </w:r>
      <w:r>
        <w:rPr>
          <w:rFonts w:ascii="Times New Roman" w:hAnsi="Times New Roman" w:cs="Times New Roman"/>
          <w:lang w:val="sl"/>
        </w:rPr>
        <w:t>nepristransko; to pomeni, da ga ne more dati stranka v postopku. V zadevi, ki jo je obravnavalo Vrhovno sodišče, so nižja sodišča odločitev invalidske komisije obravnavala kot odločilni dokaz pri ugotavljanju pritožničine zmožnosti za delo in tako po</w:t>
      </w:r>
      <w:r w:rsidR="00596DA7">
        <w:rPr>
          <w:rFonts w:ascii="Times New Roman" w:hAnsi="Times New Roman" w:cs="Times New Roman"/>
          <w:lang w:val="sl"/>
        </w:rPr>
        <w:t xml:space="preserve">trdila </w:t>
      </w:r>
      <w:r>
        <w:rPr>
          <w:rFonts w:ascii="Times New Roman" w:hAnsi="Times New Roman" w:cs="Times New Roman"/>
          <w:lang w:val="sl"/>
        </w:rPr>
        <w:t xml:space="preserve">odločitev nasprotne stranke (tj. zavoda). Ob upoštevanju narave takih mnenj je Vrhovno sodišče odločilo, da sodišče prve stopnje ne bi smelo naročiti dopolnilnega menja invalidske komisije in zavrniti predloga pritožnice za postavitev neodvisnega izvedenca. Odločilo je tudi, da opiranje nižjih sodišč pri ugotavljanju pomembnih dejstev na mnenje izvedenskega organa ene od strank v postopku ni bilo sprejemljivo. Ker je tožnica izrecno nasprotovala temu in je zahtevala postavitev neodvisnega izvedenca, bi sodišče prve stopnje moralo ugoditi njenemu predlogu. Vrhovno sodišče je tudi </w:t>
      </w:r>
      <w:r w:rsidR="0015741A">
        <w:rPr>
          <w:rFonts w:ascii="Times New Roman" w:hAnsi="Times New Roman" w:cs="Times New Roman"/>
          <w:lang w:val="sl"/>
        </w:rPr>
        <w:t xml:space="preserve">ugotovilo, </w:t>
      </w:r>
      <w:r>
        <w:rPr>
          <w:rFonts w:ascii="Times New Roman" w:hAnsi="Times New Roman" w:cs="Times New Roman"/>
          <w:lang w:val="sl"/>
        </w:rPr>
        <w:t>da obst</w:t>
      </w:r>
      <w:r w:rsidR="0015741A">
        <w:rPr>
          <w:rFonts w:ascii="Times New Roman" w:hAnsi="Times New Roman" w:cs="Times New Roman"/>
          <w:lang w:val="sl"/>
        </w:rPr>
        <w:t xml:space="preserve">ojijo </w:t>
      </w:r>
      <w:r>
        <w:rPr>
          <w:rFonts w:ascii="Times New Roman" w:hAnsi="Times New Roman" w:cs="Times New Roman"/>
          <w:lang w:val="sl"/>
        </w:rPr>
        <w:t xml:space="preserve">razhajanja v medicinski dokumentaciji in </w:t>
      </w:r>
      <w:r w:rsidR="0015741A">
        <w:rPr>
          <w:rFonts w:ascii="Times New Roman" w:hAnsi="Times New Roman" w:cs="Times New Roman"/>
          <w:lang w:val="sl"/>
        </w:rPr>
        <w:t xml:space="preserve">da je ostalo </w:t>
      </w:r>
      <w:r>
        <w:rPr>
          <w:rFonts w:ascii="Times New Roman" w:hAnsi="Times New Roman" w:cs="Times New Roman"/>
          <w:lang w:val="sl"/>
        </w:rPr>
        <w:t xml:space="preserve">odprto vprašanje o pritožničini kategoriji invalidnosti. </w:t>
      </w:r>
      <w:r w:rsidR="0015741A">
        <w:rPr>
          <w:rFonts w:ascii="Times New Roman" w:hAnsi="Times New Roman" w:cs="Times New Roman"/>
          <w:lang w:val="sl"/>
        </w:rPr>
        <w:t xml:space="preserve">S tega stališča </w:t>
      </w:r>
      <w:r>
        <w:rPr>
          <w:rFonts w:ascii="Times New Roman" w:hAnsi="Times New Roman" w:cs="Times New Roman"/>
          <w:lang w:val="sl"/>
        </w:rPr>
        <w:t>nižja sodišča tega vprašanja niso pravilno obravnavala, saj so se namesto tega sklicevala na dopolnilno mnenje invalidske komisije.  Zaradi tega je Vrhovno sodišče ugotovilo kršitev pritožničinih pravic do izjave v postopku in možnosti sodelovanja v postopku.</w:t>
      </w:r>
    </w:p>
    <w:bookmarkStart w:id="29" w:name="DLCC1"/>
    <w:p w14:paraId="6C514F48" w14:textId="1EBFDACF" w:rsidR="00390A4C" w:rsidRPr="00D76B80" w:rsidRDefault="005A07CE" w:rsidP="00E477A0">
      <w:pPr>
        <w:pStyle w:val="ECHRPara"/>
        <w:rPr>
          <w:rFonts w:ascii="Times New Roman" w:eastAsiaTheme="minorHAnsi"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33</w:t>
      </w:r>
      <w:r>
        <w:rPr>
          <w:rFonts w:ascii="Times New Roman" w:hAnsi="Times New Roman" w:cs="Times New Roman"/>
          <w:lang w:val="sl"/>
        </w:rPr>
        <w:fldChar w:fldCharType="end"/>
      </w:r>
      <w:bookmarkEnd w:id="29"/>
      <w:r>
        <w:rPr>
          <w:rFonts w:ascii="Times New Roman" w:hAnsi="Times New Roman" w:cs="Times New Roman"/>
          <w:lang w:val="sl"/>
        </w:rPr>
        <w:t xml:space="preserve">.  Ustavno sodišče je 19. oktobra 2017 izdalo Odločbo št. Up-233/15. S sklicevanjem, med drugim, na načela iz zgoraj navedene zadeve </w:t>
      </w:r>
      <w:r>
        <w:rPr>
          <w:rFonts w:ascii="Times New Roman" w:hAnsi="Times New Roman" w:cs="Times New Roman"/>
          <w:i/>
          <w:iCs/>
          <w:snapToGrid w:val="0"/>
          <w:lang w:val="sl"/>
        </w:rPr>
        <w:t xml:space="preserve">Korošec </w:t>
      </w:r>
      <w:r>
        <w:rPr>
          <w:rFonts w:ascii="Times New Roman" w:hAnsi="Times New Roman" w:cs="Times New Roman"/>
          <w:snapToGrid w:val="0"/>
          <w:lang w:val="sl"/>
        </w:rPr>
        <w:t xml:space="preserve"> je </w:t>
      </w:r>
      <w:r>
        <w:rPr>
          <w:rFonts w:ascii="Times New Roman" w:hAnsi="Times New Roman" w:cs="Times New Roman"/>
          <w:lang w:val="sl"/>
        </w:rPr>
        <w:t xml:space="preserve">ugotovilo kršitev 22. člena Ustave (enako varstvo pravic). Še zlasti je štelo za arbitrarno ugotovitev nižjih sodišč, da so mnenja invalidskih komisij javne listine, katerih resničnost se predpostavlja, dokler ni dokazano drugače. Ugotovilo je kršitev 22. člena tudi zaradi odločitve nižjih sodišč, da </w:t>
      </w:r>
      <w:r w:rsidR="006072BD">
        <w:rPr>
          <w:rFonts w:ascii="Times New Roman" w:hAnsi="Times New Roman" w:cs="Times New Roman"/>
          <w:lang w:val="sl"/>
        </w:rPr>
        <w:t xml:space="preserve">izjave pritožnika na </w:t>
      </w:r>
      <w:r w:rsidR="005C18D3">
        <w:rPr>
          <w:rFonts w:ascii="Times New Roman" w:hAnsi="Times New Roman" w:cs="Times New Roman"/>
          <w:lang w:val="sl"/>
        </w:rPr>
        <w:t xml:space="preserve">zaslišanju </w:t>
      </w:r>
      <w:r>
        <w:rPr>
          <w:rFonts w:ascii="Times New Roman" w:hAnsi="Times New Roman" w:cs="Times New Roman"/>
          <w:lang w:val="sl"/>
        </w:rPr>
        <w:t xml:space="preserve">in mnenja invalidskih komisij zadostujejo za ugotovitev, da telesna okvara ne obstaja. V tej zvezi je navedlo, da so invalidske komisije zavoda izvedenski organi zavoda, ki je ena od strank v postopku, in zato ne morejo biti nepristranske. Ustavno sodišče je </w:t>
      </w:r>
      <w:r w:rsidR="001F123E">
        <w:rPr>
          <w:rFonts w:ascii="Times New Roman" w:hAnsi="Times New Roman" w:cs="Times New Roman"/>
          <w:lang w:val="sl"/>
        </w:rPr>
        <w:t xml:space="preserve">nadalje </w:t>
      </w:r>
      <w:r>
        <w:rPr>
          <w:rFonts w:ascii="Times New Roman" w:hAnsi="Times New Roman" w:cs="Times New Roman"/>
          <w:lang w:val="sl"/>
        </w:rPr>
        <w:t xml:space="preserve">navedlo, da </w:t>
      </w:r>
      <w:r w:rsidR="001F123E">
        <w:rPr>
          <w:rFonts w:ascii="Times New Roman" w:hAnsi="Times New Roman" w:cs="Times New Roman"/>
          <w:lang w:val="sl"/>
        </w:rPr>
        <w:t xml:space="preserve">imela v okoliščinah zadevnega primera </w:t>
      </w:r>
      <w:r>
        <w:rPr>
          <w:rFonts w:ascii="Times New Roman" w:hAnsi="Times New Roman" w:cs="Times New Roman"/>
          <w:lang w:val="sl"/>
        </w:rPr>
        <w:t>medicinska ocena odločiln</w:t>
      </w:r>
      <w:r w:rsidR="001F123E">
        <w:rPr>
          <w:rFonts w:ascii="Times New Roman" w:hAnsi="Times New Roman" w:cs="Times New Roman"/>
          <w:lang w:val="sl"/>
        </w:rPr>
        <w:t>o vlogo i</w:t>
      </w:r>
      <w:r>
        <w:rPr>
          <w:rFonts w:ascii="Times New Roman" w:hAnsi="Times New Roman" w:cs="Times New Roman"/>
          <w:lang w:val="sl"/>
        </w:rPr>
        <w:t xml:space="preserve">n </w:t>
      </w:r>
      <w:r w:rsidR="001F123E">
        <w:rPr>
          <w:rFonts w:ascii="Times New Roman" w:hAnsi="Times New Roman" w:cs="Times New Roman"/>
          <w:lang w:val="sl"/>
        </w:rPr>
        <w:t xml:space="preserve">da </w:t>
      </w:r>
      <w:r>
        <w:rPr>
          <w:rFonts w:ascii="Times New Roman" w:hAnsi="Times New Roman" w:cs="Times New Roman"/>
          <w:lang w:val="sl"/>
        </w:rPr>
        <w:t xml:space="preserve">nižja sodišča niso imela dovolj strokovnega znanja, da bi sama ugotavljala obstoj telesne okvare. Nižja sodišča so pritožniku z zavrnitvijo predloga za postavitev neodvisnega izvedenca medicinske stroke odvzela možnost učinkovite obrambe zoper ugotovitve izvedenskih organov </w:t>
      </w:r>
      <w:r>
        <w:rPr>
          <w:rFonts w:ascii="Times New Roman" w:hAnsi="Times New Roman" w:cs="Times New Roman"/>
          <w:lang w:val="sl"/>
        </w:rPr>
        <w:lastRenderedPageBreak/>
        <w:t>nasprotne stranke, ki so bile ključne za v domačem sodnem postopku izpodbijane upravne odločitve.</w:t>
      </w:r>
    </w:p>
    <w:bookmarkStart w:id="30" w:name="DLCC2"/>
    <w:p w14:paraId="065B66CF" w14:textId="3ED0D274" w:rsidR="00390A4C" w:rsidRPr="00D76B80" w:rsidRDefault="005A07CE" w:rsidP="00E477A0">
      <w:pPr>
        <w:pStyle w:val="ECHRPara"/>
        <w:rPr>
          <w:rFonts w:ascii="Times New Roman" w:eastAsiaTheme="minorHAnsi" w:hAnsi="Times New Roman" w:cs="Times New Roman"/>
          <w:lang w:val="sl"/>
        </w:rPr>
      </w:pPr>
      <w:r>
        <w:rPr>
          <w:rFonts w:ascii="Times New Roman" w:eastAsiaTheme="minorHAnsi" w:hAnsi="Times New Roman" w:cs="Times New Roman"/>
          <w:lang w:val="sl"/>
        </w:rPr>
        <w:fldChar w:fldCharType="begin"/>
      </w:r>
      <w:r>
        <w:rPr>
          <w:rFonts w:ascii="Times New Roman" w:eastAsiaTheme="minorHAnsi" w:hAnsi="Times New Roman" w:cs="Times New Roman"/>
          <w:lang w:val="sl"/>
        </w:rPr>
        <w:instrText xml:space="preserve"> SEQ level0 \*arabic </w:instrText>
      </w:r>
      <w:r>
        <w:rPr>
          <w:rFonts w:ascii="Times New Roman" w:eastAsiaTheme="minorHAnsi" w:hAnsi="Times New Roman" w:cs="Times New Roman"/>
          <w:lang w:val="sl"/>
        </w:rPr>
        <w:fldChar w:fldCharType="separate"/>
      </w:r>
      <w:r w:rsidR="003B619B">
        <w:rPr>
          <w:rFonts w:ascii="Times New Roman" w:eastAsiaTheme="minorHAnsi" w:hAnsi="Times New Roman" w:cs="Times New Roman"/>
          <w:noProof/>
          <w:lang w:val="sl"/>
        </w:rPr>
        <w:t>34</w:t>
      </w:r>
      <w:r>
        <w:rPr>
          <w:rFonts w:ascii="Times New Roman" w:eastAsiaTheme="minorHAnsi" w:hAnsi="Times New Roman" w:cs="Times New Roman"/>
          <w:lang w:val="sl"/>
        </w:rPr>
        <w:fldChar w:fldCharType="end"/>
      </w:r>
      <w:bookmarkEnd w:id="30"/>
      <w:r>
        <w:rPr>
          <w:rFonts w:ascii="Times New Roman" w:eastAsiaTheme="minorHAnsi" w:hAnsi="Times New Roman" w:cs="Times New Roman"/>
          <w:lang w:val="sl"/>
        </w:rPr>
        <w:t xml:space="preserve">.  V isti zadevi je Ustavno sodišče tudi navedlo, da morda obstajajo primeri, ko predlog za postavitev neodvisnega izvedenca ni bil </w:t>
      </w:r>
      <w:r w:rsidR="004A1013">
        <w:rPr>
          <w:rFonts w:ascii="Times New Roman" w:eastAsiaTheme="minorHAnsi" w:hAnsi="Times New Roman" w:cs="Times New Roman"/>
          <w:lang w:val="sl"/>
        </w:rPr>
        <w:t xml:space="preserve">dovolj </w:t>
      </w:r>
      <w:r>
        <w:rPr>
          <w:rFonts w:ascii="Times New Roman" w:eastAsiaTheme="minorHAnsi" w:hAnsi="Times New Roman" w:cs="Times New Roman"/>
          <w:lang w:val="sl"/>
        </w:rPr>
        <w:t xml:space="preserve">utemeljen. </w:t>
      </w:r>
      <w:r w:rsidR="004A1013">
        <w:rPr>
          <w:rFonts w:ascii="Times New Roman" w:eastAsiaTheme="minorHAnsi" w:hAnsi="Times New Roman" w:cs="Times New Roman"/>
          <w:lang w:val="sl"/>
        </w:rPr>
        <w:t xml:space="preserve">Kakorkoli, v </w:t>
      </w:r>
      <w:r>
        <w:rPr>
          <w:rFonts w:ascii="Times New Roman" w:eastAsiaTheme="minorHAnsi" w:hAnsi="Times New Roman" w:cs="Times New Roman"/>
          <w:lang w:val="sl"/>
        </w:rPr>
        <w:t xml:space="preserve">obravnavani zadevi pred Ustavnim sodiščem </w:t>
      </w:r>
      <w:r w:rsidR="00A153F8">
        <w:rPr>
          <w:rFonts w:ascii="Times New Roman" w:eastAsiaTheme="minorHAnsi" w:hAnsi="Times New Roman" w:cs="Times New Roman"/>
          <w:lang w:val="sl"/>
        </w:rPr>
        <w:t xml:space="preserve">je </w:t>
      </w:r>
      <w:r>
        <w:rPr>
          <w:rFonts w:ascii="Times New Roman" w:eastAsiaTheme="minorHAnsi" w:hAnsi="Times New Roman" w:cs="Times New Roman"/>
          <w:lang w:val="sl"/>
        </w:rPr>
        <w:t>pritožnikov predlog temeljil na medicinski dokumentaciji, ki naj bi po njegovem mnenju in mnenju njegovega zdravnika kazala, da se je pritožnikovo zdravje poslabšalo in je posledično dobil telesno okvaro.</w:t>
      </w:r>
    </w:p>
    <w:p w14:paraId="7B83CB2B" w14:textId="77777777" w:rsidR="00014566" w:rsidRPr="00D76B80" w:rsidRDefault="00014566" w:rsidP="00E477A0">
      <w:pPr>
        <w:pStyle w:val="ECHRTitle1"/>
        <w:rPr>
          <w:lang w:val="sl"/>
        </w:rPr>
      </w:pPr>
      <w:r>
        <w:rPr>
          <w:lang w:val="sl"/>
        </w:rPr>
        <w:t>PRAVO</w:t>
      </w:r>
    </w:p>
    <w:p w14:paraId="0A1624C3" w14:textId="77777777" w:rsidR="00014566" w:rsidRPr="00D76B80" w:rsidRDefault="00014566" w:rsidP="00E477A0">
      <w:pPr>
        <w:pStyle w:val="ECHRHeading1"/>
        <w:rPr>
          <w:lang w:val="sl"/>
        </w:rPr>
      </w:pPr>
      <w:r>
        <w:rPr>
          <w:bCs w:val="0"/>
          <w:lang w:val="sl"/>
        </w:rPr>
        <w:t>I. ZATRJEVANA KRŠITEV PRVEGA ODSTAVKA 6. ČLENA KONVENCIJE</w:t>
      </w:r>
    </w:p>
    <w:p w14:paraId="0E8D154D" w14:textId="587C8749" w:rsidR="00A86B87" w:rsidRPr="00D76B80" w:rsidRDefault="00A86B87"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35</w:t>
      </w:r>
      <w:r>
        <w:rPr>
          <w:rFonts w:ascii="Times New Roman" w:hAnsi="Times New Roman" w:cs="Times New Roman"/>
          <w:lang w:val="sl"/>
        </w:rPr>
        <w:fldChar w:fldCharType="end"/>
      </w:r>
      <w:r>
        <w:rPr>
          <w:rFonts w:ascii="Times New Roman" w:hAnsi="Times New Roman" w:cs="Times New Roman"/>
          <w:lang w:val="sl"/>
        </w:rPr>
        <w:t>. </w:t>
      </w:r>
      <w:r w:rsidRPr="00465950">
        <w:rPr>
          <w:rFonts w:ascii="Times New Roman" w:hAnsi="Times New Roman" w:cs="Times New Roman"/>
          <w:lang w:val="sl"/>
        </w:rPr>
        <w:t>Pritožnica</w:t>
      </w:r>
      <w:r>
        <w:rPr>
          <w:rFonts w:ascii="Times New Roman" w:hAnsi="Times New Roman" w:cs="Times New Roman"/>
          <w:lang w:val="sl"/>
        </w:rPr>
        <w:t xml:space="preserve"> se je pritožila, da je bila zaradi dejstva, da so domača sodišča svoje odločitve oprla na mnenji invalidskih komisij in zavrnila postavitev neodvisnega izvedenca, kršena njena pravica do poštenega sojenja. Sklicevala se je na prvi odstavek 6. člena konvencije, ki se med drugim glasi:</w:t>
      </w:r>
    </w:p>
    <w:p w14:paraId="5576D0E3" w14:textId="77777777" w:rsidR="00A86B87" w:rsidRPr="00D76B80" w:rsidRDefault="00A86B87" w:rsidP="00E477A0">
      <w:pPr>
        <w:pStyle w:val="ECHRParaQuote"/>
        <w:rPr>
          <w:rFonts w:ascii="Times New Roman" w:hAnsi="Times New Roman" w:cs="Times New Roman"/>
          <w:lang w:val="it-IT"/>
        </w:rPr>
      </w:pPr>
      <w:r>
        <w:rPr>
          <w:rFonts w:ascii="Times New Roman" w:hAnsi="Times New Roman" w:cs="Times New Roman"/>
          <w:lang w:val="sl"/>
        </w:rPr>
        <w:t>"Vsakdo ima pravico, da o njegovih civilnih pravicah in obveznostih ... pravično ... odloča ... sodišče …"</w:t>
      </w:r>
    </w:p>
    <w:p w14:paraId="4A386ADB" w14:textId="77777777" w:rsidR="00A86B87" w:rsidRPr="00D76B80" w:rsidRDefault="00A86B87" w:rsidP="00E477A0">
      <w:pPr>
        <w:pStyle w:val="ECHRHeading2"/>
        <w:rPr>
          <w:rFonts w:ascii="Times New Roman" w:hAnsi="Times New Roman" w:cs="Times New Roman"/>
          <w:lang w:val="it-IT"/>
        </w:rPr>
      </w:pPr>
      <w:r>
        <w:rPr>
          <w:rFonts w:ascii="Times New Roman" w:hAnsi="Times New Roman" w:cs="Times New Roman"/>
          <w:lang w:val="sl"/>
        </w:rPr>
        <w:t>A.  Sprejemljivost</w:t>
      </w:r>
    </w:p>
    <w:p w14:paraId="71683DF4" w14:textId="5A5CA002" w:rsidR="00A86B87" w:rsidRPr="00D76B80" w:rsidRDefault="00A86B87"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36</w:t>
      </w:r>
      <w:r>
        <w:rPr>
          <w:rFonts w:ascii="Times New Roman" w:hAnsi="Times New Roman" w:cs="Times New Roman"/>
          <w:lang w:val="sl"/>
        </w:rPr>
        <w:fldChar w:fldCharType="end"/>
      </w:r>
      <w:r>
        <w:rPr>
          <w:rFonts w:ascii="Times New Roman" w:hAnsi="Times New Roman" w:cs="Times New Roman"/>
          <w:lang w:val="sl"/>
        </w:rPr>
        <w:t>.  Sodišče ugotavlja, da pritožba ni očitno neutemeljena po točki a tretjega odstavka 35. člena konvencije. Prav tako ugotavlja, da ni nesprejemljiva niti iz katerih koli drugih razlogov. Torej jo je treba razglasiti za sprejemljivo.</w:t>
      </w:r>
    </w:p>
    <w:p w14:paraId="471DB725" w14:textId="77777777" w:rsidR="00A86B87" w:rsidRPr="00D76B80" w:rsidRDefault="00A86B87" w:rsidP="00E477A0">
      <w:pPr>
        <w:pStyle w:val="ECHRHeading2"/>
        <w:rPr>
          <w:rFonts w:ascii="Times New Roman" w:hAnsi="Times New Roman" w:cs="Times New Roman"/>
          <w:lang w:val="sl"/>
        </w:rPr>
      </w:pPr>
      <w:r>
        <w:rPr>
          <w:rFonts w:ascii="Times New Roman" w:hAnsi="Times New Roman" w:cs="Times New Roman"/>
          <w:lang w:val="sl"/>
        </w:rPr>
        <w:t>B.  Utemeljenost</w:t>
      </w:r>
    </w:p>
    <w:p w14:paraId="5A07E9DF" w14:textId="77777777" w:rsidR="00A86B87" w:rsidRPr="00D76B80" w:rsidRDefault="00A86B87" w:rsidP="00E477A0">
      <w:pPr>
        <w:pStyle w:val="ECHRHeading3"/>
        <w:rPr>
          <w:rFonts w:ascii="Times New Roman" w:hAnsi="Times New Roman" w:cs="Times New Roman"/>
          <w:lang w:val="sl"/>
        </w:rPr>
      </w:pPr>
      <w:r>
        <w:rPr>
          <w:rFonts w:ascii="Times New Roman" w:hAnsi="Times New Roman" w:cs="Times New Roman"/>
          <w:bCs w:val="0"/>
          <w:iCs/>
          <w:lang w:val="sl"/>
        </w:rPr>
        <w:t>1.  Trditve strank</w:t>
      </w:r>
    </w:p>
    <w:p w14:paraId="7CA3EB45" w14:textId="77777777" w:rsidR="00390A4C" w:rsidRPr="00D76B80" w:rsidRDefault="00A86B87" w:rsidP="00E477A0">
      <w:pPr>
        <w:pStyle w:val="ECHRHeading4"/>
        <w:rPr>
          <w:rFonts w:ascii="Times New Roman" w:hAnsi="Times New Roman" w:cs="Times New Roman"/>
          <w:lang w:val="sl"/>
        </w:rPr>
      </w:pPr>
      <w:r>
        <w:rPr>
          <w:rFonts w:ascii="Times New Roman" w:hAnsi="Times New Roman" w:cs="Times New Roman"/>
          <w:iCs w:val="0"/>
          <w:lang w:val="sl"/>
        </w:rPr>
        <w:t>a) Pritožnica</w:t>
      </w:r>
    </w:p>
    <w:bookmarkStart w:id="31" w:name="APPbreachofequalityofarms"/>
    <w:p w14:paraId="3785BF69" w14:textId="246C6960" w:rsidR="00390A4C" w:rsidRPr="00D76B80" w:rsidRDefault="00A86B87"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37</w:t>
      </w:r>
      <w:r>
        <w:rPr>
          <w:rFonts w:ascii="Times New Roman" w:hAnsi="Times New Roman" w:cs="Times New Roman"/>
          <w:lang w:val="sl"/>
        </w:rPr>
        <w:fldChar w:fldCharType="end"/>
      </w:r>
      <w:bookmarkEnd w:id="31"/>
      <w:r>
        <w:rPr>
          <w:rFonts w:ascii="Times New Roman" w:hAnsi="Times New Roman" w:cs="Times New Roman"/>
          <w:lang w:val="sl"/>
        </w:rPr>
        <w:t>.  Pritožnica je trdila, da je bilo zaradi dejstva, da so sodišča svoje odločitve oprla na mnenji invalidskih komisij zavoda, kršeno načelo enakosti orožij v postopku.</w:t>
      </w:r>
    </w:p>
    <w:bookmarkStart w:id="32" w:name="APPcommissionwrong"/>
    <w:p w14:paraId="210CF70A" w14:textId="3108EA25" w:rsidR="00390A4C" w:rsidRPr="00D76B80" w:rsidRDefault="00A86B87"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38</w:t>
      </w:r>
      <w:r>
        <w:rPr>
          <w:rFonts w:ascii="Times New Roman" w:hAnsi="Times New Roman" w:cs="Times New Roman"/>
          <w:lang w:val="sl"/>
        </w:rPr>
        <w:fldChar w:fldCharType="end"/>
      </w:r>
      <w:bookmarkEnd w:id="32"/>
      <w:r>
        <w:rPr>
          <w:rFonts w:ascii="Times New Roman" w:hAnsi="Times New Roman" w:cs="Times New Roman"/>
          <w:lang w:val="sl"/>
        </w:rPr>
        <w:t>.  S tem v zvezi je navedla, da so izvedenci, ki jih je postavilo sodišče, nekajkrat ugotovili, da so mnenja invalidskih komisij napačna. Poleg tega je mnenja mogoče izpodbijati samo z mnenjem neodvisnega izvedenca, ki ga postavi sodišče, a njena možnost za pridobitev takega mnenja je bila v postopku zavrnjena.</w:t>
      </w:r>
    </w:p>
    <w:bookmarkStart w:id="33" w:name="APPcommissionNOTINDEP"/>
    <w:p w14:paraId="096DF096" w14:textId="63468552" w:rsidR="00A86B87" w:rsidRPr="00D76B80" w:rsidRDefault="00A86B87" w:rsidP="00E477A0">
      <w:pPr>
        <w:pStyle w:val="ECHRPara"/>
        <w:rPr>
          <w:rFonts w:ascii="Times New Roman" w:hAnsi="Times New Roman" w:cs="Times New Roman"/>
          <w:lang w:val="sl"/>
        </w:rPr>
      </w:pPr>
      <w:r>
        <w:rPr>
          <w:rFonts w:ascii="Times New Roman" w:hAnsi="Times New Roman" w:cs="Times New Roman"/>
          <w:lang w:val="sl"/>
        </w:rPr>
        <w:lastRenderedPageBreak/>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39</w:t>
      </w:r>
      <w:r>
        <w:rPr>
          <w:rFonts w:ascii="Times New Roman" w:hAnsi="Times New Roman" w:cs="Times New Roman"/>
          <w:lang w:val="sl"/>
        </w:rPr>
        <w:fldChar w:fldCharType="end"/>
      </w:r>
      <w:bookmarkEnd w:id="33"/>
      <w:r>
        <w:rPr>
          <w:rFonts w:ascii="Times New Roman" w:hAnsi="Times New Roman" w:cs="Times New Roman"/>
          <w:lang w:val="sl"/>
        </w:rPr>
        <w:t xml:space="preserve">.  Pritožnica je trdila, da, čeprav jih sestavljajo zdravniki, invalidske komisije niso neodvisni organi, saj jih imenuje nasprotna stranka. Torej je obstajal utemeljen sum, da komisiji nista delovali nepristransko. Sklicevala se je na stališče Vrhovnega sodišča o naravi mnenj izvedenskih komisij (glej </w:t>
      </w:r>
      <w:r w:rsidR="005E49E2">
        <w:rPr>
          <w:rFonts w:ascii="Times New Roman" w:hAnsi="Times New Roman" w:cs="Times New Roman"/>
          <w:lang w:val="sl"/>
        </w:rPr>
        <w:t xml:space="preserve"> 32. </w:t>
      </w:r>
      <w:r>
        <w:rPr>
          <w:rFonts w:ascii="Times New Roman" w:hAnsi="Times New Roman" w:cs="Times New Roman"/>
          <w:lang w:val="sl"/>
        </w:rPr>
        <w:t>odstavek).</w:t>
      </w:r>
    </w:p>
    <w:bookmarkStart w:id="34" w:name="APPcourtsnomeidcalknowladge"/>
    <w:p w14:paraId="59B35593" w14:textId="7D7AFC91" w:rsidR="00A86B87" w:rsidRPr="00D76B80" w:rsidRDefault="00A86B87"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40</w:t>
      </w:r>
      <w:r>
        <w:rPr>
          <w:rFonts w:ascii="Times New Roman" w:hAnsi="Times New Roman" w:cs="Times New Roman"/>
          <w:lang w:val="sl"/>
        </w:rPr>
        <w:fldChar w:fldCharType="end"/>
      </w:r>
      <w:bookmarkEnd w:id="34"/>
      <w:r>
        <w:rPr>
          <w:rFonts w:ascii="Times New Roman" w:hAnsi="Times New Roman" w:cs="Times New Roman"/>
          <w:lang w:val="sl"/>
        </w:rPr>
        <w:t>.  Trdila je tudi, da sodišča brez neodvisnega izvedenskega mnenja  niso imela potrebnega medicinskega znanja za odločanje o obravnavanih stvareh.</w:t>
      </w:r>
    </w:p>
    <w:p w14:paraId="4FE6D340" w14:textId="77777777" w:rsidR="00390A4C" w:rsidRPr="00D76B80" w:rsidRDefault="00A86B87" w:rsidP="00E477A0">
      <w:pPr>
        <w:pStyle w:val="ECHRHeading4"/>
        <w:rPr>
          <w:rFonts w:ascii="Times New Roman" w:hAnsi="Times New Roman" w:cs="Times New Roman"/>
          <w:lang w:val="sl"/>
        </w:rPr>
      </w:pPr>
      <w:r>
        <w:rPr>
          <w:rFonts w:ascii="Times New Roman" w:hAnsi="Times New Roman" w:cs="Times New Roman"/>
          <w:iCs w:val="0"/>
          <w:lang w:val="sl"/>
        </w:rPr>
        <w:t>b) Vlada</w:t>
      </w:r>
    </w:p>
    <w:bookmarkStart w:id="35" w:name="GOVosebnizdravnikzeistorekel2006"/>
    <w:p w14:paraId="654318D6" w14:textId="6D0E4635" w:rsidR="00A86B87" w:rsidRPr="00D76B80" w:rsidRDefault="00A86B87"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41</w:t>
      </w:r>
      <w:r>
        <w:rPr>
          <w:rFonts w:ascii="Times New Roman" w:hAnsi="Times New Roman" w:cs="Times New Roman"/>
          <w:lang w:val="sl"/>
        </w:rPr>
        <w:fldChar w:fldCharType="end"/>
      </w:r>
      <w:bookmarkEnd w:id="35"/>
      <w:r>
        <w:rPr>
          <w:rFonts w:ascii="Times New Roman" w:hAnsi="Times New Roman" w:cs="Times New Roman"/>
          <w:lang w:val="sl"/>
        </w:rPr>
        <w:t xml:space="preserve">.  Vlada je trdila, da se je sodišče prve stopnje pri svoji odločitvi, da pritožnica ni imela telesne okvare s seznama, oprlo na enotni mnenji invalidskih komisij v predsodnem postopku in na glavno obravnavo, </w:t>
      </w:r>
      <w:r w:rsidR="003A4333">
        <w:rPr>
          <w:rFonts w:ascii="Times New Roman" w:hAnsi="Times New Roman" w:cs="Times New Roman"/>
          <w:lang w:val="sl"/>
        </w:rPr>
        <w:t xml:space="preserve">na kateri </w:t>
      </w:r>
      <w:r>
        <w:rPr>
          <w:rFonts w:ascii="Times New Roman" w:hAnsi="Times New Roman" w:cs="Times New Roman"/>
          <w:lang w:val="sl"/>
        </w:rPr>
        <w:t>se je sodišče lahko samo prepričalo o pregibnosti pritožničinega desnega ramenskega sklepa in levega ročnega sklepa. Vlada je poudarila, da je pritožničina osebna zdravnica leta 2006, ko je začela postopek za uveljavljanje pravic iz invalidskega zavarovanja, v predlogu navedla, da pritožnica nima nobene telesne okvare. Pritožnica je predlog podpisala in nato na glavni obravnavi leta 2013 izjavila, da je njeno zdravstveno stanje enako kot leta 2006.</w:t>
      </w:r>
    </w:p>
    <w:bookmarkStart w:id="36" w:name="GOVassessmnetofevedience"/>
    <w:p w14:paraId="5A1CBABC" w14:textId="432D1039" w:rsidR="00A86B87" w:rsidRPr="00D76B80" w:rsidRDefault="00A86B87" w:rsidP="00E477A0">
      <w:pPr>
        <w:pStyle w:val="ECHRPara"/>
        <w:rPr>
          <w:rFonts w:ascii="Times New Roman" w:hAnsi="Times New Roman" w:cs="Times New Roman"/>
          <w:lang w:val="it-IT"/>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42</w:t>
      </w:r>
      <w:r>
        <w:rPr>
          <w:rFonts w:ascii="Times New Roman" w:hAnsi="Times New Roman" w:cs="Times New Roman"/>
          <w:lang w:val="sl"/>
        </w:rPr>
        <w:fldChar w:fldCharType="end"/>
      </w:r>
      <w:bookmarkEnd w:id="36"/>
      <w:r>
        <w:rPr>
          <w:rFonts w:ascii="Times New Roman" w:hAnsi="Times New Roman" w:cs="Times New Roman"/>
          <w:lang w:val="sl"/>
        </w:rPr>
        <w:t xml:space="preserve">.  Vlada je trdila, da morajo domača sodišča oceniti dokaze in odločiti, kateri dokazi bodo izvedeni za ugotavljanje dejstev. Vlada se je sklicevala na domača pravila pravdnega postopka (glej </w:t>
      </w:r>
      <w:r w:rsidR="00C80347">
        <w:rPr>
          <w:rFonts w:ascii="Times New Roman" w:hAnsi="Times New Roman" w:cs="Times New Roman"/>
          <w:lang w:val="sl"/>
        </w:rPr>
        <w:t xml:space="preserve">25. </w:t>
      </w:r>
      <w:r>
        <w:rPr>
          <w:rFonts w:ascii="Times New Roman" w:hAnsi="Times New Roman" w:cs="Times New Roman"/>
          <w:lang w:val="sl"/>
        </w:rPr>
        <w:t>odstavek) in poudarila, da so bili dokazi izvedeni v skladu s temi pravili.</w:t>
      </w:r>
    </w:p>
    <w:bookmarkStart w:id="37" w:name="GOVreasoneddecisionANDapplicantpresentev"/>
    <w:p w14:paraId="1B3494D7" w14:textId="380A0716" w:rsidR="00390A4C" w:rsidRPr="00D76B80" w:rsidRDefault="00A86B87"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43</w:t>
      </w:r>
      <w:r>
        <w:rPr>
          <w:rFonts w:ascii="Times New Roman" w:hAnsi="Times New Roman" w:cs="Times New Roman"/>
          <w:lang w:val="sl"/>
        </w:rPr>
        <w:fldChar w:fldCharType="end"/>
      </w:r>
      <w:bookmarkEnd w:id="37"/>
      <w:r>
        <w:rPr>
          <w:rFonts w:ascii="Times New Roman" w:hAnsi="Times New Roman" w:cs="Times New Roman"/>
          <w:lang w:val="sl"/>
        </w:rPr>
        <w:t xml:space="preserve">.  Prav tako je menila, da so domača sodišča zadostno in jasno obrazložila razloge za zavrnitev pritožničinega predloga za pridobitev izvedenskega mnenja. S tem v zvezi je navedla, da pritožnica ni </w:t>
      </w:r>
      <w:r w:rsidR="00C80347">
        <w:rPr>
          <w:rFonts w:ascii="Times New Roman" w:hAnsi="Times New Roman" w:cs="Times New Roman"/>
          <w:lang w:val="sl"/>
        </w:rPr>
        <w:t xml:space="preserve">podala </w:t>
      </w:r>
      <w:r>
        <w:rPr>
          <w:rFonts w:ascii="Times New Roman" w:hAnsi="Times New Roman" w:cs="Times New Roman"/>
          <w:lang w:val="sl"/>
        </w:rPr>
        <w:t>nobene trditve, ki bi upravičila postavitev neodvisnega izvedenca medicinske stroke.  Potem ko je celovito ocenilo vse dokaze in ni ugotovilo nobenega razhajanja med medicinsko dokumentacijo in mnenji invalidskih komisij, je sodišče upravičeno kot ne</w:t>
      </w:r>
      <w:r w:rsidR="00C80347">
        <w:rPr>
          <w:rFonts w:ascii="Times New Roman" w:hAnsi="Times New Roman" w:cs="Times New Roman"/>
          <w:lang w:val="sl"/>
        </w:rPr>
        <w:t xml:space="preserve">relevantno </w:t>
      </w:r>
      <w:r>
        <w:rPr>
          <w:rFonts w:ascii="Times New Roman" w:hAnsi="Times New Roman" w:cs="Times New Roman"/>
          <w:lang w:val="sl"/>
        </w:rPr>
        <w:t xml:space="preserve">zavrnilo pritožničin predlog, naj sodišče postavi izvedenca. Pritožnica je vsekakor imela možnost izraziti svoje mnenje o trditvah nasprotne stranke in </w:t>
      </w:r>
      <w:r w:rsidR="00C80347">
        <w:rPr>
          <w:rFonts w:ascii="Times New Roman" w:hAnsi="Times New Roman" w:cs="Times New Roman"/>
          <w:lang w:val="sl"/>
        </w:rPr>
        <w:t xml:space="preserve">predstaviti </w:t>
      </w:r>
      <w:r>
        <w:rPr>
          <w:rFonts w:ascii="Times New Roman" w:hAnsi="Times New Roman" w:cs="Times New Roman"/>
          <w:lang w:val="sl"/>
        </w:rPr>
        <w:t>svoje dokaze.</w:t>
      </w:r>
    </w:p>
    <w:bookmarkStart w:id="38" w:name="GOVcommissinnotbiased"/>
    <w:p w14:paraId="4B3ECE14" w14:textId="2C6B6766" w:rsidR="00390A4C" w:rsidRPr="00D76B80" w:rsidRDefault="00A86B87"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44</w:t>
      </w:r>
      <w:r>
        <w:rPr>
          <w:rFonts w:ascii="Times New Roman" w:hAnsi="Times New Roman" w:cs="Times New Roman"/>
          <w:lang w:val="sl"/>
        </w:rPr>
        <w:fldChar w:fldCharType="end"/>
      </w:r>
      <w:bookmarkEnd w:id="38"/>
      <w:r>
        <w:rPr>
          <w:rFonts w:ascii="Times New Roman" w:hAnsi="Times New Roman" w:cs="Times New Roman"/>
          <w:lang w:val="sl"/>
        </w:rPr>
        <w:t>.  </w:t>
      </w:r>
      <w:r w:rsidR="00F56DB5">
        <w:rPr>
          <w:rFonts w:ascii="Times New Roman" w:hAnsi="Times New Roman" w:cs="Times New Roman"/>
          <w:lang w:val="sl"/>
        </w:rPr>
        <w:t xml:space="preserve">In nazadnje, </w:t>
      </w:r>
      <w:r>
        <w:rPr>
          <w:rFonts w:ascii="Times New Roman" w:hAnsi="Times New Roman" w:cs="Times New Roman"/>
          <w:lang w:val="sl"/>
        </w:rPr>
        <w:t>Vlada je trdila, da dejstvo, da sta bili invalidski komisiji povezani z nasprotno stranko v postopku, samo po sebi ne pomeni njune pristranskosti, saj sta mnenji izdali v skladu s pravili medicinske znanosti in stroke. V skladu z domačo sodno prakso invalidske komisije niso "sodni izvedenci", vendar to še ne pomeni, da njihovih mnenj ni mogoče uporabiti kot listinske dokaze v sodnih postopkih.</w:t>
      </w:r>
    </w:p>
    <w:p w14:paraId="4374A42A" w14:textId="77777777" w:rsidR="00390A4C" w:rsidRPr="00D76B80" w:rsidRDefault="00A86B87" w:rsidP="00E477A0">
      <w:pPr>
        <w:pStyle w:val="ECHRHeading3"/>
        <w:rPr>
          <w:rFonts w:ascii="Times New Roman" w:hAnsi="Times New Roman" w:cs="Times New Roman"/>
          <w:lang w:val="it-IT"/>
        </w:rPr>
      </w:pPr>
      <w:r>
        <w:rPr>
          <w:rFonts w:ascii="Times New Roman" w:hAnsi="Times New Roman" w:cs="Times New Roman"/>
          <w:bCs w:val="0"/>
          <w:iCs/>
          <w:lang w:val="sl"/>
        </w:rPr>
        <w:t>2.  Presoja Sodišča</w:t>
      </w:r>
    </w:p>
    <w:p w14:paraId="6CCAC35C" w14:textId="77777777" w:rsidR="00A86B87" w:rsidRPr="00D76B80" w:rsidRDefault="00A86B87" w:rsidP="00E477A0">
      <w:pPr>
        <w:pStyle w:val="ECHRHeading4"/>
        <w:rPr>
          <w:rFonts w:eastAsiaTheme="minorHAnsi"/>
          <w:lang w:val="it-IT"/>
        </w:rPr>
      </w:pPr>
      <w:r>
        <w:rPr>
          <w:rFonts w:eastAsiaTheme="minorHAnsi"/>
          <w:iCs w:val="0"/>
          <w:lang w:val="sl"/>
        </w:rPr>
        <w:t>a) Splošna načela</w:t>
      </w:r>
    </w:p>
    <w:p w14:paraId="39B59409" w14:textId="6A98BE07" w:rsidR="006B271E" w:rsidRPr="00D76B80" w:rsidRDefault="00390A4C" w:rsidP="00E477A0">
      <w:pPr>
        <w:pStyle w:val="ECHRPara"/>
        <w:rPr>
          <w:lang w:val="sl"/>
        </w:rPr>
      </w:pPr>
      <w:r>
        <w:rPr>
          <w:lang w:val="sl"/>
        </w:rPr>
        <w:fldChar w:fldCharType="begin"/>
      </w:r>
      <w:r>
        <w:rPr>
          <w:lang w:val="sl"/>
        </w:rPr>
        <w:instrText xml:space="preserve"> SEQ level0 \*arabic </w:instrText>
      </w:r>
      <w:r>
        <w:rPr>
          <w:lang w:val="sl"/>
        </w:rPr>
        <w:fldChar w:fldCharType="separate"/>
      </w:r>
      <w:r w:rsidR="003B619B">
        <w:rPr>
          <w:noProof/>
          <w:lang w:val="sl"/>
        </w:rPr>
        <w:t>45</w:t>
      </w:r>
      <w:r>
        <w:rPr>
          <w:noProof/>
          <w:lang w:val="sl"/>
        </w:rPr>
        <w:fldChar w:fldCharType="end"/>
      </w:r>
      <w:r>
        <w:rPr>
          <w:lang w:val="sl"/>
        </w:rPr>
        <w:t xml:space="preserve">.  Sodišče ponovno poudarja, da dopustnost dokazov v prvi vrsti ureja domače pravo in </w:t>
      </w:r>
      <w:r w:rsidR="00594628">
        <w:rPr>
          <w:lang w:val="sl"/>
        </w:rPr>
        <w:t>da</w:t>
      </w:r>
      <w:r w:rsidR="00266A8E">
        <w:rPr>
          <w:lang w:val="sl"/>
        </w:rPr>
        <w:t xml:space="preserve"> po splošnem pravilu domača </w:t>
      </w:r>
      <w:r>
        <w:rPr>
          <w:lang w:val="sl"/>
        </w:rPr>
        <w:t xml:space="preserve">sodišča </w:t>
      </w:r>
      <w:r w:rsidR="00DD32D7">
        <w:rPr>
          <w:lang w:val="sl"/>
        </w:rPr>
        <w:t xml:space="preserve">v svojem postopku </w:t>
      </w:r>
      <w:r>
        <w:rPr>
          <w:lang w:val="sl"/>
        </w:rPr>
        <w:lastRenderedPageBreak/>
        <w:t xml:space="preserve">ocenjujejo izvedene dokaze. V skladu s konvencijo je naloga Sodišča ugotoviti, ali je bil postopek kot celota, vključno z načinom izvajanja dokazov, pošten (glej </w:t>
      </w:r>
      <w:r>
        <w:rPr>
          <w:i/>
          <w:iCs/>
          <w:lang w:val="sl"/>
        </w:rPr>
        <w:t>Esholz proti Nemčiji</w:t>
      </w:r>
      <w:r>
        <w:rPr>
          <w:lang w:val="sl"/>
        </w:rPr>
        <w:t xml:space="preserve"> [VS], št. 25735/94, 66. odstavek, ESČP 2000</w:t>
      </w:r>
      <w:r>
        <w:rPr>
          <w:lang w:val="sl"/>
        </w:rPr>
        <w:noBreakHyphen/>
        <w:t>VIII). </w:t>
      </w:r>
    </w:p>
    <w:p w14:paraId="05FD019A" w14:textId="66B5F42F" w:rsidR="004C7116" w:rsidRDefault="00A86B87" w:rsidP="00E477A0">
      <w:pPr>
        <w:pStyle w:val="ECHRPara"/>
        <w:rPr>
          <w:snapToGrid w:val="0"/>
          <w:lang w:val="sl"/>
        </w:rPr>
      </w:pPr>
      <w:r>
        <w:rPr>
          <w:color w:val="000000"/>
          <w:szCs w:val="24"/>
          <w:lang w:val="sl"/>
        </w:rPr>
        <w:fldChar w:fldCharType="begin"/>
      </w:r>
      <w:r>
        <w:rPr>
          <w:rFonts w:ascii="Times New Roman" w:hAnsi="Times New Roman"/>
          <w:color w:val="000000"/>
          <w:szCs w:val="24"/>
          <w:lang w:val="sl"/>
        </w:rPr>
        <w:instrText xml:space="preserve"> SEQ level0 \*arabic </w:instrText>
      </w:r>
      <w:r>
        <w:rPr>
          <w:color w:val="000000"/>
          <w:szCs w:val="24"/>
          <w:lang w:val="sl"/>
        </w:rPr>
        <w:fldChar w:fldCharType="separate"/>
      </w:r>
      <w:r w:rsidR="003B619B">
        <w:rPr>
          <w:rFonts w:ascii="Times New Roman" w:hAnsi="Times New Roman"/>
          <w:noProof/>
          <w:color w:val="000000"/>
          <w:szCs w:val="24"/>
          <w:lang w:val="sl"/>
        </w:rPr>
        <w:t>46</w:t>
      </w:r>
      <w:r>
        <w:rPr>
          <w:color w:val="000000"/>
          <w:szCs w:val="24"/>
          <w:lang w:val="sl"/>
        </w:rPr>
        <w:fldChar w:fldCharType="end"/>
      </w:r>
      <w:r>
        <w:rPr>
          <w:rFonts w:ascii="Times New Roman" w:hAnsi="Times New Roman"/>
          <w:color w:val="000000"/>
          <w:szCs w:val="24"/>
          <w:lang w:val="sl"/>
        </w:rPr>
        <w:t xml:space="preserve">.  Glede izvedenskih dokazov je Sodišče pred kratkim v zadevi </w:t>
      </w:r>
      <w:r>
        <w:rPr>
          <w:rFonts w:ascii="Times New Roman" w:hAnsi="Times New Roman"/>
          <w:i/>
          <w:iCs/>
          <w:color w:val="000000"/>
          <w:szCs w:val="24"/>
          <w:lang w:val="sl"/>
        </w:rPr>
        <w:t xml:space="preserve">Letinčić proti Hrvaški, </w:t>
      </w:r>
      <w:r>
        <w:rPr>
          <w:rFonts w:ascii="Times New Roman" w:hAnsi="Times New Roman"/>
          <w:color w:val="000000"/>
          <w:szCs w:val="24"/>
          <w:lang w:val="sl"/>
        </w:rPr>
        <w:t>št. 7183/11</w:t>
      </w:r>
      <w:r>
        <w:rPr>
          <w:snapToGrid w:val="0"/>
          <w:lang w:val="sl"/>
        </w:rPr>
        <w:t>, 3. maj 2016, povzelo pomembna načela:</w:t>
      </w:r>
      <w:r w:rsidR="004C7116">
        <w:rPr>
          <w:snapToGrid w:val="0"/>
          <w:lang w:val="sl"/>
        </w:rPr>
        <w:t xml:space="preserve"> </w:t>
      </w:r>
    </w:p>
    <w:p w14:paraId="56332CBD" w14:textId="77777777" w:rsidR="004C7116" w:rsidRDefault="004C7116" w:rsidP="00E477A0">
      <w:pPr>
        <w:pStyle w:val="ECHRPara"/>
        <w:rPr>
          <w:snapToGrid w:val="0"/>
          <w:lang w:val="sl"/>
        </w:rPr>
      </w:pPr>
    </w:p>
    <w:p w14:paraId="0448268E" w14:textId="6C125A30" w:rsidR="00A86B87" w:rsidRPr="00D76B80" w:rsidRDefault="00A86B87" w:rsidP="004C7116">
      <w:pPr>
        <w:pStyle w:val="ECHRPara"/>
        <w:ind w:left="567" w:firstLine="0"/>
        <w:rPr>
          <w:rFonts w:ascii="Times New Roman" w:eastAsiaTheme="minorHAnsi" w:hAnsi="Times New Roman" w:cs="Times New Roman"/>
          <w:sz w:val="20"/>
          <w:szCs w:val="20"/>
          <w:lang w:val="sl"/>
        </w:rPr>
      </w:pPr>
      <w:r>
        <w:rPr>
          <w:rFonts w:ascii="Times New Roman" w:hAnsi="Times New Roman"/>
          <w:color w:val="000000"/>
          <w:szCs w:val="24"/>
          <w:lang w:val="sl"/>
        </w:rPr>
        <w:t>"</w:t>
      </w:r>
      <w:r w:rsidRPr="004C7116">
        <w:rPr>
          <w:rFonts w:ascii="Times New Roman" w:hAnsi="Times New Roman"/>
          <w:color w:val="000000"/>
          <w:sz w:val="20"/>
          <w:szCs w:val="20"/>
          <w:lang w:val="sl"/>
        </w:rPr>
        <w:t>48.</w:t>
      </w:r>
      <w:r w:rsidR="00927480" w:rsidRPr="004C7116">
        <w:rPr>
          <w:rFonts w:ascii="Times New Roman" w:eastAsiaTheme="minorHAnsi" w:hAnsi="Times New Roman" w:cs="Times New Roman"/>
          <w:sz w:val="20"/>
          <w:szCs w:val="20"/>
          <w:lang w:val="sl"/>
        </w:rPr>
        <w:t xml:space="preserve">  Prvi odstavek 6. člena konvencije "sodišču" nalaga dolžnost, da pravilno obravnava vloge, trditve in dokaze, ki so jih </w:t>
      </w:r>
      <w:r w:rsidR="0092686F">
        <w:rPr>
          <w:rFonts w:ascii="Times New Roman" w:eastAsiaTheme="minorHAnsi" w:hAnsi="Times New Roman" w:cs="Times New Roman"/>
          <w:sz w:val="20"/>
          <w:szCs w:val="20"/>
          <w:lang w:val="sl"/>
        </w:rPr>
        <w:t xml:space="preserve">navedle </w:t>
      </w:r>
      <w:r w:rsidR="00927480" w:rsidRPr="004C7116">
        <w:rPr>
          <w:rFonts w:ascii="Times New Roman" w:eastAsiaTheme="minorHAnsi" w:hAnsi="Times New Roman" w:cs="Times New Roman"/>
          <w:sz w:val="20"/>
          <w:szCs w:val="20"/>
          <w:lang w:val="sl"/>
        </w:rPr>
        <w:t xml:space="preserve">stranke, ne glede na svojo oceno, ali so merodajni za njegovo odločitev  (glej, na primer, </w:t>
      </w:r>
      <w:r w:rsidR="00927480" w:rsidRPr="004C7116">
        <w:rPr>
          <w:rFonts w:ascii="Times New Roman" w:eastAsiaTheme="minorHAnsi" w:hAnsi="Times New Roman" w:cs="Times New Roman"/>
          <w:i/>
          <w:iCs/>
          <w:sz w:val="20"/>
          <w:szCs w:val="20"/>
          <w:lang w:val="sl"/>
        </w:rPr>
        <w:t>Perez proti Franciji</w:t>
      </w:r>
      <w:r w:rsidR="00927480" w:rsidRPr="004C7116">
        <w:rPr>
          <w:rFonts w:ascii="Times New Roman" w:eastAsiaTheme="minorHAnsi" w:hAnsi="Times New Roman" w:cs="Times New Roman"/>
          <w:sz w:val="20"/>
          <w:szCs w:val="20"/>
          <w:lang w:val="sl"/>
        </w:rPr>
        <w:t xml:space="preserve"> [VS], št. 47287/99, 80. odstavek, ESČP 2004-I; in</w:t>
      </w:r>
      <w:r w:rsidR="0007214C">
        <w:rPr>
          <w:rFonts w:ascii="Times New Roman" w:eastAsiaTheme="minorHAnsi" w:hAnsi="Times New Roman" w:cs="Times New Roman"/>
          <w:sz w:val="20"/>
          <w:szCs w:val="20"/>
          <w:lang w:val="sl"/>
        </w:rPr>
        <w:t xml:space="preserve"> </w:t>
      </w:r>
      <w:r w:rsidR="00927480" w:rsidRPr="004C7116">
        <w:rPr>
          <w:rFonts w:ascii="Times New Roman" w:eastAsiaTheme="minorHAnsi" w:hAnsi="Times New Roman" w:cs="Times New Roman"/>
          <w:i/>
          <w:iCs/>
          <w:sz w:val="20"/>
          <w:szCs w:val="20"/>
          <w:lang w:val="sl"/>
        </w:rPr>
        <w:t>Van Kück</w:t>
      </w:r>
      <w:r w:rsidR="00927480" w:rsidRPr="004C7116">
        <w:rPr>
          <w:rFonts w:ascii="Times New Roman" w:eastAsiaTheme="minorHAnsi" w:hAnsi="Times New Roman" w:cs="Times New Roman"/>
          <w:sz w:val="20"/>
          <w:szCs w:val="20"/>
          <w:lang w:val="sl"/>
        </w:rPr>
        <w:t xml:space="preserve">, citirano zgoraj, 48. odstavek). Tako vključuje načelo enakosti orožij, kar v pravdnem postopku med nasprotujočimi zasebnimi interesi pomeni, da mora biti vsaki stranki dana razumna možnost predstaviti svoja dejstva – vključno </w:t>
      </w:r>
      <w:r w:rsidR="0092686F">
        <w:rPr>
          <w:rFonts w:ascii="Times New Roman" w:eastAsiaTheme="minorHAnsi" w:hAnsi="Times New Roman" w:cs="Times New Roman"/>
          <w:sz w:val="20"/>
          <w:szCs w:val="20"/>
          <w:lang w:val="sl"/>
        </w:rPr>
        <w:t xml:space="preserve">s svojimi </w:t>
      </w:r>
      <w:r w:rsidR="00927480" w:rsidRPr="004C7116">
        <w:rPr>
          <w:rFonts w:ascii="Times New Roman" w:eastAsiaTheme="minorHAnsi" w:hAnsi="Times New Roman" w:cs="Times New Roman"/>
          <w:sz w:val="20"/>
          <w:szCs w:val="20"/>
          <w:lang w:val="sl"/>
        </w:rPr>
        <w:t>dokaz</w:t>
      </w:r>
      <w:r w:rsidR="0092686F">
        <w:rPr>
          <w:rFonts w:ascii="Times New Roman" w:eastAsiaTheme="minorHAnsi" w:hAnsi="Times New Roman" w:cs="Times New Roman"/>
          <w:sz w:val="20"/>
          <w:szCs w:val="20"/>
          <w:lang w:val="sl"/>
        </w:rPr>
        <w:t xml:space="preserve">i </w:t>
      </w:r>
      <w:r w:rsidR="00927480" w:rsidRPr="004C7116">
        <w:rPr>
          <w:rFonts w:ascii="Times New Roman" w:eastAsiaTheme="minorHAnsi" w:hAnsi="Times New Roman" w:cs="Times New Roman"/>
          <w:sz w:val="20"/>
          <w:szCs w:val="20"/>
          <w:lang w:val="sl"/>
        </w:rPr>
        <w:t xml:space="preserve">– v pogojih, ki stranko v primerjavi z nasprotno stranko ne postavljajo v bistveno slabši položaj (glej, na primer, </w:t>
      </w:r>
      <w:r w:rsidR="00927480" w:rsidRPr="004C7116">
        <w:rPr>
          <w:rFonts w:ascii="Times New Roman" w:eastAsiaTheme="minorHAnsi" w:hAnsi="Times New Roman" w:cs="Times New Roman"/>
          <w:i/>
          <w:iCs/>
          <w:sz w:val="20"/>
          <w:szCs w:val="20"/>
          <w:lang w:val="sl"/>
        </w:rPr>
        <w:t>Andrejeva proti Latviji</w:t>
      </w:r>
      <w:r w:rsidR="00927480" w:rsidRPr="004C7116">
        <w:rPr>
          <w:rFonts w:ascii="Times New Roman" w:eastAsiaTheme="minorHAnsi" w:hAnsi="Times New Roman" w:cs="Times New Roman"/>
          <w:sz w:val="20"/>
          <w:szCs w:val="20"/>
          <w:lang w:val="sl"/>
        </w:rPr>
        <w:t xml:space="preserve">  [VS], št. 55707/00, 96. odstavek,  ESČP 2009; in </w:t>
      </w:r>
      <w:r w:rsidR="00927480" w:rsidRPr="004C7116">
        <w:rPr>
          <w:rFonts w:ascii="Times New Roman" w:eastAsiaTheme="minorHAnsi" w:hAnsi="Times New Roman" w:cs="Times New Roman"/>
          <w:i/>
          <w:iCs/>
          <w:sz w:val="20"/>
          <w:szCs w:val="20"/>
          <w:lang w:val="sl"/>
        </w:rPr>
        <w:t>Dombo Beheer</w:t>
      </w:r>
      <w:r w:rsidR="00927480" w:rsidRPr="004C7116">
        <w:rPr>
          <w:rFonts w:ascii="Times New Roman" w:eastAsiaTheme="minorHAnsi" w:hAnsi="Times New Roman" w:cs="Times New Roman"/>
          <w:sz w:val="20"/>
          <w:szCs w:val="20"/>
          <w:lang w:val="sl"/>
        </w:rPr>
        <w:t>, citirano zgoraj, 33. odstavek).</w:t>
      </w:r>
    </w:p>
    <w:p w14:paraId="5EFBCB88" w14:textId="77777777" w:rsidR="00A86B87" w:rsidRPr="00D76B80" w:rsidRDefault="00390A4C" w:rsidP="00E477A0">
      <w:pPr>
        <w:pStyle w:val="JuQuotSub"/>
        <w:rPr>
          <w:rFonts w:ascii="Times New Roman" w:eastAsiaTheme="minorHAnsi" w:hAnsi="Times New Roman" w:cs="Times New Roman"/>
          <w:szCs w:val="20"/>
          <w:lang w:val="sl"/>
        </w:rPr>
      </w:pPr>
      <w:r w:rsidRPr="004C7116">
        <w:rPr>
          <w:rFonts w:ascii="Times New Roman" w:eastAsiaTheme="minorHAnsi" w:hAnsi="Times New Roman" w:cs="Times New Roman"/>
          <w:szCs w:val="20"/>
          <w:lang w:val="sl"/>
        </w:rPr>
        <w:t>...</w:t>
      </w:r>
    </w:p>
    <w:p w14:paraId="7CBC1837" w14:textId="3B31E180" w:rsidR="00A86B87" w:rsidRPr="00D76B80" w:rsidRDefault="00A86B87" w:rsidP="00E477A0">
      <w:pPr>
        <w:pStyle w:val="JuQuotSub"/>
        <w:rPr>
          <w:rFonts w:ascii="Times New Roman" w:eastAsiaTheme="minorHAnsi" w:hAnsi="Times New Roman" w:cs="Times New Roman"/>
          <w:lang w:val="it-IT"/>
        </w:rPr>
      </w:pPr>
      <w:r>
        <w:rPr>
          <w:rFonts w:ascii="Times New Roman" w:eastAsiaTheme="minorHAnsi" w:hAnsi="Times New Roman" w:cs="Times New Roman"/>
          <w:lang w:val="sl"/>
        </w:rPr>
        <w:t>50.  </w:t>
      </w:r>
      <w:r w:rsidR="00B93356">
        <w:rPr>
          <w:rFonts w:ascii="Times New Roman" w:eastAsiaTheme="minorHAnsi" w:hAnsi="Times New Roman" w:cs="Times New Roman"/>
          <w:lang w:val="sl"/>
        </w:rPr>
        <w:t>V povezavi z izvedenskimi dokazi</w:t>
      </w:r>
      <w:r w:rsidR="001E097F">
        <w:rPr>
          <w:rFonts w:ascii="Times New Roman" w:eastAsiaTheme="minorHAnsi" w:hAnsi="Times New Roman" w:cs="Times New Roman"/>
          <w:lang w:val="sl"/>
        </w:rPr>
        <w:t xml:space="preserve">, </w:t>
      </w:r>
      <w:r>
        <w:rPr>
          <w:rFonts w:ascii="Times New Roman" w:eastAsiaTheme="minorHAnsi" w:hAnsi="Times New Roman" w:cs="Times New Roman"/>
          <w:lang w:val="sl"/>
        </w:rPr>
        <w:t>pravil</w:t>
      </w:r>
      <w:r w:rsidR="001E097F">
        <w:rPr>
          <w:rFonts w:ascii="Times New Roman" w:eastAsiaTheme="minorHAnsi" w:hAnsi="Times New Roman" w:cs="Times New Roman"/>
          <w:lang w:val="sl"/>
        </w:rPr>
        <w:t>a</w:t>
      </w:r>
      <w:r>
        <w:rPr>
          <w:rFonts w:ascii="Times New Roman" w:eastAsiaTheme="minorHAnsi" w:hAnsi="Times New Roman" w:cs="Times New Roman"/>
          <w:lang w:val="sl"/>
        </w:rPr>
        <w:t xml:space="preserve"> o dopustnosti </w:t>
      </w:r>
      <w:r w:rsidR="00B77273">
        <w:rPr>
          <w:rFonts w:ascii="Times New Roman" w:eastAsiaTheme="minorHAnsi" w:hAnsi="Times New Roman" w:cs="Times New Roman"/>
          <w:lang w:val="sl"/>
        </w:rPr>
        <w:t xml:space="preserve">le-teh </w:t>
      </w:r>
      <w:r>
        <w:rPr>
          <w:rFonts w:ascii="Times New Roman" w:eastAsiaTheme="minorHAnsi" w:hAnsi="Times New Roman" w:cs="Times New Roman"/>
          <w:lang w:val="sl"/>
        </w:rPr>
        <w:t>zadevni stranki ne sme</w:t>
      </w:r>
      <w:r w:rsidR="00B77273">
        <w:rPr>
          <w:rFonts w:ascii="Times New Roman" w:eastAsiaTheme="minorHAnsi" w:hAnsi="Times New Roman" w:cs="Times New Roman"/>
          <w:lang w:val="sl"/>
        </w:rPr>
        <w:t xml:space="preserve">jo </w:t>
      </w:r>
      <w:r>
        <w:rPr>
          <w:rFonts w:ascii="Times New Roman" w:eastAsiaTheme="minorHAnsi" w:hAnsi="Times New Roman" w:cs="Times New Roman"/>
          <w:lang w:val="sl"/>
        </w:rPr>
        <w:t>odvzet</w:t>
      </w:r>
      <w:r w:rsidR="00B77273">
        <w:rPr>
          <w:rFonts w:ascii="Times New Roman" w:eastAsiaTheme="minorHAnsi" w:hAnsi="Times New Roman" w:cs="Times New Roman"/>
          <w:lang w:val="sl"/>
        </w:rPr>
        <w:t xml:space="preserve">i </w:t>
      </w:r>
      <w:r>
        <w:rPr>
          <w:rFonts w:ascii="Times New Roman" w:eastAsiaTheme="minorHAnsi" w:hAnsi="Times New Roman" w:cs="Times New Roman"/>
          <w:lang w:val="sl"/>
        </w:rPr>
        <w:t>možnost</w:t>
      </w:r>
      <w:r w:rsidR="00B77273">
        <w:rPr>
          <w:rFonts w:ascii="Times New Roman" w:eastAsiaTheme="minorHAnsi" w:hAnsi="Times New Roman" w:cs="Times New Roman"/>
          <w:lang w:val="sl"/>
        </w:rPr>
        <w:t>i</w:t>
      </w:r>
      <w:r>
        <w:rPr>
          <w:rFonts w:ascii="Times New Roman" w:eastAsiaTheme="minorHAnsi" w:hAnsi="Times New Roman" w:cs="Times New Roman"/>
          <w:lang w:val="sl"/>
        </w:rPr>
        <w:t xml:space="preserve"> učinkovitega izpodbijanja teh dokazov. V nekaterih okoliščinah se zavrnitev dodatnega ali drugega izvedenskega izvajanja materialnih dokazov lahko šteje za kršitev prvega odstavka 6. člena (glej </w:t>
      </w:r>
      <w:r>
        <w:rPr>
          <w:rFonts w:ascii="Times New Roman" w:eastAsiaTheme="minorHAnsi" w:hAnsi="Times New Roman" w:cs="Times New Roman"/>
          <w:i/>
          <w:iCs/>
          <w:lang w:val="sl"/>
        </w:rPr>
        <w:t>Van Kück</w:t>
      </w:r>
      <w:r>
        <w:rPr>
          <w:rFonts w:ascii="Times New Roman" w:eastAsiaTheme="minorHAnsi" w:hAnsi="Times New Roman" w:cs="Times New Roman"/>
          <w:lang w:val="sl"/>
        </w:rPr>
        <w:t xml:space="preserve">, citirano zgoraj, 55. odstavek; in, </w:t>
      </w:r>
      <w:r>
        <w:rPr>
          <w:rFonts w:ascii="Times New Roman" w:eastAsiaTheme="minorHAnsi" w:hAnsi="Times New Roman" w:cs="Times New Roman"/>
          <w:i/>
          <w:iCs/>
          <w:lang w:val="sl"/>
        </w:rPr>
        <w:t>mutatis mutandis, Matytsin</w:t>
      </w:r>
      <w:r w:rsidR="00654EEC">
        <w:rPr>
          <w:rFonts w:ascii="Times New Roman" w:eastAsiaTheme="minorHAnsi" w:hAnsi="Times New Roman" w:cs="Times New Roman"/>
          <w:i/>
          <w:iCs/>
          <w:lang w:val="sl"/>
        </w:rPr>
        <w:t>a</w:t>
      </w:r>
      <w:r>
        <w:rPr>
          <w:rFonts w:ascii="Times New Roman" w:eastAsiaTheme="minorHAnsi" w:hAnsi="Times New Roman" w:cs="Times New Roman"/>
          <w:i/>
          <w:iCs/>
          <w:lang w:val="sl"/>
        </w:rPr>
        <w:t xml:space="preserve"> proti Rusiji</w:t>
      </w:r>
      <w:r>
        <w:rPr>
          <w:rFonts w:ascii="Times New Roman" w:eastAsiaTheme="minorHAnsi" w:hAnsi="Times New Roman" w:cs="Times New Roman"/>
          <w:lang w:val="sl"/>
        </w:rPr>
        <w:t xml:space="preserve">, št. 58428/10, 169. odstavek, 27. marec 2014). Zlasti če je izvedenca postavilo sodišče, morata </w:t>
      </w:r>
      <w:r w:rsidR="00654EEC">
        <w:rPr>
          <w:rFonts w:ascii="Times New Roman" w:eastAsiaTheme="minorHAnsi" w:hAnsi="Times New Roman" w:cs="Times New Roman"/>
          <w:lang w:val="sl"/>
        </w:rPr>
        <w:t xml:space="preserve">imeti </w:t>
      </w:r>
      <w:r>
        <w:rPr>
          <w:rFonts w:ascii="Times New Roman" w:eastAsiaTheme="minorHAnsi" w:hAnsi="Times New Roman" w:cs="Times New Roman"/>
          <w:lang w:val="sl"/>
        </w:rPr>
        <w:t xml:space="preserve">stranki </w:t>
      </w:r>
      <w:r w:rsidR="00654EEC">
        <w:rPr>
          <w:rFonts w:ascii="Times New Roman" w:eastAsiaTheme="minorHAnsi" w:hAnsi="Times New Roman" w:cs="Times New Roman"/>
          <w:lang w:val="sl"/>
        </w:rPr>
        <w:t xml:space="preserve">na vseh stopnjah </w:t>
      </w:r>
      <w:r>
        <w:rPr>
          <w:rFonts w:ascii="Times New Roman" w:eastAsiaTheme="minorHAnsi" w:hAnsi="Times New Roman" w:cs="Times New Roman"/>
          <w:lang w:val="sl"/>
        </w:rPr>
        <w:t xml:space="preserve">možnost </w:t>
      </w:r>
      <w:r w:rsidR="00654EEC">
        <w:rPr>
          <w:rFonts w:ascii="Times New Roman" w:eastAsiaTheme="minorHAnsi" w:hAnsi="Times New Roman" w:cs="Times New Roman"/>
          <w:lang w:val="sl"/>
        </w:rPr>
        <w:t xml:space="preserve">biti prisotni na </w:t>
      </w:r>
      <w:r>
        <w:rPr>
          <w:rFonts w:ascii="Times New Roman" w:eastAsiaTheme="minorHAnsi" w:hAnsi="Times New Roman" w:cs="Times New Roman"/>
          <w:lang w:val="sl"/>
        </w:rPr>
        <w:t>pogovor</w:t>
      </w:r>
      <w:r w:rsidR="00654EEC">
        <w:rPr>
          <w:rFonts w:ascii="Times New Roman" w:eastAsiaTheme="minorHAnsi" w:hAnsi="Times New Roman" w:cs="Times New Roman"/>
          <w:lang w:val="sl"/>
        </w:rPr>
        <w:t>ih</w:t>
      </w:r>
      <w:r>
        <w:rPr>
          <w:rFonts w:ascii="Times New Roman" w:eastAsiaTheme="minorHAnsi" w:hAnsi="Times New Roman" w:cs="Times New Roman"/>
          <w:lang w:val="sl"/>
        </w:rPr>
        <w:t xml:space="preserve">, ki jih ta opravlja, ali vpogleda v dokumente, ki jih je upošteval. Bistveno je, da bi stranki morali imeti možnost pravilno sodelovati v postopku pred "sodiščem" (glej </w:t>
      </w:r>
      <w:r>
        <w:rPr>
          <w:rFonts w:ascii="Times New Roman" w:eastAsiaTheme="minorHAnsi" w:hAnsi="Times New Roman" w:cs="Times New Roman"/>
          <w:i/>
          <w:iCs/>
          <w:lang w:val="sl"/>
        </w:rPr>
        <w:t>Mantovanelli proti Franciji</w:t>
      </w:r>
      <w:r>
        <w:rPr>
          <w:rFonts w:ascii="Times New Roman" w:eastAsiaTheme="minorHAnsi" w:hAnsi="Times New Roman" w:cs="Times New Roman"/>
          <w:lang w:val="sl"/>
        </w:rPr>
        <w:t xml:space="preserve">, 18. marec 1997, 33. odstavek, </w:t>
      </w:r>
      <w:r>
        <w:rPr>
          <w:rFonts w:ascii="Times New Roman" w:eastAsiaTheme="minorHAnsi" w:hAnsi="Times New Roman" w:cs="Times New Roman"/>
          <w:i/>
          <w:iCs/>
          <w:lang w:val="sl"/>
        </w:rPr>
        <w:t>Poročila o sodbah in sklepih 1997-II</w:t>
      </w:r>
      <w:r>
        <w:rPr>
          <w:rFonts w:ascii="Times New Roman" w:eastAsiaTheme="minorHAnsi" w:hAnsi="Times New Roman" w:cs="Times New Roman"/>
          <w:lang w:val="sl"/>
        </w:rPr>
        <w:t>).</w:t>
      </w:r>
    </w:p>
    <w:p w14:paraId="56F9E0D4" w14:textId="07E6E6AB" w:rsidR="00A86B87" w:rsidRPr="00D76B80" w:rsidRDefault="00A86B87" w:rsidP="00E477A0">
      <w:pPr>
        <w:pStyle w:val="JuQuotSub"/>
        <w:rPr>
          <w:rFonts w:ascii="Times New Roman" w:eastAsiaTheme="minorHAnsi" w:hAnsi="Times New Roman" w:cs="Times New Roman"/>
          <w:lang w:val="sl"/>
        </w:rPr>
      </w:pPr>
      <w:r>
        <w:rPr>
          <w:rFonts w:ascii="Times New Roman" w:eastAsiaTheme="minorHAnsi" w:hAnsi="Times New Roman" w:cs="Times New Roman"/>
          <w:lang w:val="sl"/>
        </w:rPr>
        <w:t xml:space="preserve">51.  Treba je tudi upoštevati, da prvi odstavek 6. člena konvencije zagotavlja pravico do poštenega sojenja pred neodvisnim in nepristranskim "sodiščem" ter izrecno ne zahteva, da izvedenec, ki priča pred tem sodiščem, izpolnjuje iste pogoje (glej </w:t>
      </w:r>
      <w:r>
        <w:rPr>
          <w:rFonts w:ascii="Times New Roman" w:eastAsiaTheme="minorHAnsi" w:hAnsi="Times New Roman" w:cs="Times New Roman"/>
          <w:i/>
          <w:iCs/>
          <w:lang w:val="sl"/>
        </w:rPr>
        <w:t xml:space="preserve">Sara Lind Eggertsdóttir proti Islandiji, </w:t>
      </w:r>
      <w:r>
        <w:rPr>
          <w:rFonts w:ascii="Times New Roman" w:eastAsiaTheme="minorHAnsi" w:hAnsi="Times New Roman" w:cs="Times New Roman"/>
          <w:lang w:val="sl"/>
        </w:rPr>
        <w:t xml:space="preserve">št. 31930/04, </w:t>
      </w:r>
      <w:r w:rsidR="002C63AF">
        <w:rPr>
          <w:rFonts w:ascii="Times New Roman" w:eastAsiaTheme="minorHAnsi" w:hAnsi="Times New Roman" w:cs="Times New Roman"/>
          <w:lang w:val="sl"/>
        </w:rPr>
        <w:t>4</w:t>
      </w:r>
      <w:r>
        <w:rPr>
          <w:rFonts w:ascii="Times New Roman" w:eastAsiaTheme="minorHAnsi" w:hAnsi="Times New Roman" w:cs="Times New Roman"/>
          <w:lang w:val="sl"/>
        </w:rPr>
        <w:t xml:space="preserve">7. odstavek, 5. julij 2007).   Vendar pa ima verjetno mnenje izvedenca, ki ga je pristojno sodišče postavilo, da obravnava vprašanja iz zadeve, veliko težo v oceni sodišča o teh vprašanjih. V svoji sodni praksi je Sodišče </w:t>
      </w:r>
      <w:r w:rsidR="00E54E61">
        <w:rPr>
          <w:rFonts w:ascii="Times New Roman" w:eastAsiaTheme="minorHAnsi" w:hAnsi="Times New Roman" w:cs="Times New Roman"/>
          <w:lang w:val="sl"/>
        </w:rPr>
        <w:t>prepoznalo</w:t>
      </w:r>
      <w:r>
        <w:rPr>
          <w:rFonts w:ascii="Times New Roman" w:eastAsiaTheme="minorHAnsi" w:hAnsi="Times New Roman" w:cs="Times New Roman"/>
          <w:lang w:val="sl"/>
        </w:rPr>
        <w:t xml:space="preserve">, da </w:t>
      </w:r>
      <w:r w:rsidR="00E54E61">
        <w:rPr>
          <w:rFonts w:ascii="Times New Roman" w:eastAsiaTheme="minorHAnsi" w:hAnsi="Times New Roman" w:cs="Times New Roman"/>
          <w:lang w:val="sl"/>
        </w:rPr>
        <w:t xml:space="preserve">pomanjkanje nevtralnosti </w:t>
      </w:r>
      <w:r w:rsidR="00EF13AF">
        <w:rPr>
          <w:rFonts w:ascii="Times New Roman" w:eastAsiaTheme="minorHAnsi" w:hAnsi="Times New Roman" w:cs="Times New Roman"/>
          <w:lang w:val="sl"/>
        </w:rPr>
        <w:t xml:space="preserve">na strani </w:t>
      </w:r>
      <w:r w:rsidR="00E54E61">
        <w:rPr>
          <w:rFonts w:ascii="Times New Roman" w:eastAsiaTheme="minorHAnsi" w:hAnsi="Times New Roman" w:cs="Times New Roman"/>
          <w:lang w:val="sl"/>
        </w:rPr>
        <w:t xml:space="preserve">sodnih </w:t>
      </w:r>
      <w:r>
        <w:rPr>
          <w:rFonts w:ascii="Times New Roman" w:eastAsiaTheme="minorHAnsi" w:hAnsi="Times New Roman" w:cs="Times New Roman"/>
          <w:lang w:val="sl"/>
        </w:rPr>
        <w:t>izvedenc</w:t>
      </w:r>
      <w:r w:rsidR="00E54E61">
        <w:rPr>
          <w:rFonts w:ascii="Times New Roman" w:eastAsiaTheme="minorHAnsi" w:hAnsi="Times New Roman" w:cs="Times New Roman"/>
          <w:lang w:val="sl"/>
        </w:rPr>
        <w:t>ev</w:t>
      </w:r>
      <w:r w:rsidR="00EF13AF">
        <w:rPr>
          <w:rFonts w:ascii="Times New Roman" w:eastAsiaTheme="minorHAnsi" w:hAnsi="Times New Roman" w:cs="Times New Roman"/>
          <w:lang w:val="sl"/>
        </w:rPr>
        <w:t xml:space="preserve"> v določenih okoliščinah </w:t>
      </w:r>
      <w:r>
        <w:rPr>
          <w:rFonts w:ascii="Times New Roman" w:eastAsiaTheme="minorHAnsi" w:hAnsi="Times New Roman" w:cs="Times New Roman"/>
          <w:lang w:val="sl"/>
        </w:rPr>
        <w:t xml:space="preserve">lahko </w:t>
      </w:r>
      <w:r w:rsidR="00EF13AF">
        <w:rPr>
          <w:rFonts w:ascii="Times New Roman" w:eastAsiaTheme="minorHAnsi" w:hAnsi="Times New Roman" w:cs="Times New Roman"/>
          <w:lang w:val="sl"/>
        </w:rPr>
        <w:t xml:space="preserve">ima za posledico </w:t>
      </w:r>
      <w:r>
        <w:rPr>
          <w:rFonts w:ascii="Times New Roman" w:eastAsiaTheme="minorHAnsi" w:hAnsi="Times New Roman" w:cs="Times New Roman"/>
          <w:lang w:val="sl"/>
        </w:rPr>
        <w:t>krš</w:t>
      </w:r>
      <w:r w:rsidR="00EF13AF">
        <w:rPr>
          <w:rFonts w:ascii="Times New Roman" w:eastAsiaTheme="minorHAnsi" w:hAnsi="Times New Roman" w:cs="Times New Roman"/>
          <w:lang w:val="sl"/>
        </w:rPr>
        <w:t xml:space="preserve">itev </w:t>
      </w:r>
      <w:r>
        <w:rPr>
          <w:rFonts w:ascii="Times New Roman" w:eastAsiaTheme="minorHAnsi" w:hAnsi="Times New Roman" w:cs="Times New Roman"/>
          <w:lang w:val="sl"/>
        </w:rPr>
        <w:t>načel</w:t>
      </w:r>
      <w:r w:rsidR="00EF13AF">
        <w:rPr>
          <w:rFonts w:ascii="Times New Roman" w:eastAsiaTheme="minorHAnsi" w:hAnsi="Times New Roman" w:cs="Times New Roman"/>
          <w:lang w:val="sl"/>
        </w:rPr>
        <w:t>a</w:t>
      </w:r>
      <w:r>
        <w:rPr>
          <w:rFonts w:ascii="Times New Roman" w:eastAsiaTheme="minorHAnsi" w:hAnsi="Times New Roman" w:cs="Times New Roman"/>
          <w:lang w:val="sl"/>
        </w:rPr>
        <w:t xml:space="preserve"> enakosti orožij, ki je sestavni del koncepta poštenega sojenja (glej </w:t>
      </w:r>
      <w:r>
        <w:rPr>
          <w:rFonts w:ascii="Times New Roman" w:eastAsiaTheme="minorHAnsi" w:hAnsi="Times New Roman" w:cs="Times New Roman"/>
          <w:i/>
          <w:iCs/>
          <w:lang w:val="sl"/>
        </w:rPr>
        <w:t>Bönisch proti Avstriji</w:t>
      </w:r>
      <w:r>
        <w:rPr>
          <w:rFonts w:ascii="Times New Roman" w:eastAsiaTheme="minorHAnsi" w:hAnsi="Times New Roman" w:cs="Times New Roman"/>
          <w:lang w:val="sl"/>
        </w:rPr>
        <w:t>, 6. maj 1985, 30.–35. odstavek, serija A št. 92) ..."</w:t>
      </w:r>
    </w:p>
    <w:bookmarkStart w:id="39" w:name="GPneutrality"/>
    <w:p w14:paraId="4B32FFC1" w14:textId="2B49EFF4" w:rsidR="008C73EC" w:rsidRPr="00D76B80" w:rsidRDefault="00A86B87" w:rsidP="00E477A0">
      <w:pPr>
        <w:pStyle w:val="ECHRPara"/>
        <w:rPr>
          <w:lang w:val="sl"/>
        </w:rPr>
      </w:pPr>
      <w:r>
        <w:rPr>
          <w:lang w:val="sl"/>
        </w:rPr>
        <w:fldChar w:fldCharType="begin"/>
      </w:r>
      <w:r>
        <w:rPr>
          <w:lang w:val="sl"/>
        </w:rPr>
        <w:instrText xml:space="preserve"> SEQ level0 \*arabic </w:instrText>
      </w:r>
      <w:r>
        <w:rPr>
          <w:lang w:val="sl"/>
        </w:rPr>
        <w:fldChar w:fldCharType="separate"/>
      </w:r>
      <w:r w:rsidR="003B619B">
        <w:rPr>
          <w:noProof/>
          <w:lang w:val="sl"/>
        </w:rPr>
        <w:t>47</w:t>
      </w:r>
      <w:r>
        <w:rPr>
          <w:lang w:val="sl"/>
        </w:rPr>
        <w:fldChar w:fldCharType="end"/>
      </w:r>
      <w:bookmarkEnd w:id="39"/>
      <w:r>
        <w:rPr>
          <w:lang w:val="sl"/>
        </w:rPr>
        <w:t xml:space="preserve">.  Sodišče </w:t>
      </w:r>
      <w:r w:rsidR="00EB46F9">
        <w:rPr>
          <w:lang w:val="sl"/>
        </w:rPr>
        <w:t xml:space="preserve">nadalje </w:t>
      </w:r>
      <w:r>
        <w:rPr>
          <w:lang w:val="sl"/>
        </w:rPr>
        <w:t xml:space="preserve">navaja, da so položaj izvedencev v postopku, njihov način opravljanja dela in način, kako sodniki ocenijo njihova mnenja, pomembni dejavniki pri ocenjevanju, ali je bilo upoštevano načelo enakosti orožij (glej </w:t>
      </w:r>
      <w:r>
        <w:rPr>
          <w:i/>
          <w:iCs/>
          <w:lang w:val="sl"/>
        </w:rPr>
        <w:t>Zarb proti Malti</w:t>
      </w:r>
      <w:r>
        <w:rPr>
          <w:lang w:val="sl"/>
        </w:rPr>
        <w:t xml:space="preserve"> (sklep), št. 16631/04, 27 September 2005; </w:t>
      </w:r>
      <w:r>
        <w:rPr>
          <w:i/>
          <w:iCs/>
          <w:lang w:val="sl"/>
        </w:rPr>
        <w:t>Lasmane proti Latviji</w:t>
      </w:r>
      <w:r>
        <w:rPr>
          <w:lang w:val="sl"/>
        </w:rPr>
        <w:t xml:space="preserve"> (sklep), št. 43293/98, 6. junij 2002; in </w:t>
      </w:r>
      <w:r>
        <w:rPr>
          <w:i/>
          <w:iCs/>
          <w:lang w:val="sl"/>
        </w:rPr>
        <w:t>Sara Lind Eggertsdóttir proti Islandiji,</w:t>
      </w:r>
      <w:r>
        <w:rPr>
          <w:lang w:val="sl"/>
        </w:rPr>
        <w:t xml:space="preserve"> št. 31930/04, 47. odstavek, 5. julij 2007). V tej zvezi je Sodišče ugotovilo, da konvencija domačim sodiščem ne prepoveduje sklicevanja na izvedenska mnenja, ki jih za rešitev spora pripravijo specializirani organi, če to zahteva narava obravnavanih spornih vprašanj. </w:t>
      </w:r>
      <w:r>
        <w:rPr>
          <w:lang w:val="sl"/>
        </w:rPr>
        <w:lastRenderedPageBreak/>
        <w:t xml:space="preserve">Zahteva pa, da je postavljeni izvedenec nevtralen, sodni postopek spoštuje načelo kontradiktornosti in sta v skladu z načelom enakosti orožij pritožnik in nasprotna stranka, tj. država, v enakopravnem položaju (glej </w:t>
      </w:r>
      <w:r>
        <w:rPr>
          <w:i/>
          <w:iCs/>
          <w:lang w:val="sl"/>
        </w:rPr>
        <w:t>Letinčić</w:t>
      </w:r>
      <w:r>
        <w:rPr>
          <w:lang w:val="sl"/>
        </w:rPr>
        <w:t xml:space="preserve">, citirano zgoraj, 61. odstavek).  </w:t>
      </w:r>
    </w:p>
    <w:bookmarkStart w:id="40" w:name="GPobjectivelyjustified"/>
    <w:p w14:paraId="7E8A67AD" w14:textId="6D6B857C" w:rsidR="00390A4C" w:rsidRPr="00D76B80" w:rsidRDefault="00A86B87" w:rsidP="00E477A0">
      <w:pPr>
        <w:pStyle w:val="ECHRPara"/>
        <w:rPr>
          <w:rFonts w:ascii="Times New Roman" w:hAnsi="Times New Roman" w:cs="Times New Roman"/>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sidR="003B619B">
        <w:rPr>
          <w:rFonts w:ascii="Times New Roman" w:hAnsi="Times New Roman"/>
          <w:noProof/>
          <w:lang w:val="sl"/>
        </w:rPr>
        <w:t>48</w:t>
      </w:r>
      <w:r>
        <w:rPr>
          <w:lang w:val="sl"/>
        </w:rPr>
        <w:fldChar w:fldCharType="end"/>
      </w:r>
      <w:bookmarkEnd w:id="40"/>
      <w:r>
        <w:rPr>
          <w:rFonts w:ascii="Times New Roman" w:hAnsi="Times New Roman"/>
          <w:lang w:val="sl"/>
        </w:rPr>
        <w:t>.  </w:t>
      </w:r>
      <w:r w:rsidR="000C4302">
        <w:rPr>
          <w:rFonts w:ascii="Times New Roman" w:hAnsi="Times New Roman"/>
          <w:lang w:val="sl"/>
        </w:rPr>
        <w:t xml:space="preserve">Še posebej, </w:t>
      </w:r>
      <w:r>
        <w:rPr>
          <w:rFonts w:ascii="Times New Roman" w:hAnsi="Times New Roman"/>
          <w:lang w:val="sl"/>
        </w:rPr>
        <w:t xml:space="preserve">Sodišče je že </w:t>
      </w:r>
      <w:r w:rsidR="003545D7">
        <w:rPr>
          <w:rFonts w:ascii="Times New Roman" w:hAnsi="Times New Roman"/>
          <w:lang w:val="sl"/>
        </w:rPr>
        <w:t xml:space="preserve">prej </w:t>
      </w:r>
      <w:r>
        <w:rPr>
          <w:rFonts w:ascii="Times New Roman" w:hAnsi="Times New Roman"/>
          <w:lang w:val="sl"/>
        </w:rPr>
        <w:t xml:space="preserve">ugotovilo, da lahko dejstvo, da je izvedenec, ki mora podati mnenje o sporni zadevi, zaposlen pri </w:t>
      </w:r>
      <w:r w:rsidR="00474175">
        <w:rPr>
          <w:rFonts w:ascii="Times New Roman" w:hAnsi="Times New Roman"/>
          <w:lang w:val="sl"/>
        </w:rPr>
        <w:t xml:space="preserve">istem </w:t>
      </w:r>
      <w:r>
        <w:rPr>
          <w:rFonts w:ascii="Times New Roman" w:hAnsi="Times New Roman"/>
          <w:lang w:val="sl"/>
        </w:rPr>
        <w:t xml:space="preserve">upravnem organu, ki je hkrati udeleženec v zadevi, pri pritožniku zbudi sum, vendar je odločilno, ali je dvom o videzu mogoče objektivno potrditi (glej </w:t>
      </w:r>
      <w:r>
        <w:rPr>
          <w:rFonts w:ascii="Times New Roman" w:hAnsi="Times New Roman"/>
          <w:i/>
          <w:iCs/>
          <w:lang w:val="sl"/>
        </w:rPr>
        <w:t xml:space="preserve">Korošec proti Sloveniji, </w:t>
      </w:r>
      <w:r>
        <w:rPr>
          <w:rFonts w:ascii="Times New Roman" w:hAnsi="Times New Roman"/>
          <w:lang w:val="sl"/>
        </w:rPr>
        <w:t>št. 77212/12</w:t>
      </w:r>
      <w:r>
        <w:rPr>
          <w:rFonts w:ascii="Times New Roman" w:hAnsi="Times New Roman"/>
          <w:snapToGrid w:val="0"/>
          <w:lang w:val="sl"/>
        </w:rPr>
        <w:t xml:space="preserve">, 54. odstavek, 8. oktober 2015; </w:t>
      </w:r>
      <w:r>
        <w:rPr>
          <w:rFonts w:ascii="Times New Roman" w:hAnsi="Times New Roman"/>
          <w:i/>
          <w:iCs/>
          <w:lang w:val="sl"/>
        </w:rPr>
        <w:t>Sara Lind Eggertsdóttir</w:t>
      </w:r>
      <w:r>
        <w:rPr>
          <w:rFonts w:ascii="Times New Roman" w:hAnsi="Times New Roman"/>
          <w:lang w:val="sl"/>
        </w:rPr>
        <w:t xml:space="preserve">, citirano zgoraj, 48. odstavek; </w:t>
      </w:r>
      <w:r>
        <w:rPr>
          <w:i/>
          <w:iCs/>
          <w:lang w:val="sl"/>
        </w:rPr>
        <w:t>Brandstetter proti Avstriji</w:t>
      </w:r>
      <w:r>
        <w:rPr>
          <w:lang w:val="sl"/>
        </w:rPr>
        <w:t>, 28. avgust 1991, 44. odstavek, serija A št. 211</w:t>
      </w:r>
      <w:r>
        <w:rPr>
          <w:rFonts w:ascii="Times New Roman" w:hAnsi="Times New Roman"/>
          <w:lang w:val="sl"/>
        </w:rPr>
        <w:t xml:space="preserve">; in </w:t>
      </w:r>
      <w:r>
        <w:rPr>
          <w:i/>
          <w:iCs/>
          <w:lang w:val="sl"/>
        </w:rPr>
        <w:t>Galea in Pavia</w:t>
      </w:r>
      <w:r>
        <w:rPr>
          <w:lang w:val="sl"/>
        </w:rPr>
        <w:t xml:space="preserve"> proti</w:t>
      </w:r>
      <w:r>
        <w:rPr>
          <w:i/>
          <w:iCs/>
          <w:lang w:val="sl"/>
        </w:rPr>
        <w:t xml:space="preserve"> Malti </w:t>
      </w:r>
      <w:r>
        <w:rPr>
          <w:lang w:val="sl"/>
        </w:rPr>
        <w:t>(sklep), št. 77209/16 in 77225/16, 46. odstavek, 4. julij 2017</w:t>
      </w:r>
      <w:r>
        <w:rPr>
          <w:rFonts w:ascii="Times New Roman" w:hAnsi="Times New Roman"/>
          <w:lang w:val="sl"/>
        </w:rPr>
        <w:t>).</w:t>
      </w:r>
    </w:p>
    <w:p w14:paraId="1EB84C83" w14:textId="77777777" w:rsidR="00A86B87" w:rsidRPr="00D76B80" w:rsidRDefault="00A86B87" w:rsidP="00E477A0">
      <w:pPr>
        <w:pStyle w:val="ECHRHeading4"/>
        <w:rPr>
          <w:rFonts w:ascii="Times New Roman" w:hAnsi="Times New Roman" w:cs="Times New Roman"/>
          <w:lang w:val="it-IT"/>
        </w:rPr>
      </w:pPr>
      <w:r>
        <w:rPr>
          <w:rFonts w:ascii="Times New Roman" w:eastAsiaTheme="minorHAnsi" w:hAnsi="Times New Roman" w:cs="Times New Roman"/>
          <w:iCs w:val="0"/>
          <w:lang w:val="sl"/>
        </w:rPr>
        <w:t>b) Uporaba teh načel pri obravnavani zadevi</w:t>
      </w:r>
    </w:p>
    <w:p w14:paraId="1F5C1063" w14:textId="6EEE9AA6" w:rsidR="009C0042" w:rsidRPr="00127639" w:rsidRDefault="00A86B87" w:rsidP="00E477A0">
      <w:pPr>
        <w:pStyle w:val="ECHRPara"/>
        <w:rPr>
          <w:rFonts w:ascii="Times New Roman" w:hAnsi="Times New Roman" w:cs="Times New Roman"/>
          <w:lang w:val="sl"/>
        </w:rPr>
      </w:pPr>
      <w:r>
        <w:rPr>
          <w:rFonts w:ascii="Times New Roman" w:hAnsi="Times New Roman" w:cs="Times New Roman"/>
          <w:lang w:val="sl"/>
        </w:rPr>
        <w:fldChar w:fldCharType="begin"/>
      </w:r>
      <w:r>
        <w:rPr>
          <w:rFonts w:ascii="Times New Roman" w:hAnsi="Times New Roman" w:cs="Times New Roman"/>
          <w:lang w:val="sl"/>
        </w:rPr>
        <w:instrText xml:space="preserve"> SEQ level0 \*arabic </w:instrText>
      </w:r>
      <w:r>
        <w:rPr>
          <w:rFonts w:ascii="Times New Roman" w:hAnsi="Times New Roman" w:cs="Times New Roman"/>
          <w:lang w:val="sl"/>
        </w:rPr>
        <w:fldChar w:fldCharType="separate"/>
      </w:r>
      <w:r w:rsidR="003B619B">
        <w:rPr>
          <w:rFonts w:ascii="Times New Roman" w:hAnsi="Times New Roman" w:cs="Times New Roman"/>
          <w:noProof/>
          <w:lang w:val="sl"/>
        </w:rPr>
        <w:t>49</w:t>
      </w:r>
      <w:r>
        <w:rPr>
          <w:rFonts w:ascii="Times New Roman" w:hAnsi="Times New Roman" w:cs="Times New Roman"/>
          <w:lang w:val="sl"/>
        </w:rPr>
        <w:fldChar w:fldCharType="end"/>
      </w:r>
      <w:r>
        <w:rPr>
          <w:rFonts w:ascii="Times New Roman" w:hAnsi="Times New Roman" w:cs="Times New Roman"/>
          <w:lang w:val="sl"/>
        </w:rPr>
        <w:t>. </w:t>
      </w:r>
      <w:r w:rsidRPr="00D1089E">
        <w:rPr>
          <w:rFonts w:ascii="Times New Roman" w:hAnsi="Times New Roman" w:cs="Times New Roman"/>
          <w:lang w:val="sl"/>
        </w:rPr>
        <w:t>Sodišče</w:t>
      </w:r>
      <w:r>
        <w:rPr>
          <w:rFonts w:ascii="Times New Roman" w:hAnsi="Times New Roman" w:cs="Times New Roman"/>
          <w:lang w:val="sl"/>
        </w:rPr>
        <w:t xml:space="preserve"> na začetku ugotavlja, da se obravnavana zadeva nanaša na opiranje Delovnega in socialnega sodišča v Ljubljani na mnenja notranjih izvedenskih organov nasprotne stranke, tj. invalidskih komisij zavoda. Teh organov za izvedence ni postavilo sodišče, </w:t>
      </w:r>
      <w:r w:rsidR="00B70C91">
        <w:rPr>
          <w:rFonts w:ascii="Times New Roman" w:hAnsi="Times New Roman" w:cs="Times New Roman"/>
          <w:lang w:val="sl"/>
        </w:rPr>
        <w:t xml:space="preserve">ampak </w:t>
      </w:r>
      <w:r>
        <w:rPr>
          <w:rFonts w:ascii="Times New Roman" w:hAnsi="Times New Roman" w:cs="Times New Roman"/>
          <w:lang w:val="sl"/>
        </w:rPr>
        <w:t xml:space="preserve">so </w:t>
      </w:r>
      <w:r w:rsidR="00B70C91">
        <w:rPr>
          <w:rFonts w:ascii="Times New Roman" w:hAnsi="Times New Roman" w:cs="Times New Roman"/>
          <w:lang w:val="sl"/>
        </w:rPr>
        <w:t>po</w:t>
      </w:r>
      <w:r>
        <w:rPr>
          <w:rFonts w:ascii="Times New Roman" w:hAnsi="Times New Roman" w:cs="Times New Roman"/>
          <w:lang w:val="sl"/>
        </w:rPr>
        <w:t xml:space="preserve">dali izvedenska mnenja za </w:t>
      </w:r>
      <w:r w:rsidR="00B70C91">
        <w:rPr>
          <w:rFonts w:ascii="Times New Roman" w:hAnsi="Times New Roman" w:cs="Times New Roman"/>
          <w:lang w:val="sl"/>
        </w:rPr>
        <w:t xml:space="preserve">potrebe </w:t>
      </w:r>
      <w:r>
        <w:rPr>
          <w:rFonts w:ascii="Times New Roman" w:hAnsi="Times New Roman" w:cs="Times New Roman"/>
          <w:lang w:val="sl"/>
        </w:rPr>
        <w:t>upravni</w:t>
      </w:r>
      <w:r w:rsidR="00B70C91">
        <w:rPr>
          <w:rFonts w:ascii="Times New Roman" w:hAnsi="Times New Roman" w:cs="Times New Roman"/>
          <w:lang w:val="sl"/>
        </w:rPr>
        <w:t>h</w:t>
      </w:r>
      <w:r>
        <w:rPr>
          <w:rFonts w:ascii="Times New Roman" w:hAnsi="Times New Roman" w:cs="Times New Roman"/>
          <w:lang w:val="sl"/>
        </w:rPr>
        <w:t xml:space="preserve"> odločb, ki sta bili pozneje izpodbijani v sodnih postopkih. Mnenji sta bili soglasni, da </w:t>
      </w:r>
      <w:r>
        <w:rPr>
          <w:rFonts w:ascii="Times New Roman" w:hAnsi="Times New Roman" w:cs="Times New Roman"/>
          <w:snapToGrid w:val="0"/>
          <w:lang w:val="sl"/>
        </w:rPr>
        <w:t>pritožnica nima telesne okvare s seznama in zato ni upravičena do nadomestila za invalidnost</w:t>
      </w:r>
      <w:r>
        <w:rPr>
          <w:rFonts w:ascii="Times New Roman" w:hAnsi="Times New Roman" w:cs="Times New Roman"/>
          <w:lang w:val="sl"/>
        </w:rPr>
        <w:t xml:space="preserve"> (glej</w:t>
      </w:r>
      <w:r w:rsidR="00EE1492">
        <w:rPr>
          <w:rFonts w:ascii="Times New Roman" w:hAnsi="Times New Roman" w:cs="Times New Roman"/>
          <w:lang w:val="sl"/>
        </w:rPr>
        <w:t xml:space="preserve"> 8. </w:t>
      </w:r>
      <w:r>
        <w:rPr>
          <w:rFonts w:ascii="Times New Roman" w:hAnsi="Times New Roman" w:cs="Times New Roman"/>
          <w:lang w:val="sl"/>
        </w:rPr>
        <w:t xml:space="preserve">in </w:t>
      </w:r>
      <w:r w:rsidR="00EE1492">
        <w:rPr>
          <w:rFonts w:ascii="Times New Roman" w:hAnsi="Times New Roman" w:cs="Times New Roman"/>
          <w:lang w:val="sl"/>
        </w:rPr>
        <w:t xml:space="preserve">10. </w:t>
      </w:r>
      <w:r>
        <w:rPr>
          <w:rFonts w:ascii="Times New Roman" w:hAnsi="Times New Roman" w:cs="Times New Roman"/>
          <w:lang w:val="sl"/>
        </w:rPr>
        <w:t>odstavek).</w:t>
      </w:r>
    </w:p>
    <w:bookmarkStart w:id="41" w:name="ECHRdecisive"/>
    <w:p w14:paraId="29ED74CB" w14:textId="381A1125" w:rsidR="00390A4C" w:rsidRPr="001C2F17" w:rsidRDefault="009C0042" w:rsidP="00E477A0">
      <w:pPr>
        <w:pStyle w:val="ECHRPara"/>
        <w:rPr>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sidR="003B619B">
        <w:rPr>
          <w:rFonts w:ascii="Times New Roman" w:hAnsi="Times New Roman"/>
          <w:noProof/>
          <w:lang w:val="sl"/>
        </w:rPr>
        <w:t>50</w:t>
      </w:r>
      <w:r>
        <w:rPr>
          <w:lang w:val="sl"/>
        </w:rPr>
        <w:fldChar w:fldCharType="end"/>
      </w:r>
      <w:bookmarkEnd w:id="41"/>
      <w:r>
        <w:rPr>
          <w:rFonts w:ascii="Times New Roman" w:hAnsi="Times New Roman"/>
          <w:lang w:val="sl"/>
        </w:rPr>
        <w:t>. Delovno in socialno sodišče v Ljubljani je obravnavalo vse vidike dejstev in prava, na katerih temeljita omenjeni upravni odločbi, in prav tako zavrnilo pritožničino zahtevo za nadomestilo za invalidnost, vendar ni postavilo neodvisnega izvedenca, ki bi ocenil pritožničino zdravstveno stanje (glej</w:t>
      </w:r>
      <w:r w:rsidR="00EE1492">
        <w:rPr>
          <w:rFonts w:ascii="Times New Roman" w:hAnsi="Times New Roman"/>
          <w:lang w:val="sl"/>
        </w:rPr>
        <w:t xml:space="preserve"> 13., 14. in  16. </w:t>
      </w:r>
      <w:r>
        <w:rPr>
          <w:rFonts w:ascii="Times New Roman" w:hAnsi="Times New Roman"/>
          <w:lang w:val="sl"/>
        </w:rPr>
        <w:t xml:space="preserve">odstavek). Drži, da se je sodišče v svoji </w:t>
      </w:r>
      <w:r>
        <w:rPr>
          <w:rFonts w:ascii="Times New Roman" w:hAnsi="Times New Roman"/>
          <w:snapToGrid w:val="0"/>
          <w:lang w:val="sl"/>
        </w:rPr>
        <w:t xml:space="preserve">odločitvi sklicevalo na svoje ugotovitve pritožničinega zdravstvenega stanja (glej </w:t>
      </w:r>
      <w:r w:rsidR="006A199B">
        <w:rPr>
          <w:rFonts w:ascii="Times New Roman" w:hAnsi="Times New Roman"/>
          <w:snapToGrid w:val="0"/>
          <w:lang w:val="sl"/>
        </w:rPr>
        <w:t xml:space="preserve">13. </w:t>
      </w:r>
      <w:r>
        <w:rPr>
          <w:rFonts w:ascii="Times New Roman" w:hAnsi="Times New Roman"/>
          <w:lang w:val="sl"/>
        </w:rPr>
        <w:t>odstavek)</w:t>
      </w:r>
      <w:r>
        <w:rPr>
          <w:rFonts w:ascii="Times New Roman" w:hAnsi="Times New Roman"/>
          <w:snapToGrid w:val="0"/>
          <w:lang w:val="sl"/>
        </w:rPr>
        <w:t>. Ker pa medicinsko vprašanje, ali ima pritožnica telesno okvaro, načeloma ni bilo del strokovnega znanja sodnikov</w:t>
      </w:r>
      <w:r>
        <w:rPr>
          <w:rFonts w:ascii="Times New Roman" w:hAnsi="Times New Roman"/>
          <w:color w:val="000000"/>
          <w:szCs w:val="24"/>
          <w:lang w:val="sl"/>
        </w:rPr>
        <w:t xml:space="preserve"> (glej </w:t>
      </w:r>
      <w:r w:rsidR="006A199B">
        <w:rPr>
          <w:rFonts w:ascii="Times New Roman" w:hAnsi="Times New Roman"/>
          <w:color w:val="000000"/>
          <w:szCs w:val="24"/>
          <w:lang w:val="sl"/>
        </w:rPr>
        <w:t xml:space="preserve">33. </w:t>
      </w:r>
      <w:r>
        <w:rPr>
          <w:rFonts w:ascii="Times New Roman" w:hAnsi="Times New Roman"/>
          <w:color w:val="000000"/>
          <w:szCs w:val="24"/>
          <w:lang w:val="sl"/>
        </w:rPr>
        <w:t xml:space="preserve">odstavek; glej tudi </w:t>
      </w:r>
      <w:r>
        <w:rPr>
          <w:rFonts w:ascii="Times New Roman" w:hAnsi="Times New Roman"/>
          <w:i/>
          <w:iCs/>
          <w:lang w:val="sl"/>
        </w:rPr>
        <w:t>Korošec</w:t>
      </w:r>
      <w:r>
        <w:rPr>
          <w:rFonts w:ascii="Times New Roman" w:hAnsi="Times New Roman"/>
          <w:lang w:val="sl"/>
        </w:rPr>
        <w:t xml:space="preserve">, citirano zgoraj, 47. </w:t>
      </w:r>
      <w:r>
        <w:rPr>
          <w:rFonts w:ascii="Times New Roman" w:hAnsi="Times New Roman"/>
          <w:color w:val="000000"/>
          <w:szCs w:val="24"/>
          <w:lang w:val="sl"/>
        </w:rPr>
        <w:t xml:space="preserve">odstavek in, </w:t>
      </w:r>
      <w:r>
        <w:rPr>
          <w:rFonts w:ascii="Times New Roman" w:hAnsi="Times New Roman"/>
          <w:i/>
          <w:iCs/>
          <w:color w:val="000000"/>
          <w:szCs w:val="24"/>
          <w:lang w:val="sl"/>
        </w:rPr>
        <w:t>mutatis mutandis,</w:t>
      </w:r>
      <w:r>
        <w:rPr>
          <w:rFonts w:ascii="Times New Roman" w:hAnsi="Times New Roman"/>
          <w:color w:val="000000"/>
          <w:szCs w:val="24"/>
          <w:lang w:val="sl"/>
        </w:rPr>
        <w:t xml:space="preserve"> </w:t>
      </w:r>
      <w:r>
        <w:rPr>
          <w:rFonts w:ascii="Times New Roman" w:hAnsi="Times New Roman"/>
          <w:i/>
          <w:iCs/>
          <w:color w:val="000000"/>
          <w:szCs w:val="24"/>
          <w:lang w:val="sl"/>
        </w:rPr>
        <w:t>Mantovanelli proti Franciji</w:t>
      </w:r>
      <w:r>
        <w:rPr>
          <w:rFonts w:ascii="Times New Roman" w:hAnsi="Times New Roman"/>
          <w:color w:val="000000"/>
          <w:szCs w:val="24"/>
          <w:lang w:val="sl"/>
        </w:rPr>
        <w:t xml:space="preserve">, 18. marec 1997, 36. odstavek, </w:t>
      </w:r>
      <w:r>
        <w:rPr>
          <w:rFonts w:ascii="Times New Roman" w:hAnsi="Times New Roman"/>
          <w:i/>
          <w:iCs/>
          <w:color w:val="000000"/>
          <w:szCs w:val="24"/>
          <w:lang w:val="sl"/>
        </w:rPr>
        <w:t>Poročila o sodbah in sklepih</w:t>
      </w:r>
      <w:r>
        <w:rPr>
          <w:rFonts w:ascii="Times New Roman" w:hAnsi="Times New Roman"/>
          <w:color w:val="000000"/>
          <w:szCs w:val="24"/>
          <w:lang w:val="sl"/>
        </w:rPr>
        <w:t xml:space="preserve"> 1997</w:t>
      </w:r>
      <w:r>
        <w:rPr>
          <w:rFonts w:ascii="Times New Roman" w:hAnsi="Times New Roman"/>
          <w:color w:val="000000"/>
          <w:szCs w:val="24"/>
          <w:lang w:val="sl"/>
        </w:rPr>
        <w:noBreakHyphen/>
        <w:t>II</w:t>
      </w:r>
      <w:r>
        <w:rPr>
          <w:rFonts w:ascii="Times New Roman" w:hAnsi="Times New Roman"/>
          <w:snapToGrid w:val="0"/>
          <w:lang w:val="sl"/>
        </w:rPr>
        <w:t>) in v sodnem postopku niso bili izvedeni drugi izvedenski dokazi, je treba upoštevati, da sta imeli izvedenski mnenji invalidskih komisij odločilno vlogo pri presoji sodišča glede utemeljenosti zadeve.</w:t>
      </w:r>
    </w:p>
    <w:bookmarkStart w:id="42" w:name="ECHRnoobjectivejustification"/>
    <w:p w14:paraId="15A64686" w14:textId="4249C9D3" w:rsidR="00390A4C" w:rsidRPr="00D76B80" w:rsidRDefault="00A86B87" w:rsidP="00E477A0">
      <w:pPr>
        <w:pStyle w:val="ECHRPara"/>
        <w:rPr>
          <w:i/>
          <w:lang w:val="sl"/>
        </w:rPr>
      </w:pPr>
      <w:r>
        <w:rPr>
          <w:snapToGrid w:val="0"/>
          <w:lang w:val="sl"/>
        </w:rPr>
        <w:fldChar w:fldCharType="begin"/>
      </w:r>
      <w:r>
        <w:rPr>
          <w:rFonts w:ascii="Times New Roman" w:hAnsi="Times New Roman"/>
          <w:snapToGrid w:val="0"/>
          <w:lang w:val="sl"/>
        </w:rPr>
        <w:instrText xml:space="preserve"> SEQ level0 \*arabic </w:instrText>
      </w:r>
      <w:r>
        <w:rPr>
          <w:snapToGrid w:val="0"/>
          <w:lang w:val="sl"/>
        </w:rPr>
        <w:fldChar w:fldCharType="separate"/>
      </w:r>
      <w:r w:rsidR="003B619B">
        <w:rPr>
          <w:rFonts w:ascii="Times New Roman" w:hAnsi="Times New Roman"/>
          <w:noProof/>
          <w:snapToGrid w:val="0"/>
          <w:lang w:val="sl"/>
        </w:rPr>
        <w:t>51</w:t>
      </w:r>
      <w:r>
        <w:rPr>
          <w:snapToGrid w:val="0"/>
          <w:lang w:val="sl"/>
        </w:rPr>
        <w:fldChar w:fldCharType="end"/>
      </w:r>
      <w:bookmarkEnd w:id="42"/>
      <w:r>
        <w:rPr>
          <w:rFonts w:ascii="Times New Roman" w:hAnsi="Times New Roman"/>
          <w:snapToGrid w:val="0"/>
          <w:lang w:val="sl"/>
        </w:rPr>
        <w:t xml:space="preserve">. Sodišče v obravnavani zadevi ugotavlja, da so razumljivi dvomi pritožnice o nepristranskosti izvedencev medicinske stroke, na mnenji katerih so se opirala sodišča, če upoštevamo, da jih je imenoval zavod in so bili njegovi uslužbenci ali pogodbeni sodelavci, tj. pritožničina nasprotna stranka v postopku. </w:t>
      </w:r>
      <w:r>
        <w:rPr>
          <w:lang w:val="sl"/>
        </w:rPr>
        <w:t xml:space="preserve">Čeprav pritožničino razumevanje nepristranskosti izvedencev lahko nekaj pomeni, ne more biti odločilno, saj objektivno nič ne upravičuje strahu, da izvedenci invalidskih komisij v svoji strokovni presoji niso bili dovolj nevtralni (glej </w:t>
      </w:r>
      <w:r>
        <w:rPr>
          <w:i/>
          <w:iCs/>
          <w:lang w:val="sl"/>
        </w:rPr>
        <w:t>Letinčić</w:t>
      </w:r>
      <w:r>
        <w:rPr>
          <w:lang w:val="sl"/>
        </w:rPr>
        <w:t xml:space="preserve">, citirano zgoraj, 62. odstavek, in </w:t>
      </w:r>
      <w:r>
        <w:rPr>
          <w:i/>
          <w:iCs/>
          <w:lang w:val="sl"/>
        </w:rPr>
        <w:t>Krunoslava Zovko proti Hrvaški</w:t>
      </w:r>
      <w:r>
        <w:rPr>
          <w:lang w:val="sl"/>
        </w:rPr>
        <w:t xml:space="preserve">, št. 56935/13, </w:t>
      </w:r>
      <w:r>
        <w:rPr>
          <w:rFonts w:ascii="Times New Roman" w:hAnsi="Times New Roman"/>
          <w:lang w:val="sl"/>
        </w:rPr>
        <w:t>44. odstavek</w:t>
      </w:r>
      <w:r>
        <w:rPr>
          <w:lang w:val="sl"/>
        </w:rPr>
        <w:t xml:space="preserve">, 23. maj 2017). </w:t>
      </w:r>
      <w:r>
        <w:rPr>
          <w:rFonts w:ascii="Times New Roman" w:hAnsi="Times New Roman"/>
          <w:snapToGrid w:val="0"/>
          <w:lang w:val="sl"/>
        </w:rPr>
        <w:t xml:space="preserve">Sodišče v tej </w:t>
      </w:r>
      <w:r>
        <w:rPr>
          <w:rFonts w:ascii="Times New Roman" w:hAnsi="Times New Roman"/>
          <w:snapToGrid w:val="0"/>
          <w:lang w:val="sl"/>
        </w:rPr>
        <w:lastRenderedPageBreak/>
        <w:t xml:space="preserve">zvezi ugotavlja, da niti vsebina spisa niti pritožničine vloge ne razkrivajo nobenih dokazov, da ti izvedenci medicinske stroke niso bili dovolj objektivni, niti pritožnica ni zatrjevala, da niso bili dovolj objektivni (glej, </w:t>
      </w:r>
      <w:r>
        <w:rPr>
          <w:rFonts w:ascii="Times New Roman" w:hAnsi="Times New Roman"/>
          <w:i/>
          <w:iCs/>
          <w:snapToGrid w:val="0"/>
          <w:lang w:val="sl"/>
        </w:rPr>
        <w:t>mutatis mutandis</w:t>
      </w:r>
      <w:r>
        <w:rPr>
          <w:rFonts w:ascii="Times New Roman" w:hAnsi="Times New Roman"/>
          <w:snapToGrid w:val="0"/>
          <w:lang w:val="sl"/>
        </w:rPr>
        <w:t xml:space="preserve">, </w:t>
      </w:r>
      <w:r>
        <w:rPr>
          <w:rFonts w:ascii="Times New Roman" w:hAnsi="Times New Roman"/>
          <w:i/>
          <w:iCs/>
          <w:lang w:val="sl"/>
        </w:rPr>
        <w:t>Galea in Pavia</w:t>
      </w:r>
      <w:r>
        <w:rPr>
          <w:rFonts w:ascii="Times New Roman" w:hAnsi="Times New Roman"/>
          <w:lang w:val="sl"/>
        </w:rPr>
        <w:t xml:space="preserve">, citirano zgoraj, </w:t>
      </w:r>
      <w:r>
        <w:rPr>
          <w:rFonts w:ascii="Times New Roman" w:hAnsi="Times New Roman"/>
          <w:color w:val="000000"/>
          <w:szCs w:val="24"/>
          <w:lang w:val="sl"/>
        </w:rPr>
        <w:t xml:space="preserve"> 47. odstavek, in </w:t>
      </w:r>
      <w:r>
        <w:rPr>
          <w:rFonts w:ascii="Times New Roman" w:hAnsi="Times New Roman"/>
          <w:i/>
          <w:iCs/>
          <w:lang w:val="sl"/>
        </w:rPr>
        <w:t>Krunoslava Zovko</w:t>
      </w:r>
      <w:r>
        <w:rPr>
          <w:rFonts w:ascii="Times New Roman" w:hAnsi="Times New Roman"/>
          <w:lang w:val="sl"/>
        </w:rPr>
        <w:t>, citirano zgoraj, 45. odstavek</w:t>
      </w:r>
      <w:r>
        <w:rPr>
          <w:rFonts w:ascii="Times New Roman" w:hAnsi="Times New Roman"/>
          <w:color w:val="000000"/>
          <w:szCs w:val="24"/>
          <w:lang w:val="sl"/>
        </w:rPr>
        <w:t>)</w:t>
      </w:r>
      <w:r>
        <w:rPr>
          <w:rFonts w:ascii="Times New Roman" w:hAnsi="Times New Roman"/>
          <w:snapToGrid w:val="0"/>
          <w:lang w:val="sl"/>
        </w:rPr>
        <w:t>.</w:t>
      </w:r>
    </w:p>
    <w:p w14:paraId="26EC2DB1" w14:textId="5822035A" w:rsidR="00B01CD4" w:rsidRPr="001C2F17" w:rsidRDefault="00A86B87" w:rsidP="00E477A0">
      <w:pPr>
        <w:pStyle w:val="ECHRPara"/>
        <w:rPr>
          <w:rFonts w:ascii="Times New Roman" w:hAnsi="Times New Roman" w:cs="Times New Roman"/>
          <w:snapToGrid w:val="0"/>
          <w:lang w:val="sl"/>
        </w:rPr>
      </w:pPr>
      <w:r>
        <w:rPr>
          <w:snapToGrid w:val="0"/>
          <w:lang w:val="sl"/>
        </w:rPr>
        <w:fldChar w:fldCharType="begin"/>
      </w:r>
      <w:r>
        <w:rPr>
          <w:rFonts w:ascii="Times New Roman" w:hAnsi="Times New Roman"/>
          <w:snapToGrid w:val="0"/>
          <w:lang w:val="sl"/>
        </w:rPr>
        <w:instrText xml:space="preserve"> SEQ level0 \*arabic </w:instrText>
      </w:r>
      <w:r>
        <w:rPr>
          <w:snapToGrid w:val="0"/>
          <w:lang w:val="sl"/>
        </w:rPr>
        <w:fldChar w:fldCharType="separate"/>
      </w:r>
      <w:r w:rsidR="003B619B">
        <w:rPr>
          <w:rFonts w:ascii="Times New Roman" w:hAnsi="Times New Roman"/>
          <w:noProof/>
          <w:snapToGrid w:val="0"/>
          <w:lang w:val="sl"/>
        </w:rPr>
        <w:t>52</w:t>
      </w:r>
      <w:r>
        <w:rPr>
          <w:snapToGrid w:val="0"/>
          <w:lang w:val="sl"/>
        </w:rPr>
        <w:fldChar w:fldCharType="end"/>
      </w:r>
      <w:r>
        <w:rPr>
          <w:rFonts w:ascii="Times New Roman" w:hAnsi="Times New Roman"/>
          <w:snapToGrid w:val="0"/>
          <w:lang w:val="sl"/>
        </w:rPr>
        <w:t>. </w:t>
      </w:r>
      <w:r w:rsidR="00F80D13">
        <w:rPr>
          <w:rFonts w:ascii="Times New Roman" w:hAnsi="Times New Roman"/>
          <w:snapToGrid w:val="0"/>
          <w:lang w:val="sl"/>
        </w:rPr>
        <w:t xml:space="preserve">Kot rečeno, </w:t>
      </w:r>
      <w:r>
        <w:rPr>
          <w:rFonts w:ascii="Times New Roman" w:hAnsi="Times New Roman"/>
          <w:snapToGrid w:val="0"/>
          <w:lang w:val="sl"/>
        </w:rPr>
        <w:t xml:space="preserve">Sodišče ugotavlja, da na podlagi stališč Vrhovnega sodišča in Ustavnega sodišča za invalidske komisije ne moremo sklepati, da so tako nevtralne kot izvedenci, ki jih postavi sodišče </w:t>
      </w:r>
      <w:r w:rsidR="00F80D13">
        <w:rPr>
          <w:rFonts w:ascii="Times New Roman" w:hAnsi="Times New Roman"/>
          <w:snapToGrid w:val="0"/>
          <w:lang w:val="sl"/>
        </w:rPr>
        <w:t xml:space="preserve">in ki </w:t>
      </w:r>
      <w:r>
        <w:rPr>
          <w:rFonts w:ascii="Times New Roman" w:hAnsi="Times New Roman"/>
          <w:snapToGrid w:val="0"/>
          <w:lang w:val="sl"/>
        </w:rPr>
        <w:t>so pomočniki sodišča in ne strank (glej</w:t>
      </w:r>
      <w:r w:rsidR="00F80D13">
        <w:rPr>
          <w:rFonts w:ascii="Times New Roman" w:hAnsi="Times New Roman"/>
          <w:snapToGrid w:val="0"/>
          <w:lang w:val="sl"/>
        </w:rPr>
        <w:t xml:space="preserve"> 32.-34. in 44. odstavek</w:t>
      </w:r>
      <w:r>
        <w:rPr>
          <w:rFonts w:ascii="Times New Roman" w:hAnsi="Times New Roman"/>
          <w:snapToGrid w:val="0"/>
          <w:lang w:val="sl"/>
        </w:rPr>
        <w:t>). Sodišče zato ugotavlja, da je pomembno, da se ugodi predlogom tožnikov za postavitev neodvisnega izvedenca v sporih, kot je ta, kar so tudi omogočala domača pravila in praksa, na katera se je pritožnica sklicevala (glej</w:t>
      </w:r>
      <w:r w:rsidR="003121BB">
        <w:rPr>
          <w:rFonts w:ascii="Times New Roman" w:hAnsi="Times New Roman"/>
          <w:snapToGrid w:val="0"/>
          <w:lang w:val="sl"/>
        </w:rPr>
        <w:t xml:space="preserve"> 12.</w:t>
      </w:r>
      <w:r w:rsidR="001D4279">
        <w:rPr>
          <w:rFonts w:ascii="Times New Roman" w:hAnsi="Times New Roman"/>
          <w:snapToGrid w:val="0"/>
          <w:lang w:val="sl"/>
        </w:rPr>
        <w:t>,</w:t>
      </w:r>
      <w:r w:rsidR="003121BB">
        <w:rPr>
          <w:rFonts w:ascii="Times New Roman" w:hAnsi="Times New Roman"/>
          <w:snapToGrid w:val="0"/>
          <w:lang w:val="sl"/>
        </w:rPr>
        <w:t xml:space="preserve"> 33., 34. </w:t>
      </w:r>
      <w:r w:rsidR="001D4279">
        <w:rPr>
          <w:rFonts w:ascii="Times New Roman" w:hAnsi="Times New Roman"/>
          <w:snapToGrid w:val="0"/>
          <w:lang w:val="sl"/>
        </w:rPr>
        <w:t>i</w:t>
      </w:r>
      <w:r w:rsidR="003121BB">
        <w:rPr>
          <w:rFonts w:ascii="Times New Roman" w:hAnsi="Times New Roman"/>
          <w:snapToGrid w:val="0"/>
          <w:lang w:val="sl"/>
        </w:rPr>
        <w:t>n 38. odstavek</w:t>
      </w:r>
      <w:r>
        <w:rPr>
          <w:rFonts w:ascii="Times New Roman" w:hAnsi="Times New Roman"/>
          <w:snapToGrid w:val="0"/>
          <w:lang w:val="sl"/>
        </w:rPr>
        <w:t>).</w:t>
      </w:r>
    </w:p>
    <w:bookmarkStart w:id="43" w:name="ECHRprimaryforthecourts"/>
    <w:p w14:paraId="4DA19CD1" w14:textId="273F9648" w:rsidR="00B01CD4" w:rsidRPr="00127639" w:rsidRDefault="003651E1" w:rsidP="00E477A0">
      <w:pPr>
        <w:pStyle w:val="ECHRPara"/>
        <w:rPr>
          <w:lang w:val="sl"/>
        </w:rPr>
      </w:pPr>
      <w:r>
        <w:rPr>
          <w:snapToGrid w:val="0"/>
          <w:lang w:val="sl"/>
        </w:rPr>
        <w:fldChar w:fldCharType="begin"/>
      </w:r>
      <w:r>
        <w:rPr>
          <w:snapToGrid w:val="0"/>
          <w:lang w:val="sl"/>
        </w:rPr>
        <w:instrText xml:space="preserve"> SEQ level0 \*arabic </w:instrText>
      </w:r>
      <w:r>
        <w:rPr>
          <w:snapToGrid w:val="0"/>
          <w:lang w:val="sl"/>
        </w:rPr>
        <w:fldChar w:fldCharType="separate"/>
      </w:r>
      <w:r w:rsidR="003B619B">
        <w:rPr>
          <w:noProof/>
          <w:snapToGrid w:val="0"/>
          <w:lang w:val="sl"/>
        </w:rPr>
        <w:t>53</w:t>
      </w:r>
      <w:r>
        <w:rPr>
          <w:snapToGrid w:val="0"/>
          <w:lang w:val="sl"/>
        </w:rPr>
        <w:fldChar w:fldCharType="end"/>
      </w:r>
      <w:bookmarkEnd w:id="43"/>
      <w:r>
        <w:rPr>
          <w:snapToGrid w:val="0"/>
          <w:lang w:val="sl"/>
        </w:rPr>
        <w:t>.  Sodišče tudi ugotavlja, da naj bi v prvi vrsti domača sodišča</w:t>
      </w:r>
      <w:r>
        <w:rPr>
          <w:lang w:val="sl"/>
        </w:rPr>
        <w:t xml:space="preserve"> presojala, ali bi bilo zahtevano mnenje koristno (glej, </w:t>
      </w:r>
      <w:r>
        <w:rPr>
          <w:i/>
          <w:iCs/>
          <w:lang w:val="sl"/>
        </w:rPr>
        <w:t>mutatis mutandis</w:t>
      </w:r>
      <w:r>
        <w:rPr>
          <w:lang w:val="sl"/>
        </w:rPr>
        <w:t xml:space="preserve">, </w:t>
      </w:r>
      <w:r>
        <w:rPr>
          <w:i/>
          <w:iCs/>
          <w:lang w:val="sl"/>
        </w:rPr>
        <w:t>H. proti Franciji</w:t>
      </w:r>
      <w:r>
        <w:rPr>
          <w:lang w:val="sl"/>
        </w:rPr>
        <w:t>, 24. oktober 1989, 60. in 61. odstavek, serija A št. 162</w:t>
      </w:r>
      <w:r>
        <w:rPr>
          <w:lang w:val="sl"/>
        </w:rPr>
        <w:noBreakHyphen/>
        <w:t xml:space="preserve">A). Vloga Sodišča pri preverjanju, ali je bil postopek kot celota pošten, je omejena. (glej </w:t>
      </w:r>
      <w:r>
        <w:rPr>
          <w:i/>
          <w:iCs/>
          <w:lang w:val="sl"/>
        </w:rPr>
        <w:t>Elsholz</w:t>
      </w:r>
      <w:r>
        <w:rPr>
          <w:lang w:val="sl"/>
        </w:rPr>
        <w:t xml:space="preserve">, citirano zgoraj, 66. odstavek).  </w:t>
      </w:r>
    </w:p>
    <w:p w14:paraId="4C09DCA2" w14:textId="7A149AE8" w:rsidR="00B01CD4" w:rsidRPr="001C2F17" w:rsidRDefault="000409A4" w:rsidP="00E477A0">
      <w:pPr>
        <w:pStyle w:val="ECHRPara"/>
        <w:rPr>
          <w:rFonts w:ascii="Times New Roman" w:hAnsi="Times New Roman" w:cs="Times New Roman"/>
          <w:lang w:val="sl"/>
        </w:rPr>
      </w:pPr>
      <w:r>
        <w:rPr>
          <w:lang w:val="sl"/>
        </w:rPr>
        <w:fldChar w:fldCharType="begin"/>
      </w:r>
      <w:r>
        <w:rPr>
          <w:lang w:val="sl"/>
        </w:rPr>
        <w:instrText xml:space="preserve"> SEQ level0 \*arabic </w:instrText>
      </w:r>
      <w:r>
        <w:rPr>
          <w:lang w:val="sl"/>
        </w:rPr>
        <w:fldChar w:fldCharType="separate"/>
      </w:r>
      <w:r w:rsidR="003B619B">
        <w:rPr>
          <w:noProof/>
          <w:lang w:val="sl"/>
        </w:rPr>
        <w:t>54</w:t>
      </w:r>
      <w:r>
        <w:rPr>
          <w:lang w:val="sl"/>
        </w:rPr>
        <w:fldChar w:fldCharType="end"/>
      </w:r>
      <w:r>
        <w:rPr>
          <w:lang w:val="sl"/>
        </w:rPr>
        <w:t>.  S tem v zvezi Sodišče ugotavlja, da je za odločanje o pravici pritožnice do nadomestila za invalidnost</w:t>
      </w:r>
      <w:r>
        <w:rPr>
          <w:rFonts w:ascii="Times New Roman" w:hAnsi="Times New Roman"/>
          <w:lang w:val="sl"/>
        </w:rPr>
        <w:t xml:space="preserve"> regionalna enota zavoda pridobila mnenje izvedencev medicinske stroke invalidske komisije I. stopnje, ki so pregledali pritožničino medicinsko dokumentacijo in osebno pregledali pritožnico (glej</w:t>
      </w:r>
      <w:r w:rsidR="00961CDF">
        <w:rPr>
          <w:rFonts w:ascii="Times New Roman" w:hAnsi="Times New Roman"/>
          <w:lang w:val="sl"/>
        </w:rPr>
        <w:t xml:space="preserve"> 8. </w:t>
      </w:r>
      <w:r>
        <w:rPr>
          <w:rFonts w:ascii="Times New Roman" w:hAnsi="Times New Roman"/>
          <w:lang w:val="sl"/>
        </w:rPr>
        <w:t>odstavek). Potem ko se je pritožnica pritožila, so pritožničin medicinski karton pregledali izvedenci medicinske stroke invalidske komisije II. stopnje. Na podlagi njihovih ugotovitev je centrala na sedežu zavoda zavrnila pritožbo pritožnice in tako po</w:t>
      </w:r>
      <w:r w:rsidR="008D6A34">
        <w:rPr>
          <w:rFonts w:ascii="Times New Roman" w:hAnsi="Times New Roman"/>
          <w:lang w:val="sl"/>
        </w:rPr>
        <w:t xml:space="preserve">trdila </w:t>
      </w:r>
      <w:r>
        <w:rPr>
          <w:rFonts w:ascii="Times New Roman" w:hAnsi="Times New Roman"/>
          <w:lang w:val="sl"/>
        </w:rPr>
        <w:t>zavrnitev njenega zahtevka za nadomestilo za invalidnost (glej</w:t>
      </w:r>
      <w:r w:rsidR="008D6A34">
        <w:rPr>
          <w:rFonts w:ascii="Times New Roman" w:hAnsi="Times New Roman"/>
          <w:lang w:val="sl"/>
        </w:rPr>
        <w:t xml:space="preserve"> 10. odstavek</w:t>
      </w:r>
      <w:r>
        <w:rPr>
          <w:rFonts w:ascii="Times New Roman" w:hAnsi="Times New Roman"/>
          <w:lang w:val="sl"/>
        </w:rPr>
        <w:t>).</w:t>
      </w:r>
    </w:p>
    <w:p w14:paraId="31622378" w14:textId="3F4E9406" w:rsidR="00B01CD4" w:rsidRPr="00D76B80" w:rsidRDefault="00B63759" w:rsidP="00E477A0">
      <w:pPr>
        <w:pStyle w:val="ECHRPara"/>
        <w:rPr>
          <w:lang w:val="sl"/>
        </w:rPr>
      </w:pPr>
      <w:r>
        <w:rPr>
          <w:lang w:val="sl"/>
        </w:rPr>
        <w:fldChar w:fldCharType="begin"/>
      </w:r>
      <w:r>
        <w:rPr>
          <w:rFonts w:ascii="Times New Roman" w:hAnsi="Times New Roman"/>
          <w:lang w:val="sl"/>
        </w:rPr>
        <w:instrText xml:space="preserve"> SEQ level0 \*arabic </w:instrText>
      </w:r>
      <w:r>
        <w:rPr>
          <w:lang w:val="sl"/>
        </w:rPr>
        <w:fldChar w:fldCharType="separate"/>
      </w:r>
      <w:r w:rsidR="003B619B">
        <w:rPr>
          <w:rFonts w:ascii="Times New Roman" w:hAnsi="Times New Roman"/>
          <w:noProof/>
          <w:lang w:val="sl"/>
        </w:rPr>
        <w:t>55</w:t>
      </w:r>
      <w:r>
        <w:rPr>
          <w:lang w:val="sl"/>
        </w:rPr>
        <w:fldChar w:fldCharType="end"/>
      </w:r>
      <w:r>
        <w:rPr>
          <w:rFonts w:ascii="Times New Roman" w:hAnsi="Times New Roman"/>
          <w:lang w:val="sl"/>
        </w:rPr>
        <w:t>.  Sodišče v nadalje ugotavlja, da je pritožnica na Delovnem in socialnem sodišču imela</w:t>
      </w:r>
      <w:r>
        <w:rPr>
          <w:lang w:val="sl"/>
        </w:rPr>
        <w:t xml:space="preserve"> možnost izpodbijati relevantne odločitve zavoda.  Vloga </w:t>
      </w:r>
      <w:r>
        <w:rPr>
          <w:rFonts w:ascii="Times New Roman" w:hAnsi="Times New Roman"/>
          <w:lang w:val="sl"/>
        </w:rPr>
        <w:t xml:space="preserve">tega sodišča je bila preveriti, ali sta bili izpodbijani upravni odločbi izdani v postopku v skladu s postopkovnimi pravili ter </w:t>
      </w:r>
      <w:r w:rsidR="00D93918">
        <w:rPr>
          <w:rFonts w:ascii="Times New Roman" w:hAnsi="Times New Roman"/>
          <w:lang w:val="sl"/>
        </w:rPr>
        <w:t xml:space="preserve">sta temeljili </w:t>
      </w:r>
      <w:r>
        <w:rPr>
          <w:rFonts w:ascii="Times New Roman" w:hAnsi="Times New Roman"/>
          <w:lang w:val="sl"/>
        </w:rPr>
        <w:t>na pravilno ugotovljenih dejstvih in pravilni uporabi prava (</w:t>
      </w:r>
      <w:r>
        <w:rPr>
          <w:lang w:val="sl"/>
        </w:rPr>
        <w:t>glej</w:t>
      </w:r>
      <w:r w:rsidR="000C66DC">
        <w:rPr>
          <w:lang w:val="sl"/>
        </w:rPr>
        <w:t xml:space="preserve"> 13. </w:t>
      </w:r>
      <w:r>
        <w:rPr>
          <w:lang w:val="sl"/>
        </w:rPr>
        <w:t>odstavek</w:t>
      </w:r>
      <w:r>
        <w:rPr>
          <w:rFonts w:ascii="Times New Roman" w:hAnsi="Times New Roman"/>
          <w:lang w:val="sl"/>
        </w:rPr>
        <w:t>). Delovno</w:t>
      </w:r>
      <w:r>
        <w:rPr>
          <w:lang w:val="sl"/>
        </w:rPr>
        <w:t xml:space="preserve"> in socialno sodišče je opravilo ustno obravnavo, na kateri je pritožnica imela možnost predstaviti svoje argumente, med drugim v zvezi z</w:t>
      </w:r>
      <w:r w:rsidR="000C66DC">
        <w:rPr>
          <w:lang w:val="sl"/>
        </w:rPr>
        <w:t xml:space="preserve"> ugotovitvami </w:t>
      </w:r>
      <w:r>
        <w:rPr>
          <w:lang w:val="sl"/>
        </w:rPr>
        <w:t>mnenj invalidskih komisij.</w:t>
      </w:r>
    </w:p>
    <w:p w14:paraId="1CF78CA9" w14:textId="6A285F6B" w:rsidR="00B01CD4" w:rsidRPr="001C2F17" w:rsidRDefault="00B14BA8" w:rsidP="00E477A0">
      <w:pPr>
        <w:pStyle w:val="ECHRPara"/>
        <w:rPr>
          <w:snapToGrid w:val="0"/>
          <w:lang w:val="sl"/>
        </w:rPr>
      </w:pPr>
      <w:r>
        <w:rPr>
          <w:lang w:val="sl"/>
        </w:rPr>
        <w:fldChar w:fldCharType="begin"/>
      </w:r>
      <w:r>
        <w:rPr>
          <w:lang w:val="sl"/>
        </w:rPr>
        <w:instrText xml:space="preserve"> SEQ level0 \*arabic </w:instrText>
      </w:r>
      <w:r>
        <w:rPr>
          <w:lang w:val="sl"/>
        </w:rPr>
        <w:fldChar w:fldCharType="separate"/>
      </w:r>
      <w:r w:rsidR="003B619B">
        <w:rPr>
          <w:noProof/>
          <w:lang w:val="sl"/>
        </w:rPr>
        <w:t>56</w:t>
      </w:r>
      <w:r>
        <w:rPr>
          <w:lang w:val="sl"/>
        </w:rPr>
        <w:fldChar w:fldCharType="end"/>
      </w:r>
      <w:r>
        <w:rPr>
          <w:lang w:val="sl"/>
        </w:rPr>
        <w:t xml:space="preserve">.  Glede na to Sodišče ugotavlja, da, čeprav sta mnenji </w:t>
      </w:r>
      <w:r>
        <w:rPr>
          <w:rFonts w:ascii="Times New Roman" w:hAnsi="Times New Roman"/>
          <w:lang w:val="sl"/>
        </w:rPr>
        <w:t>invalidskih komisij pomembno vplivali na izid postopka, kot je Sodišče že prej ugotovilo (glej</w:t>
      </w:r>
      <w:r w:rsidR="00010069">
        <w:rPr>
          <w:rFonts w:ascii="Times New Roman" w:hAnsi="Times New Roman"/>
          <w:lang w:val="sl"/>
        </w:rPr>
        <w:t xml:space="preserve"> 50. </w:t>
      </w:r>
      <w:r>
        <w:rPr>
          <w:rFonts w:ascii="Times New Roman" w:hAnsi="Times New Roman"/>
          <w:lang w:val="sl"/>
        </w:rPr>
        <w:t xml:space="preserve">odstavek), je bila pritožnica z njima seznanjena in ju je imela možnost izpodbijati pisno in na ustni obravnavi pred Delovnim in socialnim sodiščem. Lahko bi </w:t>
      </w:r>
      <w:r w:rsidR="00010069">
        <w:rPr>
          <w:rFonts w:ascii="Times New Roman" w:hAnsi="Times New Roman"/>
          <w:lang w:val="sl"/>
        </w:rPr>
        <w:t xml:space="preserve">podala </w:t>
      </w:r>
      <w:r>
        <w:rPr>
          <w:rFonts w:ascii="Times New Roman" w:hAnsi="Times New Roman"/>
          <w:lang w:val="sl"/>
        </w:rPr>
        <w:t xml:space="preserve">konkretne ugovore glede objektivnosti invalidskih komisij in njunih ugotovitev ter svoje stališče podprla s predložitvijo </w:t>
      </w:r>
      <w:r>
        <w:rPr>
          <w:snapToGrid w:val="0"/>
          <w:lang w:val="sl"/>
        </w:rPr>
        <w:t xml:space="preserve">mnenja svojega osebnega zdravnika (glej nasprotno </w:t>
      </w:r>
      <w:r>
        <w:rPr>
          <w:i/>
          <w:iCs/>
          <w:snapToGrid w:val="0"/>
          <w:lang w:val="sl"/>
        </w:rPr>
        <w:t>Korošec,</w:t>
      </w:r>
      <w:r>
        <w:rPr>
          <w:snapToGrid w:val="0"/>
          <w:lang w:val="sl"/>
        </w:rPr>
        <w:t xml:space="preserve"> citirano zgoraj, 8. odstavek)</w:t>
      </w:r>
      <w:r>
        <w:rPr>
          <w:rFonts w:ascii="Times New Roman" w:hAnsi="Times New Roman"/>
          <w:szCs w:val="24"/>
          <w:lang w:val="sl"/>
        </w:rPr>
        <w:t xml:space="preserve"> ali drugega lečečega zdravnika – ali kateri koli drug dokaz </w:t>
      </w:r>
      <w:r w:rsidR="004A213D">
        <w:rPr>
          <w:rFonts w:ascii="Times New Roman" w:hAnsi="Times New Roman"/>
          <w:szCs w:val="24"/>
          <w:lang w:val="sl"/>
        </w:rPr>
        <w:t xml:space="preserve">za to </w:t>
      </w:r>
      <w:r>
        <w:rPr>
          <w:rFonts w:ascii="Times New Roman" w:hAnsi="Times New Roman"/>
          <w:szCs w:val="24"/>
          <w:lang w:val="sl"/>
        </w:rPr>
        <w:t>(glej</w:t>
      </w:r>
      <w:r w:rsidR="004A213D">
        <w:rPr>
          <w:rFonts w:ascii="Times New Roman" w:hAnsi="Times New Roman"/>
          <w:szCs w:val="24"/>
          <w:lang w:val="sl"/>
        </w:rPr>
        <w:t xml:space="preserve"> 12. </w:t>
      </w:r>
      <w:r w:rsidR="00152735">
        <w:rPr>
          <w:rFonts w:ascii="Times New Roman" w:hAnsi="Times New Roman"/>
          <w:szCs w:val="24"/>
          <w:lang w:val="sl"/>
        </w:rPr>
        <w:t>o</w:t>
      </w:r>
      <w:r w:rsidR="004A213D">
        <w:rPr>
          <w:rFonts w:ascii="Times New Roman" w:hAnsi="Times New Roman"/>
          <w:szCs w:val="24"/>
          <w:lang w:val="sl"/>
        </w:rPr>
        <w:t>dstavek</w:t>
      </w:r>
      <w:r w:rsidR="00152735">
        <w:rPr>
          <w:rFonts w:ascii="Times New Roman" w:hAnsi="Times New Roman"/>
          <w:szCs w:val="24"/>
          <w:lang w:val="sl"/>
        </w:rPr>
        <w:t>).</w:t>
      </w:r>
    </w:p>
    <w:bookmarkStart w:id="44" w:name="ECHRnodoubtastocommissionsfinidngs"/>
    <w:p w14:paraId="5FDBEF9B" w14:textId="7F4794D1" w:rsidR="00390A4C" w:rsidRPr="00127639" w:rsidRDefault="006541A4" w:rsidP="00E477A0">
      <w:pPr>
        <w:pStyle w:val="ECHRPara"/>
        <w:rPr>
          <w:snapToGrid w:val="0"/>
          <w:lang w:val="sl"/>
        </w:rPr>
      </w:pPr>
      <w:r>
        <w:rPr>
          <w:snapToGrid w:val="0"/>
          <w:lang w:val="sl"/>
        </w:rPr>
        <w:lastRenderedPageBreak/>
        <w:fldChar w:fldCharType="begin"/>
      </w:r>
      <w:r>
        <w:rPr>
          <w:snapToGrid w:val="0"/>
          <w:lang w:val="sl"/>
        </w:rPr>
        <w:instrText xml:space="preserve"> SEQ level0 \*arabic </w:instrText>
      </w:r>
      <w:r>
        <w:rPr>
          <w:snapToGrid w:val="0"/>
          <w:lang w:val="sl"/>
        </w:rPr>
        <w:fldChar w:fldCharType="separate"/>
      </w:r>
      <w:r w:rsidR="003B619B">
        <w:rPr>
          <w:noProof/>
          <w:snapToGrid w:val="0"/>
          <w:lang w:val="sl"/>
        </w:rPr>
        <w:t>57</w:t>
      </w:r>
      <w:r>
        <w:rPr>
          <w:snapToGrid w:val="0"/>
          <w:lang w:val="sl"/>
        </w:rPr>
        <w:fldChar w:fldCharType="end"/>
      </w:r>
      <w:bookmarkEnd w:id="44"/>
      <w:r>
        <w:rPr>
          <w:snapToGrid w:val="0"/>
          <w:lang w:val="sl"/>
        </w:rPr>
        <w:t>.  </w:t>
      </w:r>
      <w:r w:rsidR="00DF7943">
        <w:rPr>
          <w:snapToGrid w:val="0"/>
          <w:lang w:val="sl"/>
        </w:rPr>
        <w:t>Kakorkoli, p</w:t>
      </w:r>
      <w:r>
        <w:rPr>
          <w:snapToGrid w:val="0"/>
          <w:lang w:val="sl"/>
        </w:rPr>
        <w:t xml:space="preserve">ritožnica ni </w:t>
      </w:r>
      <w:r w:rsidR="00BC5860">
        <w:rPr>
          <w:snapToGrid w:val="0"/>
          <w:lang w:val="sl"/>
        </w:rPr>
        <w:t xml:space="preserve">podala </w:t>
      </w:r>
      <w:r>
        <w:rPr>
          <w:rFonts w:ascii="Times New Roman" w:hAnsi="Times New Roman"/>
          <w:snapToGrid w:val="0"/>
          <w:lang w:val="sl"/>
        </w:rPr>
        <w:t>nobenega argumenta, s katerim bi podvomil</w:t>
      </w:r>
      <w:r w:rsidR="007A4754">
        <w:rPr>
          <w:rFonts w:ascii="Times New Roman" w:hAnsi="Times New Roman"/>
          <w:snapToGrid w:val="0"/>
          <w:lang w:val="sl"/>
        </w:rPr>
        <w:t>i</w:t>
      </w:r>
      <w:r>
        <w:rPr>
          <w:rFonts w:ascii="Times New Roman" w:hAnsi="Times New Roman"/>
          <w:snapToGrid w:val="0"/>
          <w:lang w:val="sl"/>
        </w:rPr>
        <w:t xml:space="preserve"> v ugotovitve </w:t>
      </w:r>
      <w:r>
        <w:rPr>
          <w:lang w:val="sl"/>
        </w:rPr>
        <w:t>invalidskih</w:t>
      </w:r>
      <w:r>
        <w:rPr>
          <w:rFonts w:ascii="Times New Roman" w:hAnsi="Times New Roman"/>
          <w:lang w:val="sl"/>
        </w:rPr>
        <w:t xml:space="preserve"> komisij, ampak jih je samo prerekala. </w:t>
      </w:r>
      <w:r>
        <w:rPr>
          <w:snapToGrid w:val="0"/>
          <w:lang w:val="sl"/>
        </w:rPr>
        <w:t>Pritožnica</w:t>
      </w:r>
      <w:r>
        <w:rPr>
          <w:rFonts w:ascii="Times New Roman" w:hAnsi="Times New Roman"/>
          <w:snapToGrid w:val="0"/>
          <w:lang w:val="sl"/>
        </w:rPr>
        <w:t xml:space="preserve"> tako ni v najmanjši potrebni meri utemeljila svojega predloga za postavitev neodvisnega izvedenca</w:t>
      </w:r>
      <w:r>
        <w:rPr>
          <w:snapToGrid w:val="0"/>
          <w:lang w:val="sl"/>
        </w:rPr>
        <w:t>. V tem smislu se obravnavana zadeva razlikuje od zadeve, v kateri je pred kratkim razsodilo slovensko Ustavno sodišče in je bil predlog za postavitev neodvisnega izvedenca utemeljen z medicinsko dokumentacijo in mnenjem pritožnikovega zdravnika (glej</w:t>
      </w:r>
      <w:r w:rsidR="007A4754">
        <w:rPr>
          <w:snapToGrid w:val="0"/>
          <w:lang w:val="sl"/>
        </w:rPr>
        <w:t xml:space="preserve"> 33. in 34. </w:t>
      </w:r>
      <w:r>
        <w:rPr>
          <w:snapToGrid w:val="0"/>
          <w:lang w:val="sl"/>
        </w:rPr>
        <w:t>odstavek).</w:t>
      </w:r>
      <w:r>
        <w:rPr>
          <w:lang w:val="sl"/>
        </w:rPr>
        <w:t xml:space="preserve">  </w:t>
      </w:r>
    </w:p>
    <w:p w14:paraId="138400B4" w14:textId="43DEC2B5" w:rsidR="00B01CD4" w:rsidRPr="001C2F17" w:rsidRDefault="005B3799" w:rsidP="00E477A0">
      <w:pPr>
        <w:pStyle w:val="ECHRPara"/>
        <w:rPr>
          <w:rFonts w:ascii="Times New Roman" w:hAnsi="Times New Roman" w:cs="Times New Roman"/>
          <w:snapToGrid w:val="0"/>
          <w:lang w:val="sl"/>
        </w:rPr>
      </w:pPr>
      <w:r>
        <w:rPr>
          <w:snapToGrid w:val="0"/>
          <w:lang w:val="sl"/>
        </w:rPr>
        <w:fldChar w:fldCharType="begin"/>
      </w:r>
      <w:r>
        <w:rPr>
          <w:rFonts w:ascii="Times New Roman" w:hAnsi="Times New Roman"/>
          <w:snapToGrid w:val="0"/>
          <w:lang w:val="sl"/>
        </w:rPr>
        <w:instrText xml:space="preserve"> SEQ level0 \*arabic </w:instrText>
      </w:r>
      <w:r>
        <w:rPr>
          <w:snapToGrid w:val="0"/>
          <w:lang w:val="sl"/>
        </w:rPr>
        <w:fldChar w:fldCharType="separate"/>
      </w:r>
      <w:r w:rsidR="003B619B">
        <w:rPr>
          <w:rFonts w:ascii="Times New Roman" w:hAnsi="Times New Roman"/>
          <w:noProof/>
          <w:snapToGrid w:val="0"/>
          <w:lang w:val="sl"/>
        </w:rPr>
        <w:t>58</w:t>
      </w:r>
      <w:r>
        <w:rPr>
          <w:snapToGrid w:val="0"/>
          <w:lang w:val="sl"/>
        </w:rPr>
        <w:fldChar w:fldCharType="end"/>
      </w:r>
      <w:r>
        <w:rPr>
          <w:rFonts w:ascii="Times New Roman" w:hAnsi="Times New Roman"/>
          <w:snapToGrid w:val="0"/>
          <w:lang w:val="sl"/>
        </w:rPr>
        <w:t xml:space="preserve">.  Ob upoštevanju zgornjega zaključka, da pritožnica ni </w:t>
      </w:r>
      <w:r w:rsidR="001D33D9">
        <w:rPr>
          <w:rFonts w:ascii="Times New Roman" w:hAnsi="Times New Roman"/>
          <w:snapToGrid w:val="0"/>
          <w:lang w:val="sl"/>
        </w:rPr>
        <w:t xml:space="preserve">navedla </w:t>
      </w:r>
      <w:r>
        <w:rPr>
          <w:rFonts w:ascii="Times New Roman" w:hAnsi="Times New Roman"/>
          <w:snapToGrid w:val="0"/>
          <w:lang w:val="sl"/>
        </w:rPr>
        <w:t>nobenih konkretnih argumentov, s katerimi bi zbudila dvom o potrebni objektivnosti invalidskih komisij ali pravilnosti njunih ugotovitev (glej</w:t>
      </w:r>
      <w:r w:rsidR="001D33D9">
        <w:rPr>
          <w:rFonts w:ascii="Times New Roman" w:hAnsi="Times New Roman"/>
          <w:snapToGrid w:val="0"/>
          <w:lang w:val="sl"/>
        </w:rPr>
        <w:t xml:space="preserve"> 51. in 57. </w:t>
      </w:r>
      <w:r>
        <w:rPr>
          <w:rFonts w:ascii="Times New Roman" w:hAnsi="Times New Roman"/>
          <w:snapToGrid w:val="0"/>
          <w:lang w:val="sl"/>
        </w:rPr>
        <w:t xml:space="preserve">odstavek), in glede na to, da pritožnica ni zatrjevala nobenih drugih pomanjkljivosti (kot </w:t>
      </w:r>
      <w:r w:rsidR="001D33D9">
        <w:rPr>
          <w:rFonts w:ascii="Times New Roman" w:hAnsi="Times New Roman"/>
          <w:snapToGrid w:val="0"/>
          <w:lang w:val="sl"/>
        </w:rPr>
        <w:t xml:space="preserve">na primer </w:t>
      </w:r>
      <w:r>
        <w:rPr>
          <w:rFonts w:ascii="Times New Roman" w:hAnsi="Times New Roman"/>
          <w:snapToGrid w:val="0"/>
          <w:lang w:val="sl"/>
        </w:rPr>
        <w:t xml:space="preserve">pomanjkanje učinkovitega sodelovanja v postopku pred invalidskima komisijama; glej nasprotno </w:t>
      </w:r>
      <w:r>
        <w:rPr>
          <w:rFonts w:ascii="Times New Roman" w:hAnsi="Times New Roman"/>
          <w:i/>
          <w:iCs/>
          <w:lang w:val="sl"/>
        </w:rPr>
        <w:t>Letinčić</w:t>
      </w:r>
      <w:r>
        <w:rPr>
          <w:rFonts w:ascii="Times New Roman" w:hAnsi="Times New Roman"/>
          <w:lang w:val="sl"/>
        </w:rPr>
        <w:t>, citirano zgoraj, 65.–67. odstavek),</w:t>
      </w:r>
      <w:r>
        <w:rPr>
          <w:rFonts w:ascii="Times New Roman" w:hAnsi="Times New Roman"/>
          <w:snapToGrid w:val="0"/>
          <w:lang w:val="sl"/>
        </w:rPr>
        <w:t xml:space="preserve"> </w:t>
      </w:r>
      <w:r>
        <w:rPr>
          <w:lang w:val="sl"/>
        </w:rPr>
        <w:t>postopek kot celota torej</w:t>
      </w:r>
      <w:r>
        <w:rPr>
          <w:rFonts w:ascii="Times New Roman" w:hAnsi="Times New Roman"/>
          <w:snapToGrid w:val="0"/>
          <w:lang w:val="sl"/>
        </w:rPr>
        <w:t xml:space="preserve"> ni bil v nasprotju z zahtevami poštenega sojenja.</w:t>
      </w:r>
    </w:p>
    <w:p w14:paraId="4A1BA260" w14:textId="62857092" w:rsidR="00A86B87" w:rsidRPr="00D76B80" w:rsidRDefault="00830FB5" w:rsidP="00E477A0">
      <w:pPr>
        <w:pStyle w:val="ECHRPara"/>
        <w:rPr>
          <w:rFonts w:ascii="Times New Roman" w:hAnsi="Times New Roman" w:cs="Times New Roman"/>
          <w:lang w:val="sl"/>
        </w:rPr>
      </w:pPr>
      <w:r>
        <w:rPr>
          <w:rFonts w:ascii="Times New Roman" w:hAnsi="Times New Roman" w:cs="Times New Roman"/>
          <w:snapToGrid w:val="0"/>
          <w:lang w:val="sl"/>
        </w:rPr>
        <w:fldChar w:fldCharType="begin"/>
      </w:r>
      <w:r>
        <w:rPr>
          <w:rFonts w:ascii="Times New Roman" w:hAnsi="Times New Roman" w:cs="Times New Roman"/>
          <w:snapToGrid w:val="0"/>
          <w:lang w:val="sl"/>
        </w:rPr>
        <w:instrText xml:space="preserve"> SEQ level0 \*arabic </w:instrText>
      </w:r>
      <w:r>
        <w:rPr>
          <w:rFonts w:ascii="Times New Roman" w:hAnsi="Times New Roman" w:cs="Times New Roman"/>
          <w:snapToGrid w:val="0"/>
          <w:lang w:val="sl"/>
        </w:rPr>
        <w:fldChar w:fldCharType="separate"/>
      </w:r>
      <w:r w:rsidR="003B619B">
        <w:rPr>
          <w:rFonts w:ascii="Times New Roman" w:hAnsi="Times New Roman" w:cs="Times New Roman"/>
          <w:noProof/>
          <w:snapToGrid w:val="0"/>
          <w:lang w:val="sl"/>
        </w:rPr>
        <w:t>59</w:t>
      </w:r>
      <w:r>
        <w:rPr>
          <w:rFonts w:ascii="Times New Roman" w:hAnsi="Times New Roman" w:cs="Times New Roman"/>
          <w:snapToGrid w:val="0"/>
          <w:lang w:val="sl"/>
        </w:rPr>
        <w:fldChar w:fldCharType="end"/>
      </w:r>
      <w:r>
        <w:rPr>
          <w:rFonts w:ascii="Times New Roman" w:hAnsi="Times New Roman" w:cs="Times New Roman"/>
          <w:snapToGrid w:val="0"/>
          <w:lang w:val="sl"/>
        </w:rPr>
        <w:t>.  </w:t>
      </w:r>
      <w:r>
        <w:rPr>
          <w:rFonts w:ascii="Times New Roman" w:hAnsi="Times New Roman" w:cs="Times New Roman"/>
          <w:lang w:val="sl"/>
        </w:rPr>
        <w:t>Torej ni bil kršen prvi odstavek 6. člena konvencije.</w:t>
      </w:r>
    </w:p>
    <w:p w14:paraId="2131246E" w14:textId="77777777" w:rsidR="00A25EDD" w:rsidRPr="00D76B80" w:rsidRDefault="00A25EDD" w:rsidP="00E477A0">
      <w:pPr>
        <w:pStyle w:val="ECHRTitle1"/>
        <w:rPr>
          <w:lang w:val="sl"/>
        </w:rPr>
      </w:pPr>
      <w:r>
        <w:rPr>
          <w:lang w:val="sl"/>
        </w:rPr>
        <w:t>IZ TEH RAZLOGOV SODIŠČE</w:t>
      </w:r>
    </w:p>
    <w:p w14:paraId="754F447C" w14:textId="77777777" w:rsidR="00A86B87" w:rsidRPr="00D76B80" w:rsidRDefault="00A86B87" w:rsidP="00E477A0">
      <w:pPr>
        <w:pStyle w:val="JuList"/>
        <w:rPr>
          <w:rFonts w:ascii="Times New Roman" w:hAnsi="Times New Roman" w:cs="Times New Roman"/>
          <w:lang w:val="sl"/>
        </w:rPr>
      </w:pPr>
      <w:r>
        <w:rPr>
          <w:rFonts w:ascii="Times New Roman" w:hAnsi="Times New Roman" w:cs="Times New Roman"/>
          <w:lang w:val="sl"/>
        </w:rPr>
        <w:t xml:space="preserve">1.  soglasno </w:t>
      </w:r>
      <w:r>
        <w:rPr>
          <w:rFonts w:ascii="Times New Roman" w:hAnsi="Times New Roman" w:cs="Times New Roman"/>
          <w:i/>
          <w:iCs/>
          <w:lang w:val="sl"/>
        </w:rPr>
        <w:t>razglaša</w:t>
      </w:r>
      <w:r>
        <w:rPr>
          <w:rFonts w:ascii="Times New Roman" w:hAnsi="Times New Roman" w:cs="Times New Roman"/>
          <w:lang w:val="sl"/>
        </w:rPr>
        <w:t>,</w:t>
      </w:r>
      <w:r>
        <w:rPr>
          <w:lang w:val="sl"/>
        </w:rPr>
        <w:t xml:space="preserve"> da je pritožba sprejemljiva;</w:t>
      </w:r>
    </w:p>
    <w:p w14:paraId="7D032F8C" w14:textId="77777777" w:rsidR="00A86B87" w:rsidRPr="00D76B80" w:rsidRDefault="00A86B87" w:rsidP="00E477A0">
      <w:pPr>
        <w:pStyle w:val="JuList"/>
        <w:ind w:left="0" w:firstLine="0"/>
        <w:rPr>
          <w:rFonts w:ascii="Times New Roman" w:hAnsi="Times New Roman" w:cs="Times New Roman"/>
          <w:lang w:val="sl"/>
        </w:rPr>
      </w:pPr>
    </w:p>
    <w:p w14:paraId="7E43FA47" w14:textId="77777777" w:rsidR="00A86B87" w:rsidRPr="00D76B80" w:rsidRDefault="00A86B87" w:rsidP="00E477A0">
      <w:pPr>
        <w:pStyle w:val="JuList"/>
        <w:rPr>
          <w:rFonts w:ascii="Times New Roman" w:hAnsi="Times New Roman" w:cs="Times New Roman"/>
          <w:lang w:val="sl"/>
        </w:rPr>
      </w:pPr>
      <w:r>
        <w:rPr>
          <w:rFonts w:ascii="Times New Roman" w:hAnsi="Times New Roman"/>
          <w:lang w:val="sl"/>
        </w:rPr>
        <w:t>2.  </w:t>
      </w:r>
      <w:r>
        <w:rPr>
          <w:rFonts w:ascii="Times New Roman" w:hAnsi="Times New Roman"/>
          <w:i/>
          <w:iCs/>
          <w:lang w:val="sl"/>
        </w:rPr>
        <w:t>razsoja</w:t>
      </w:r>
      <w:r>
        <w:rPr>
          <w:rFonts w:ascii="Times New Roman" w:hAnsi="Times New Roman"/>
          <w:lang w:val="sl"/>
        </w:rPr>
        <w:t xml:space="preserve"> s šestimi glasovi proti enemu, da ni bil kršen prvi odstavek 6. člena konvencije.</w:t>
      </w:r>
    </w:p>
    <w:p w14:paraId="10E56FB4" w14:textId="77777777" w:rsidR="00014566" w:rsidRPr="00D76B80" w:rsidRDefault="00014566" w:rsidP="00E477A0">
      <w:pPr>
        <w:pStyle w:val="JuList"/>
        <w:ind w:left="0" w:firstLine="0"/>
        <w:rPr>
          <w:u w:val="single"/>
          <w:lang w:val="sl"/>
        </w:rPr>
      </w:pPr>
    </w:p>
    <w:p w14:paraId="4CFB143F" w14:textId="77777777" w:rsidR="00014566" w:rsidRPr="00D76B80" w:rsidRDefault="00014566" w:rsidP="004C7116">
      <w:pPr>
        <w:pStyle w:val="JuParaLast"/>
        <w:ind w:left="284" w:firstLine="0"/>
        <w:rPr>
          <w:lang w:val="sl"/>
        </w:rPr>
      </w:pPr>
      <w:r>
        <w:rPr>
          <w:lang w:val="sl"/>
        </w:rPr>
        <w:t>Sestavljeno v angleškem jeziku in 22. maja 2018 poslano v skladu z drugim in tretjim odstavkom 77. člena Poslovnika Sodišča.</w:t>
      </w:r>
    </w:p>
    <w:p w14:paraId="57449624" w14:textId="77777777" w:rsidR="004D15F3" w:rsidRPr="00D76B80" w:rsidRDefault="00014566" w:rsidP="00E477A0">
      <w:pPr>
        <w:pStyle w:val="JuSigned"/>
        <w:rPr>
          <w:lang w:val="it-IT"/>
        </w:rPr>
      </w:pPr>
      <w:r>
        <w:rPr>
          <w:lang w:val="sl"/>
        </w:rPr>
        <w:tab/>
        <w:t>Marialena Tsirli</w:t>
      </w:r>
      <w:r>
        <w:rPr>
          <w:lang w:val="sl"/>
        </w:rPr>
        <w:tab/>
      </w:r>
      <w:r>
        <w:rPr>
          <w:szCs w:val="24"/>
          <w:lang w:val="sl"/>
        </w:rPr>
        <w:t>Ganna Yudkivska</w:t>
      </w:r>
      <w:r>
        <w:rPr>
          <w:szCs w:val="24"/>
          <w:lang w:val="sl"/>
        </w:rPr>
        <w:br/>
      </w:r>
      <w:r>
        <w:rPr>
          <w:lang w:val="sl"/>
        </w:rPr>
        <w:tab/>
        <w:t>sodna tajnica</w:t>
      </w:r>
      <w:r>
        <w:rPr>
          <w:lang w:val="sl"/>
        </w:rPr>
        <w:tab/>
        <w:t>predsednica</w:t>
      </w:r>
    </w:p>
    <w:p w14:paraId="041DB22A" w14:textId="77777777" w:rsidR="00C16B86" w:rsidRDefault="00C16B86" w:rsidP="004C7116">
      <w:pPr>
        <w:pStyle w:val="JuParaLast"/>
        <w:ind w:left="284" w:firstLine="0"/>
        <w:rPr>
          <w:lang w:val="sl"/>
        </w:rPr>
      </w:pPr>
    </w:p>
    <w:p w14:paraId="3C08E217" w14:textId="3A3AFD8C" w:rsidR="004771CA" w:rsidRPr="00C16B86" w:rsidRDefault="004771CA" w:rsidP="004C7116">
      <w:pPr>
        <w:pStyle w:val="JuParaLast"/>
        <w:ind w:left="284" w:firstLine="0"/>
        <w:rPr>
          <w:lang w:val="sl"/>
        </w:rPr>
      </w:pPr>
      <w:r>
        <w:rPr>
          <w:lang w:val="sl"/>
        </w:rPr>
        <w:t>V skladu z drugim odstavkom 45. člena konvencije in drugim odstavkom 74. člena Poslovnika Sodišča sta tej sodbi priloženi naslednji ločeni mnenji:</w:t>
      </w:r>
    </w:p>
    <w:p w14:paraId="3BD6594F" w14:textId="77777777" w:rsidR="004771CA" w:rsidRPr="00D76B80" w:rsidRDefault="004771CA" w:rsidP="00E477A0">
      <w:pPr>
        <w:pStyle w:val="ECHRPara"/>
        <w:rPr>
          <w:lang w:val="it-IT"/>
        </w:rPr>
      </w:pPr>
      <w:r>
        <w:rPr>
          <w:lang w:val="sl"/>
        </w:rPr>
        <w:t>(a) pritrdilno ločeno mnenje sodnika De Gaetana;</w:t>
      </w:r>
    </w:p>
    <w:p w14:paraId="55C48762" w14:textId="77777777" w:rsidR="00C16B86" w:rsidRDefault="004771CA" w:rsidP="00C16B86">
      <w:pPr>
        <w:pStyle w:val="ECHRPara"/>
        <w:rPr>
          <w:lang w:val="sl"/>
        </w:rPr>
      </w:pPr>
      <w:r>
        <w:rPr>
          <w:lang w:val="sl"/>
        </w:rPr>
        <w:t>(b) odklonilno ločeno mnenje sodnika Pinta de Albuquerqueja.</w:t>
      </w:r>
    </w:p>
    <w:p w14:paraId="3C9C8EF0" w14:textId="266D9A48" w:rsidR="004771CA" w:rsidRPr="00C16B86" w:rsidRDefault="004771CA" w:rsidP="00C16B86">
      <w:pPr>
        <w:pStyle w:val="ECHRPara"/>
        <w:ind w:left="6480" w:firstLine="0"/>
        <w:rPr>
          <w:lang w:val="sl"/>
        </w:rPr>
      </w:pPr>
      <w:r>
        <w:rPr>
          <w:lang w:val="sl"/>
        </w:rPr>
        <w:t>G. Y.</w:t>
      </w:r>
      <w:r>
        <w:rPr>
          <w:lang w:val="sl"/>
        </w:rPr>
        <w:br/>
        <w:t>M. T.</w:t>
      </w:r>
    </w:p>
    <w:p w14:paraId="58AB280D" w14:textId="77777777" w:rsidR="00980AEA" w:rsidRPr="00C16B86" w:rsidRDefault="00980AEA" w:rsidP="00E477A0">
      <w:pPr>
        <w:pStyle w:val="JuInitialled"/>
        <w:rPr>
          <w:lang w:val="sl"/>
        </w:rPr>
        <w:sectPr w:rsidR="00980AEA" w:rsidRPr="00C16B86" w:rsidSect="00B01CD4">
          <w:headerReference w:type="even" r:id="rId14"/>
          <w:headerReference w:type="default" r:id="rId15"/>
          <w:footnotePr>
            <w:numRestart w:val="eachSect"/>
          </w:footnotePr>
          <w:pgSz w:w="11906" w:h="16838" w:code="9"/>
          <w:pgMar w:top="2274" w:right="2274" w:bottom="2274" w:left="2274" w:header="1701" w:footer="720" w:gutter="0"/>
          <w:pgNumType w:start="1"/>
          <w:cols w:space="720"/>
          <w:docGrid w:linePitch="326"/>
        </w:sectPr>
      </w:pPr>
    </w:p>
    <w:p w14:paraId="20A8C509" w14:textId="77777777" w:rsidR="00F9551E" w:rsidRDefault="00980AEA" w:rsidP="00F9551E">
      <w:pPr>
        <w:pStyle w:val="ECHRTitleCentre1"/>
        <w:rPr>
          <w:szCs w:val="28"/>
          <w:lang w:val="sl"/>
        </w:rPr>
      </w:pPr>
      <w:r w:rsidRPr="00F9551E">
        <w:rPr>
          <w:szCs w:val="28"/>
          <w:lang w:val="sl"/>
        </w:rPr>
        <w:lastRenderedPageBreak/>
        <w:t>PRITRDILNO L</w:t>
      </w:r>
      <w:r w:rsidR="00C16B86" w:rsidRPr="00F9551E">
        <w:rPr>
          <w:szCs w:val="28"/>
          <w:lang w:val="sl"/>
        </w:rPr>
        <w:t xml:space="preserve">OČENO MNENJE </w:t>
      </w:r>
    </w:p>
    <w:p w14:paraId="392C5563" w14:textId="2E9B8E24" w:rsidR="00980AEA" w:rsidRPr="00F9551E" w:rsidRDefault="00C16B86" w:rsidP="00F9551E">
      <w:pPr>
        <w:pStyle w:val="ECHRTitleCentre1"/>
        <w:rPr>
          <w:szCs w:val="28"/>
          <w:lang w:val="sl"/>
        </w:rPr>
      </w:pPr>
      <w:r w:rsidRPr="00F9551E">
        <w:rPr>
          <w:szCs w:val="28"/>
          <w:lang w:val="sl"/>
        </w:rPr>
        <w:t>SODNIKA DE GAETANA</w:t>
      </w:r>
    </w:p>
    <w:p w14:paraId="74D4888F" w14:textId="77777777" w:rsidR="00980AEA" w:rsidRPr="00F9551E" w:rsidRDefault="00980AEA" w:rsidP="00E477A0">
      <w:pPr>
        <w:pStyle w:val="OpiPara"/>
        <w:rPr>
          <w:rFonts w:eastAsia="Times New Roman"/>
          <w:lang w:val="sl"/>
        </w:rPr>
      </w:pPr>
      <w:r>
        <w:rPr>
          <w:rFonts w:eastAsia="Times New Roman"/>
          <w:lang w:val="sl"/>
        </w:rPr>
        <w:t xml:space="preserve">1.  Čeprav se strinjam, da v tej zadevi ni bil kršen prvi odstavek 6. člena konvencije, menim, da ni bilo najpomembnejše vprašanje, ki ga je bilo treba obravnavati, "ali je bil postopek kot celota pošten" – izraz, ki ga je mogoče razlagati zelo različno, odvisno pač od prefinjenosti ali drugih značilnosti zadevnega pravnega sistema (glej </w:t>
      </w:r>
      <w:r>
        <w:rPr>
          <w:rFonts w:eastAsia="Times New Roman"/>
          <w:i/>
          <w:iCs/>
          <w:lang w:val="sl"/>
        </w:rPr>
        <w:t>passim</w:t>
      </w:r>
      <w:r>
        <w:rPr>
          <w:rFonts w:eastAsia="Times New Roman"/>
          <w:lang w:val="sl"/>
        </w:rPr>
        <w:t xml:space="preserve">, sicer kazenski postopek, </w:t>
      </w:r>
      <w:r>
        <w:rPr>
          <w:rFonts w:eastAsia="Times New Roman"/>
          <w:i/>
          <w:iCs/>
          <w:lang w:val="sl"/>
        </w:rPr>
        <w:t xml:space="preserve">Al-Khawaja in Tahery proti Združenemu kraljestvu </w:t>
      </w:r>
      <w:r>
        <w:rPr>
          <w:rFonts w:eastAsia="Times New Roman"/>
          <w:lang w:val="sl"/>
        </w:rPr>
        <w:t xml:space="preserve">[VS], št. 26766/05 in 22228/06, 15. december 2011; glej tudi skupno odklonilno ločeno mnenje v zadevi </w:t>
      </w:r>
      <w:r>
        <w:rPr>
          <w:rFonts w:eastAsia="Times New Roman"/>
          <w:i/>
          <w:iCs/>
          <w:lang w:val="sl"/>
        </w:rPr>
        <w:t>Scholer proti Nemčiji, št</w:t>
      </w:r>
      <w:r>
        <w:rPr>
          <w:rFonts w:eastAsia="Times New Roman"/>
          <w:lang w:val="sl"/>
        </w:rPr>
        <w:t xml:space="preserve">. 14212/10, 18. december 2014) – temveč osnovno vprašanje o vlogi izvedenskih dokazov pri ugotavljanju poštenosti postopka kot celote. </w:t>
      </w:r>
    </w:p>
    <w:p w14:paraId="1887CEBD" w14:textId="25C6DFB7" w:rsidR="00980AEA" w:rsidRPr="00D76B80" w:rsidRDefault="00980AEA" w:rsidP="00E477A0">
      <w:pPr>
        <w:pStyle w:val="OpiPara"/>
        <w:rPr>
          <w:rFonts w:eastAsia="Times New Roman"/>
          <w:lang w:val="sl"/>
        </w:rPr>
      </w:pPr>
      <w:r>
        <w:rPr>
          <w:rFonts w:eastAsia="Times New Roman"/>
          <w:lang w:val="sl"/>
        </w:rPr>
        <w:t xml:space="preserve">2.  Odločitev v zadevi </w:t>
      </w:r>
      <w:r>
        <w:rPr>
          <w:rFonts w:eastAsia="Times New Roman"/>
          <w:i/>
          <w:iCs/>
          <w:lang w:val="sl"/>
        </w:rPr>
        <w:t>Letinčić</w:t>
      </w:r>
      <w:r>
        <w:rPr>
          <w:rFonts w:eastAsia="Times New Roman"/>
          <w:lang w:val="sl"/>
        </w:rPr>
        <w:t xml:space="preserve">, ki je v tej sodbi sicer </w:t>
      </w:r>
      <w:r w:rsidR="00E5443E">
        <w:rPr>
          <w:rFonts w:eastAsia="Times New Roman"/>
          <w:lang w:val="sl"/>
        </w:rPr>
        <w:t xml:space="preserve">obsežno </w:t>
      </w:r>
      <w:r>
        <w:rPr>
          <w:rFonts w:eastAsia="Times New Roman"/>
          <w:lang w:val="sl"/>
        </w:rPr>
        <w:t xml:space="preserve">citirana, tu ne more biti v veliko pomoč. V zadevi </w:t>
      </w:r>
      <w:r>
        <w:rPr>
          <w:rFonts w:eastAsia="Times New Roman"/>
          <w:i/>
          <w:iCs/>
          <w:lang w:val="sl"/>
        </w:rPr>
        <w:t>Letinčić</w:t>
      </w:r>
      <w:r>
        <w:rPr>
          <w:rFonts w:eastAsia="Times New Roman"/>
          <w:lang w:val="sl"/>
        </w:rPr>
        <w:t xml:space="preserve"> je Sodišče ugotovilo kršitev prvega odstavka 6. člena zaradi številnih postopkovnih pomanjkljivosti tako v upravnem postopku kot v postopku pred upravnim sodiščem. </w:t>
      </w:r>
      <w:r w:rsidR="00E5443E">
        <w:rPr>
          <w:rFonts w:eastAsia="Times New Roman"/>
          <w:lang w:val="sl"/>
        </w:rPr>
        <w:t>Nasprotno pa v</w:t>
      </w:r>
      <w:r>
        <w:rPr>
          <w:rFonts w:eastAsia="Times New Roman"/>
          <w:lang w:val="sl"/>
        </w:rPr>
        <w:t xml:space="preserve"> predmetni zadevi postopkovne pomanjkljivosti niso bile zatrjevane </w:t>
      </w:r>
      <w:r w:rsidR="002366A2">
        <w:rPr>
          <w:rFonts w:eastAsia="Times New Roman"/>
          <w:lang w:val="sl"/>
        </w:rPr>
        <w:t xml:space="preserve">niti </w:t>
      </w:r>
      <w:r>
        <w:rPr>
          <w:rFonts w:eastAsia="Times New Roman"/>
          <w:lang w:val="sl"/>
        </w:rPr>
        <w:t xml:space="preserve">v postopkih pred invalidsko komisijo I. in II. stopnje (v upravnih ali "predsodnih" postopkih) niti pred Delovnim in socialnim sodiščem v Ljubljani ali Višjim delovnim in socialnim sodiščem (v sodnih ali "pritožbenih" postopkih). Pritožnica se preprosto ni strinjala z ugotovitvami izvedencev medicinske stroke v obeh komisijah, na podlagi katerih je bila sprejeta </w:t>
      </w:r>
      <w:r>
        <w:rPr>
          <w:rFonts w:eastAsia="Times New Roman"/>
          <w:i/>
          <w:iCs/>
          <w:lang w:val="sl"/>
        </w:rPr>
        <w:t>upravna</w:t>
      </w:r>
      <w:r>
        <w:rPr>
          <w:rFonts w:eastAsia="Times New Roman"/>
          <w:lang w:val="sl"/>
        </w:rPr>
        <w:t xml:space="preserve"> odločitev, da pritožnica ni upravičena do zahtevanega nadomestila za invalidnost. V </w:t>
      </w:r>
      <w:r w:rsidRPr="004C7116">
        <w:rPr>
          <w:rFonts w:eastAsia="Times New Roman"/>
          <w:iCs/>
          <w:lang w:val="sl"/>
        </w:rPr>
        <w:t>sodnih postopkih</w:t>
      </w:r>
      <w:r>
        <w:rPr>
          <w:rFonts w:eastAsia="Times New Roman"/>
          <w:lang w:val="sl"/>
        </w:rPr>
        <w:t xml:space="preserve"> je bilo dokazno breme na pritožnici, da, čeprav samo </w:t>
      </w:r>
      <w:r>
        <w:rPr>
          <w:rFonts w:eastAsia="Times New Roman"/>
          <w:i/>
          <w:iCs/>
          <w:lang w:val="sl"/>
        </w:rPr>
        <w:t>prima facie</w:t>
      </w:r>
      <w:r>
        <w:rPr>
          <w:rFonts w:eastAsia="Times New Roman"/>
          <w:lang w:val="sl"/>
        </w:rPr>
        <w:t xml:space="preserve">, pokaže, da je bila odločitev zavoda napačna zaradi nekaterih pomanjkljivosti v ocenah izvedencev. To bi lahko naredila z izvedbo </w:t>
      </w:r>
      <w:r>
        <w:rPr>
          <w:rFonts w:eastAsia="Times New Roman"/>
          <w:i/>
          <w:iCs/>
          <w:lang w:val="sl"/>
        </w:rPr>
        <w:t>ex parte</w:t>
      </w:r>
      <w:r>
        <w:rPr>
          <w:rFonts w:eastAsia="Times New Roman"/>
          <w:lang w:val="sl"/>
        </w:rPr>
        <w:t xml:space="preserve"> dokazov v obliki medicinske dokumentacije, kot pravilno navaja 56. odstavek sodbe. Vendar tega ni naredila. Če bi v teh okoliščinah veljalo, da sta bili delovni in socialni sodišči dolžni postaviti dodatne izvedence, bi bilo to enako, kot če bi veljalo, da avtomatično obstaja pravica do takih dodatnih izvedencev ne glede na dokaze, izvedene </w:t>
      </w:r>
      <w:r w:rsidR="005A4460">
        <w:rPr>
          <w:rFonts w:eastAsia="Times New Roman"/>
          <w:lang w:val="sl"/>
        </w:rPr>
        <w:t xml:space="preserve">pred temi </w:t>
      </w:r>
      <w:r>
        <w:rPr>
          <w:rFonts w:eastAsia="Times New Roman"/>
          <w:lang w:val="sl"/>
        </w:rPr>
        <w:t xml:space="preserve">sodišči. </w:t>
      </w:r>
    </w:p>
    <w:p w14:paraId="2D12D4A5" w14:textId="77777777" w:rsidR="00980AEA" w:rsidRPr="00D76B80" w:rsidRDefault="00980AEA" w:rsidP="00E477A0">
      <w:pPr>
        <w:pStyle w:val="OpiPara"/>
        <w:rPr>
          <w:rFonts w:eastAsia="Times New Roman"/>
          <w:lang w:val="sl"/>
        </w:rPr>
      </w:pPr>
      <w:r>
        <w:rPr>
          <w:rFonts w:eastAsia="Times New Roman"/>
          <w:lang w:val="sl"/>
        </w:rPr>
        <w:t>3.  Če pa bi delovni in socialni sodišči na katerikoli način izjavili, da ju "zavezujejo" ugotovitve izvedencev medicinske stroke v komisijah, ali bi zahtevali dodatno strokovno oceno izvedencev medicinske stroke, povezanih s komisijama ali zavodom, bi nastopila sodna praksa, omenjena v 32., 33. in 34. odstavku sodbe.</w:t>
      </w:r>
    </w:p>
    <w:p w14:paraId="46748952" w14:textId="02741619" w:rsidR="00E477A0" w:rsidRDefault="00E477A0" w:rsidP="00E477A0">
      <w:pPr>
        <w:pStyle w:val="OpiPara"/>
        <w:rPr>
          <w:rFonts w:eastAsia="Times New Roman"/>
          <w:lang w:val="sl"/>
        </w:rPr>
      </w:pPr>
    </w:p>
    <w:p w14:paraId="3A806E63" w14:textId="77777777" w:rsidR="00F9551E" w:rsidRPr="00D76B80" w:rsidRDefault="00F9551E" w:rsidP="00E477A0">
      <w:pPr>
        <w:pStyle w:val="OpiPara"/>
        <w:rPr>
          <w:rFonts w:eastAsia="Times New Roman"/>
          <w:lang w:val="sl"/>
        </w:rPr>
      </w:pPr>
    </w:p>
    <w:p w14:paraId="7FC4DE49" w14:textId="77777777" w:rsidR="00980AEA" w:rsidRPr="00D76B80" w:rsidRDefault="00980AEA" w:rsidP="00E477A0">
      <w:pPr>
        <w:pStyle w:val="ECHRTitleCentre1"/>
        <w:rPr>
          <w:rFonts w:eastAsia="Times New Roman"/>
          <w:lang w:val="it-IT"/>
        </w:rPr>
      </w:pPr>
      <w:r>
        <w:rPr>
          <w:rFonts w:eastAsia="Times New Roman"/>
          <w:lang w:val="sl"/>
        </w:rPr>
        <w:lastRenderedPageBreak/>
        <w:t>ODKLONILNO LOČENO MNENJE SODNIKA PINTA DE ALBUQUERQUEJA</w:t>
      </w:r>
    </w:p>
    <w:p w14:paraId="3E908C02" w14:textId="1057AB6F" w:rsidR="00980AEA" w:rsidRPr="00D76B80" w:rsidRDefault="00932940" w:rsidP="00E477A0">
      <w:pPr>
        <w:pStyle w:val="OpiPara"/>
        <w:rPr>
          <w:rFonts w:eastAsia="Times New Roman"/>
          <w:lang w:val="it-IT"/>
        </w:rPr>
      </w:pPr>
      <w:r>
        <w:rPr>
          <w:rFonts w:eastAsia="Times New Roman"/>
          <w:lang w:val="sl"/>
        </w:rPr>
        <w:t xml:space="preserve">1.  To je zadeva o enakosti orožij v sodnih postopkih in predvsem različni obravnavi pravdnih strank pri pridobivanju dokazov. Že sama tema je očitno izjemno pomembna. Pomembnost zadeve podkrepi tudi dejstvo, da brez nekega dobrega razloga večina ni sledila novejši in dosledni sodni praksi slovenskega Vrhovnega sodišča in Ustavnega sodišča. In kar je še huje, večina je ovrgla uveljavljeno sodno prakso Sodišča glede </w:t>
      </w:r>
      <w:r w:rsidR="00CC5862">
        <w:rPr>
          <w:rFonts w:eastAsia="Times New Roman"/>
          <w:lang w:val="sl"/>
        </w:rPr>
        <w:t xml:space="preserve">tožene </w:t>
      </w:r>
      <w:r w:rsidR="00621FBD">
        <w:rPr>
          <w:rFonts w:eastAsia="Times New Roman"/>
          <w:lang w:val="sl"/>
        </w:rPr>
        <w:t xml:space="preserve">pogodbenice </w:t>
      </w:r>
      <w:r>
        <w:rPr>
          <w:rFonts w:eastAsia="Times New Roman"/>
          <w:lang w:val="sl"/>
        </w:rPr>
        <w:t xml:space="preserve">(glej </w:t>
      </w:r>
      <w:r>
        <w:rPr>
          <w:rFonts w:eastAsia="Times New Roman"/>
          <w:i/>
          <w:iCs/>
          <w:lang w:val="sl"/>
        </w:rPr>
        <w:t>Korošec proti Sloveniji</w:t>
      </w:r>
      <w:r>
        <w:rPr>
          <w:rFonts w:eastAsia="Times New Roman"/>
          <w:lang w:val="sl"/>
        </w:rPr>
        <w:t xml:space="preserve">, št. 77212/12, 8. oktober 2015) in druge države (glej </w:t>
      </w:r>
      <w:r>
        <w:rPr>
          <w:rFonts w:eastAsia="Times New Roman"/>
          <w:i/>
          <w:iCs/>
          <w:lang w:val="sl"/>
        </w:rPr>
        <w:t>Letinčić proti Hrvaški</w:t>
      </w:r>
      <w:r>
        <w:rPr>
          <w:rFonts w:eastAsia="Times New Roman"/>
          <w:lang w:val="sl"/>
        </w:rPr>
        <w:t xml:space="preserve">, št. 7183/11, 3. maj 2016, in </w:t>
      </w:r>
      <w:r>
        <w:rPr>
          <w:rFonts w:eastAsia="Times New Roman"/>
          <w:i/>
          <w:iCs/>
          <w:lang w:val="sl"/>
        </w:rPr>
        <w:t>Krunoslava Zovko proti Hrvaški</w:t>
      </w:r>
      <w:r>
        <w:rPr>
          <w:rFonts w:eastAsia="Times New Roman"/>
          <w:lang w:val="sl"/>
        </w:rPr>
        <w:t xml:space="preserve">, št. 56935/13, 23. maj 2017) in tako ni upoštevala 30. člena konvencije. Že samo iz teh razlogov bi glasoval proti večini. Obstaja pa še en razlog bolj splošne narave, zaradi katerega nisem mogel pritrditi drugim, in sicer izkrivljanje tehnike razlikovanja v obravnavani zadevi. To očitno odpira zelo pomembno temo o doslednosti ali bolje nedoslednosti sodne prakse Sodišča.  </w:t>
      </w:r>
    </w:p>
    <w:p w14:paraId="4A57FB5F" w14:textId="77777777" w:rsidR="00980AEA" w:rsidRPr="00D76B80" w:rsidRDefault="00932940" w:rsidP="00E477A0">
      <w:pPr>
        <w:pStyle w:val="OpiPara"/>
        <w:rPr>
          <w:rFonts w:eastAsia="Times New Roman"/>
          <w:lang w:val="sl"/>
        </w:rPr>
      </w:pPr>
      <w:r>
        <w:rPr>
          <w:rFonts w:eastAsia="Times New Roman"/>
          <w:lang w:val="sl"/>
        </w:rPr>
        <w:t>2.  Pritožnica se je pritožila zaradi objektivne nepristranskosti invalidskih komisij Zavoda za pokojninsko in invalidsko zavarovanje ("zavoda"), ki je bil v sodnih postopkih tožena stranka. Po njenem mnenju je bila zadeva odločena na podlagi izvedenskih mnenj invalidskih komisij, domača sodišča pa so zavrnila njen predlog za postavitev neodvisnega izvedenca. Za večino ta dejstva niso bila sporna in je bilo celo razumljivo, da bi pritožnica lahko podvomila v nepristranskost izvedencev (glej 51. odstavek sodbe). Ne glede na to niso ugotovili kršitve, ker pritožnica "ni predložila nobenega argumenta, s katerim bi podvomila v ugotovitve invalidskih komisij, ampak jih je samo prerekala" (glej 57. odstavek sodbe).</w:t>
      </w:r>
    </w:p>
    <w:p w14:paraId="2C5352C4" w14:textId="77777777" w:rsidR="00980AEA" w:rsidRPr="00D76B80" w:rsidRDefault="00932940" w:rsidP="00E477A0">
      <w:pPr>
        <w:pStyle w:val="OpiPara"/>
        <w:rPr>
          <w:rFonts w:eastAsia="Times New Roman"/>
          <w:lang w:val="sl"/>
        </w:rPr>
      </w:pPr>
      <w:r>
        <w:rPr>
          <w:rFonts w:eastAsia="Times New Roman"/>
          <w:lang w:val="sl"/>
        </w:rPr>
        <w:t>3.  Objektivna nepristranskost invalidskih komisij je po mojem mnenju zelo vprašljiva zaradi dejstva, da so člani komisij zaposleni na zavodu ali jih zavod imenuje za dobo štirih let, pri čemer je zavod tožena stranka v sodnem postopku (glej 29. odstavek sodbe). Zaradi možnosti ponovnega imenovanja so izvedenci še bolj dovzetni za interese zavoda (glej 29. odstavek).  Poleg tega so izvedenci organizacijsko umeščeni v zavod in jih,</w:t>
      </w:r>
      <w:r>
        <w:rPr>
          <w:rFonts w:eastAsia="Times New Roman"/>
          <w:i/>
          <w:iCs/>
          <w:lang w:val="sl"/>
        </w:rPr>
        <w:t xml:space="preserve"> </w:t>
      </w:r>
      <w:r>
        <w:rPr>
          <w:rFonts w:eastAsia="Times New Roman"/>
          <w:lang w:val="sl"/>
        </w:rPr>
        <w:t>med drugim, zavezujejo njegovi akti, priporočila in praksa (glej 30. odstavek sodbe). Iz teh razlogov lahko resno podvomimo v njihovo nevtralnost, tudi ko ni konkretnega dokaza o njihovi dejanski pristranskosti. Večina teh dejstev preprosto ni upoštevala. Prav tako niso upoštevali sodb slovenskega Vrhovnega sodišča in Ustavnega sodišča v podobnih zadevah (glej 32. in 33. odstavek sodbe), v katerih sta obe sodišči ugotovili, da izvedenci invalidskih komisij niso nepristranski glede na njihov pravni in dejanski položaj v zavodu.</w:t>
      </w:r>
    </w:p>
    <w:p w14:paraId="139AE839" w14:textId="0FE4BDC0" w:rsidR="00980AEA" w:rsidRPr="00D76B80" w:rsidRDefault="00932940" w:rsidP="00E477A0">
      <w:pPr>
        <w:pStyle w:val="OpiPara"/>
        <w:rPr>
          <w:rFonts w:eastAsia="Times New Roman"/>
          <w:lang w:val="sl"/>
        </w:rPr>
      </w:pPr>
      <w:r>
        <w:rPr>
          <w:rFonts w:eastAsia="Times New Roman"/>
          <w:lang w:val="sl"/>
        </w:rPr>
        <w:t xml:space="preserve">4.  Večina je zgrešila bistvo, ko je trdila, da "pritožnica ni predložila nobenega argumenta, s katerim bi podvomila v ugotovitve invalidskih komisij, ampak jih je samo prerekala" (glej 57. odstavek sodbe). Pritožnica </w:t>
      </w:r>
      <w:r>
        <w:rPr>
          <w:rFonts w:eastAsia="Times New Roman"/>
          <w:lang w:val="sl"/>
        </w:rPr>
        <w:lastRenderedPageBreak/>
        <w:t>ni sprožila vprašanja glede subjektivne nepristranskosti posameznega izvedenca, ampak je jasno zastavila vprašanje glede pomanjkanja objektivne nepristranskosti invalidskih komisij ali, povedano drugače, pomanjkanja institucionalne nepristranskosti izvedencev, ki delajo v teh komisijah, kar je vplivalo na njihovo oceno njene telesne okvare. Ves čas domačih postopkov je pritožnica prerekala ugotovitve invalidskih komisij in trdila, da je njeno zdravstveno stanje telesna okvara, trditev, ki jo je nameravala dokazati s postavitvijo neodvisnega izvedenca (glej 9., 12., 15. in 18. odstavek sodbe). Njen predlog, naj domače sodišče postavi neodvisnega izvedenca, torej ni bil brez podlage. Zavrnitev Delovnega in socialnega sodišča, češ da postavitev neodvisnega izvedenca ni potrebna (glej 14. odstavek sodbe), je pomenila, da je pritožnica, ki sama n</w:t>
      </w:r>
      <w:r w:rsidR="00003FD9">
        <w:rPr>
          <w:rFonts w:eastAsia="Times New Roman"/>
          <w:lang w:val="sl"/>
        </w:rPr>
        <w:t>i</w:t>
      </w:r>
      <w:r>
        <w:rPr>
          <w:rFonts w:eastAsia="Times New Roman"/>
          <w:lang w:val="sl"/>
        </w:rPr>
        <w:t xml:space="preserve"> imela potrebnega medicinskega znanja, ostala brez možnosti utemeljevanja svojega zahtevka za nadomestilo za invalidnost.  To zavrnitev je Višje delovno in socialno sodišče potrdilo, ker naj bi odločitev o invalidnosti ostala enaka kljub postavitvi izvedenca (glej 16. odstavek sodbe), s čimer je v škodo pritožnice domnevalo nekaj, kar je še bilo treba dokazati. To je natančno tiste vrste domneva v prid mnenjem invalidskih komisij, ki jo je kritiziralo Ustavno sodišče (glej 33. odstavek sodbe).</w:t>
      </w:r>
    </w:p>
    <w:p w14:paraId="38CB7CF8" w14:textId="0D3C92F1" w:rsidR="00980AEA" w:rsidRPr="00D76B80" w:rsidRDefault="00932940" w:rsidP="00E477A0">
      <w:pPr>
        <w:pStyle w:val="OpiPara"/>
        <w:rPr>
          <w:rFonts w:eastAsia="Times New Roman"/>
          <w:lang w:val="sl"/>
        </w:rPr>
      </w:pPr>
      <w:r>
        <w:rPr>
          <w:rFonts w:eastAsia="Times New Roman"/>
          <w:lang w:val="sl"/>
        </w:rPr>
        <w:t xml:space="preserve">5.  Večina je hotela razlikovati med to zadevo in zadevo </w:t>
      </w:r>
      <w:r>
        <w:rPr>
          <w:rFonts w:eastAsia="Times New Roman"/>
          <w:i/>
          <w:iCs/>
          <w:lang w:val="sl"/>
        </w:rPr>
        <w:t>Korošec</w:t>
      </w:r>
      <w:r>
        <w:rPr>
          <w:rFonts w:eastAsia="Times New Roman"/>
          <w:lang w:val="sl"/>
        </w:rPr>
        <w:t>, ko je poudarila, da pritožnica svojega stališča ni podprla z mnenjem svojega splošnega zdravnika ali drugega lečečega zdravnika ali katerim koli drugim dokazom (glej 56. odstavek sodbe). Praksa razlikovanja je dokaj izostrena tehnika, ki sodiščem ne dovoljuje neomejene proste presoje. V pravu razlikovanje med dvema zadevama pomeni, da se ne uporabi pravilo ali načelo iz podobne precedenčne zadeve, ker se dejstva v obeh zadevah pomembno razlikujejo</w:t>
      </w:r>
      <w:r w:rsidR="00003FD9">
        <w:rPr>
          <w:rFonts w:eastAsia="Times New Roman"/>
          <w:lang w:val="sl"/>
        </w:rPr>
        <w:t xml:space="preserve">. </w:t>
      </w:r>
      <w:r>
        <w:rPr>
          <w:rFonts w:eastAsia="Times New Roman"/>
          <w:lang w:val="sl"/>
        </w:rPr>
        <w:t xml:space="preserve"> </w:t>
      </w:r>
    </w:p>
    <w:p w14:paraId="7185FAA7" w14:textId="7ECACE42" w:rsidR="00980AEA" w:rsidRPr="00D76B80" w:rsidRDefault="00980AEA" w:rsidP="00E477A0">
      <w:pPr>
        <w:pStyle w:val="OpiPara"/>
        <w:rPr>
          <w:rFonts w:eastAsia="Times New Roman"/>
          <w:lang w:val="sl"/>
        </w:rPr>
      </w:pPr>
      <w:r>
        <w:rPr>
          <w:rFonts w:eastAsia="Times New Roman"/>
          <w:lang w:val="sl"/>
        </w:rPr>
        <w:t xml:space="preserve">V skladu z zadevo </w:t>
      </w:r>
      <w:r>
        <w:rPr>
          <w:rFonts w:eastAsia="Times New Roman"/>
          <w:i/>
          <w:iCs/>
          <w:lang w:val="sl"/>
        </w:rPr>
        <w:t>Korošec</w:t>
      </w:r>
      <w:r>
        <w:rPr>
          <w:rFonts w:eastAsia="Times New Roman"/>
          <w:lang w:val="sl"/>
        </w:rPr>
        <w:t xml:space="preserve"> bi morali pri odločanju v tej zadevi  "upoštevati tri dejavnike: (1) značilnosti naloge, zaupane izvedencem; (2) položaj izvedencev na hierarhični lestvici nasprotne strani in (3) njihovo vlogo v postopku, predvsem težo, ki jo je sodišče pripisalo njihovim mnenjem" (glej </w:t>
      </w:r>
      <w:r>
        <w:rPr>
          <w:rFonts w:eastAsia="Times New Roman"/>
          <w:i/>
          <w:iCs/>
          <w:lang w:val="sl"/>
        </w:rPr>
        <w:t>Korošec</w:t>
      </w:r>
      <w:r>
        <w:rPr>
          <w:rFonts w:eastAsia="Times New Roman"/>
          <w:lang w:val="sl"/>
        </w:rPr>
        <w:t xml:space="preserve">, citirano zgoraj, 52. odstavek). Zato dejstvo, ali pritožnica je ali ni predložila medicinskega mnenja ali drugega dokaza, za odločitev Sodišča ni bilo pomembno. Naj povem še </w:t>
      </w:r>
      <w:r w:rsidR="00431073">
        <w:rPr>
          <w:rFonts w:eastAsia="Times New Roman"/>
          <w:lang w:val="sl"/>
        </w:rPr>
        <w:t>bolj jasno</w:t>
      </w:r>
      <w:r>
        <w:rPr>
          <w:rFonts w:eastAsia="Times New Roman"/>
          <w:lang w:val="sl"/>
        </w:rPr>
        <w:t xml:space="preserve">. V zadevi </w:t>
      </w:r>
      <w:r>
        <w:rPr>
          <w:rFonts w:eastAsia="Times New Roman"/>
          <w:i/>
          <w:iCs/>
          <w:lang w:val="sl"/>
        </w:rPr>
        <w:t>Korošec</w:t>
      </w:r>
      <w:r>
        <w:rPr>
          <w:rFonts w:eastAsia="Times New Roman"/>
          <w:lang w:val="sl"/>
        </w:rPr>
        <w:t xml:space="preserve"> je Sodišče povsem jasno govorilo o nesprejemljivi vlogi izvedencev invalidskih komisij in še zlasti odločilni naravi njihovih mnenj. Že samo na tej podlagi je Sodišče ugotovilo kršitev 6. člena konvencije. Dejstvo, da je v zadevi </w:t>
      </w:r>
      <w:r>
        <w:rPr>
          <w:rFonts w:eastAsia="Times New Roman"/>
          <w:i/>
          <w:iCs/>
          <w:lang w:val="sl"/>
        </w:rPr>
        <w:t>Korošec</w:t>
      </w:r>
      <w:r>
        <w:rPr>
          <w:rFonts w:eastAsia="Times New Roman"/>
          <w:lang w:val="sl"/>
        </w:rPr>
        <w:t xml:space="preserve"> pritožnik predložil mnenje splošnega zdravnika, ni bilo odločilno, pomembno, relevantno dejstvo. Ni bilo niti omenjeno, kaj šele ovrednoteno v obrazložitvi dela sodbe "presoja Sodišča" (glej </w:t>
      </w:r>
      <w:r>
        <w:rPr>
          <w:rFonts w:eastAsia="Times New Roman"/>
          <w:i/>
          <w:iCs/>
          <w:lang w:val="sl"/>
        </w:rPr>
        <w:t>Korošec</w:t>
      </w:r>
      <w:r>
        <w:rPr>
          <w:rFonts w:eastAsia="Times New Roman"/>
          <w:lang w:val="sl"/>
        </w:rPr>
        <w:t xml:space="preserve">, citirano zgoraj, 49.–57. odstavek). </w:t>
      </w:r>
    </w:p>
    <w:p w14:paraId="3BEDBA3A" w14:textId="06A904A1" w:rsidR="00980AEA" w:rsidRPr="00D76B80" w:rsidRDefault="00932940" w:rsidP="00E477A0">
      <w:pPr>
        <w:pStyle w:val="OpiPara"/>
        <w:rPr>
          <w:rFonts w:eastAsia="Times New Roman"/>
          <w:lang w:val="sl"/>
        </w:rPr>
      </w:pPr>
      <w:r>
        <w:rPr>
          <w:rFonts w:eastAsia="Times New Roman"/>
          <w:lang w:val="sl"/>
        </w:rPr>
        <w:t xml:space="preserve">6.  Razlikovanje ene zadeve od druge vključuje opredelitev </w:t>
      </w:r>
      <w:r w:rsidR="00A8170E">
        <w:rPr>
          <w:rFonts w:eastAsia="Times New Roman"/>
          <w:lang w:val="sl"/>
        </w:rPr>
        <w:t xml:space="preserve">relevantnih razlik med njima in ne </w:t>
      </w:r>
      <w:r>
        <w:rPr>
          <w:rFonts w:eastAsia="Times New Roman"/>
          <w:lang w:val="sl"/>
        </w:rPr>
        <w:t xml:space="preserve">razlik med zadevama </w:t>
      </w:r>
      <w:r w:rsidR="00A8170E">
        <w:rPr>
          <w:rFonts w:eastAsia="Times New Roman"/>
          <w:lang w:val="sl"/>
        </w:rPr>
        <w:t xml:space="preserve">na osnovi </w:t>
      </w:r>
      <w:r>
        <w:rPr>
          <w:rFonts w:eastAsia="Times New Roman"/>
          <w:lang w:val="sl"/>
        </w:rPr>
        <w:t xml:space="preserve">nepomembnih, postranskih, naključnih dejstev. Ravno tega pa večina ni storila in s tem zadala hud udarec doslednosti in usklajenosti sodne prakse Sodišča. In kar je </w:t>
      </w:r>
      <w:r>
        <w:rPr>
          <w:rFonts w:eastAsia="Times New Roman"/>
          <w:lang w:val="sl"/>
        </w:rPr>
        <w:lastRenderedPageBreak/>
        <w:t xml:space="preserve">še huje, večina je ovrgla veljavno sodno prakso Sodišča proti toženi </w:t>
      </w:r>
      <w:r w:rsidR="00811EE8">
        <w:rPr>
          <w:rFonts w:eastAsia="Times New Roman"/>
          <w:lang w:val="sl"/>
        </w:rPr>
        <w:t>pogodbenici</w:t>
      </w:r>
      <w:r>
        <w:rPr>
          <w:rFonts w:eastAsia="Times New Roman"/>
          <w:lang w:val="sl"/>
        </w:rPr>
        <w:t xml:space="preserve"> in jo pozneje potrdila proti drugi državi (glej  </w:t>
      </w:r>
      <w:r>
        <w:rPr>
          <w:rFonts w:eastAsia="Times New Roman"/>
          <w:i/>
          <w:iCs/>
          <w:lang w:val="sl"/>
        </w:rPr>
        <w:t xml:space="preserve">Letinčić, citirano zgoraj, </w:t>
      </w:r>
      <w:r>
        <w:rPr>
          <w:rFonts w:eastAsia="Times New Roman"/>
          <w:lang w:val="sl"/>
        </w:rPr>
        <w:t xml:space="preserve">in </w:t>
      </w:r>
      <w:r>
        <w:rPr>
          <w:rFonts w:eastAsia="Times New Roman"/>
          <w:i/>
          <w:iCs/>
          <w:lang w:val="sl"/>
        </w:rPr>
        <w:t>Krunoslava Zovko</w:t>
      </w:r>
      <w:r>
        <w:rPr>
          <w:rFonts w:eastAsia="Times New Roman"/>
          <w:lang w:val="sl"/>
        </w:rPr>
        <w:t xml:space="preserve">, citirano zgoraj) brez upoštevanja 30. člena konvencije. Ta očitna nedoslednost sodne prakse zahteva posredovanje Velikega senata. </w:t>
      </w:r>
      <w:r w:rsidR="00F821CA">
        <w:rPr>
          <w:rFonts w:eastAsia="Times New Roman"/>
          <w:lang w:val="sl"/>
        </w:rPr>
        <w:t>Č</w:t>
      </w:r>
      <w:r>
        <w:rPr>
          <w:rFonts w:eastAsia="Times New Roman"/>
          <w:lang w:val="sl"/>
        </w:rPr>
        <w:t xml:space="preserve">e ta zadeva ne bo poslana Velikemu senatu in je ta ne bo sprejel v skladu s tretjim odstavkom 43. člena konvencije, se bodo domači organi zgubili v sodni praksi Sodišča, ki jih bo begala in bo nasprotujoča, in kar je še huje, avtoriteta Velikega senata in na koncu Sodišča bo veliko manjša (glede ugleda zaradi precedenčne moči sodb Sodišča glej moje ločeno mnenje v zadevi </w:t>
      </w:r>
      <w:r>
        <w:rPr>
          <w:rFonts w:eastAsia="Times New Roman"/>
          <w:i/>
          <w:iCs/>
          <w:lang w:val="sl"/>
        </w:rPr>
        <w:t>Herrmann proti Nemčiji</w:t>
      </w:r>
      <w:r>
        <w:rPr>
          <w:rFonts w:eastAsia="Times New Roman"/>
          <w:lang w:val="sl"/>
        </w:rPr>
        <w:t xml:space="preserve"> [VS], št. 9300/07, 26. junij 2012).  </w:t>
      </w:r>
    </w:p>
    <w:p w14:paraId="2A0E09BB" w14:textId="232D3063" w:rsidR="00980AEA" w:rsidRPr="00D76B80" w:rsidRDefault="00932940" w:rsidP="00E477A0">
      <w:pPr>
        <w:pStyle w:val="OpiPara"/>
        <w:rPr>
          <w:rFonts w:eastAsia="Times New Roman"/>
          <w:lang w:val="sl"/>
        </w:rPr>
      </w:pPr>
      <w:r>
        <w:rPr>
          <w:rFonts w:eastAsia="Times New Roman"/>
          <w:lang w:val="sl"/>
        </w:rPr>
        <w:t xml:space="preserve">7.  Poleg tega je večina spregledala, da je pritožnica postavila vprašanje glede pomanjkljive nepristranskosti invalidskih komisij </w:t>
      </w:r>
      <w:r>
        <w:rPr>
          <w:rFonts w:eastAsia="Times New Roman"/>
          <w:i/>
          <w:iCs/>
          <w:lang w:val="sl"/>
        </w:rPr>
        <w:t>per se</w:t>
      </w:r>
      <w:r>
        <w:rPr>
          <w:rFonts w:eastAsia="Times New Roman"/>
          <w:lang w:val="sl"/>
        </w:rPr>
        <w:t xml:space="preserve"> in vpliva tega na njeno zadevo. Argument o pomanjkljivi nepristranskosti notranjih izvedencev, ki delajo v teh komisijah, je še bolj zavezujoč, če sodišča njihovim zunajsodnim dokazom pripišejo odločilno težo. V obravnavani zadevi je večina </w:t>
      </w:r>
      <w:r w:rsidR="00996BC6">
        <w:rPr>
          <w:rFonts w:eastAsia="Times New Roman"/>
          <w:lang w:val="sl"/>
        </w:rPr>
        <w:t>priznala</w:t>
      </w:r>
      <w:r>
        <w:rPr>
          <w:rFonts w:eastAsia="Times New Roman"/>
          <w:lang w:val="sl"/>
        </w:rPr>
        <w:t xml:space="preserve">, da so imela izvedenska mnenja invalidskih komisij odločilno vlogo pri oceni domačih sodišč o utemeljenosti pritožničine zadeve (glej 50. odstavek sodbe). Ker sami niso imeli medicinskega znanja, so domači sodniki morali pripisati veliko težo mnenjem invalidskih komisij o medicinskem vprašanju, ki je bilo odločilno za izid zadeve (glej </w:t>
      </w:r>
      <w:r>
        <w:rPr>
          <w:rFonts w:eastAsia="Times New Roman"/>
          <w:i/>
          <w:iCs/>
          <w:lang w:val="sl"/>
        </w:rPr>
        <w:t>Korošec</w:t>
      </w:r>
      <w:r>
        <w:rPr>
          <w:rFonts w:eastAsia="Times New Roman"/>
          <w:lang w:val="sl"/>
        </w:rPr>
        <w:t>, citirano zgoraj, 56. odstavek).</w:t>
      </w:r>
    </w:p>
    <w:p w14:paraId="7798096C" w14:textId="0F26FD5A" w:rsidR="00980AEA" w:rsidRPr="00D76B80" w:rsidRDefault="00980AEA" w:rsidP="00E477A0">
      <w:pPr>
        <w:pStyle w:val="OpiPara"/>
        <w:rPr>
          <w:rFonts w:eastAsia="Times New Roman"/>
          <w:lang w:val="sl"/>
        </w:rPr>
      </w:pPr>
      <w:r>
        <w:rPr>
          <w:rFonts w:eastAsia="Times New Roman"/>
          <w:lang w:val="sl"/>
        </w:rPr>
        <w:t>Ugotavljam tudi, da je Delovno in socialno sodišče v Ljubljani svojo odločitev oprlo na mnenji invalidskih komisij in sodnikovo ugotovitev o stanju pritožnice na obravnavi. Ker ni pojasnjeno sodnikovo medicinsko strokovno znanje v zvezi z obravnavano invalidnostjo, je precej nenavadno, da je bilo domače sodišče pripravljeno nadomestiti mnenje neodvisnega izvedenca z ugotovitvami sodnika (glej 13. odstavek sodbe; glej tudi mnenje Ustavnega sodišča v podobni zadevi, ki je omenjeno v 33. odstavku sodbe). Delovno in socialno sodišče v Ljubljani se je tudi sklicevalo na nekatere ugotovitve iz postopkov, ki so bili več kot pet let starejši od zahtevka pritožnice za nadomestilo za invalidnost. Kot pa je pritožnica navedla v svoji pritožbi, so se ti postopki nanašali na drugačno zadevo. Višje delovno in socialno sodišče tega žal ni obravnavalo.</w:t>
      </w:r>
    </w:p>
    <w:p w14:paraId="1EAE60CF" w14:textId="033BA2D8" w:rsidR="00980AEA" w:rsidRPr="00D76B80" w:rsidRDefault="00932940" w:rsidP="00E477A0">
      <w:pPr>
        <w:pStyle w:val="OpiPara"/>
        <w:rPr>
          <w:rFonts w:eastAsia="Times New Roman"/>
          <w:iCs/>
          <w:lang w:val="sl"/>
        </w:rPr>
      </w:pPr>
      <w:r>
        <w:rPr>
          <w:rFonts w:eastAsia="Times New Roman"/>
          <w:lang w:val="sl"/>
        </w:rPr>
        <w:t xml:space="preserve">8.  Ob upoštevanju vsega navedenega lahko le zaključim, da zaradi zavrnitve Delovnega in socialnega sodišča v Ljubljani, da postavi neodvisnega izvedenca, ki je bila potrjena tudi ob pritožbi, položaj pritožnice v postopku ni bil enakopraven položaju njene nasprotne stranke, zavoda, kot to sicer zahteva načelo enakosti orožij. Kar je še pomembneje, ogrožena je bila sama poštenost sodnih postopkov, ker so se domača sodišča opirala na mnenji invalidskih komisij kot na odločilna dokaza v zadevi, pri čemer je treba upoštevati vlogo zavoda v sodnih postopkih (glej, </w:t>
      </w:r>
      <w:r>
        <w:rPr>
          <w:rFonts w:eastAsia="Times New Roman"/>
          <w:i/>
          <w:iCs/>
          <w:lang w:val="sl"/>
        </w:rPr>
        <w:t>mutatis mutandis</w:t>
      </w:r>
      <w:r>
        <w:rPr>
          <w:rFonts w:eastAsia="Times New Roman"/>
          <w:lang w:val="sl"/>
        </w:rPr>
        <w:t xml:space="preserve">, </w:t>
      </w:r>
      <w:r>
        <w:rPr>
          <w:rFonts w:eastAsia="Times New Roman"/>
          <w:i/>
          <w:iCs/>
          <w:lang w:val="sl"/>
        </w:rPr>
        <w:t>Sara Lind Eggertsdóttir</w:t>
      </w:r>
      <w:r>
        <w:rPr>
          <w:rFonts w:eastAsia="Times New Roman"/>
          <w:lang w:val="sl"/>
        </w:rPr>
        <w:t xml:space="preserve"> </w:t>
      </w:r>
      <w:r>
        <w:rPr>
          <w:rFonts w:eastAsia="Times New Roman"/>
          <w:i/>
          <w:iCs/>
          <w:lang w:val="sl"/>
        </w:rPr>
        <w:t>proti Islandiji,</w:t>
      </w:r>
      <w:r>
        <w:rPr>
          <w:rFonts w:eastAsia="Times New Roman"/>
          <w:lang w:val="sl"/>
        </w:rPr>
        <w:t xml:space="preserve"> št. 31930/04, 54. odstavek, 5. julij 2007).   </w:t>
      </w:r>
    </w:p>
    <w:p w14:paraId="22C4A052" w14:textId="77777777" w:rsidR="00980AEA" w:rsidRPr="00E477A0" w:rsidRDefault="00932940" w:rsidP="00E477A0">
      <w:pPr>
        <w:pStyle w:val="OpiPara"/>
        <w:rPr>
          <w:rFonts w:eastAsia="Times New Roman"/>
        </w:rPr>
      </w:pPr>
      <w:r>
        <w:rPr>
          <w:rFonts w:eastAsia="Times New Roman"/>
          <w:lang w:val="sl"/>
        </w:rPr>
        <w:lastRenderedPageBreak/>
        <w:t xml:space="preserve">9.  Torej ugotavljam, da je bil kršen prvi odstavek 6. člena konvencije. Sodišče je tako imelo priložnost, da izjavi </w:t>
      </w:r>
      <w:r>
        <w:rPr>
          <w:rFonts w:eastAsia="Times New Roman"/>
          <w:i/>
          <w:iCs/>
          <w:lang w:val="sl"/>
        </w:rPr>
        <w:t>urbi et orbi</w:t>
      </w:r>
      <w:r>
        <w:rPr>
          <w:rFonts w:eastAsia="Times New Roman"/>
          <w:lang w:val="sl"/>
        </w:rPr>
        <w:t xml:space="preserve">, da precedenčni primeri v Strasbourgu nekaj pomenijo; a te priložnosti ni izkoristilo. Če bo zadeva po 43. členu konvencije predložena Velikemu senatu, naj jo Veliki senat sprejme, da ponovno uvede relevantno precedenčno zadevo </w:t>
      </w:r>
      <w:r>
        <w:rPr>
          <w:rFonts w:eastAsia="Times New Roman"/>
          <w:i/>
          <w:iCs/>
          <w:lang w:val="sl"/>
        </w:rPr>
        <w:t>Korošec</w:t>
      </w:r>
      <w:r>
        <w:rPr>
          <w:rFonts w:eastAsia="Times New Roman"/>
          <w:lang w:val="sl"/>
        </w:rPr>
        <w:t xml:space="preserve">.  Sodna doslednost </w:t>
      </w:r>
      <w:r>
        <w:rPr>
          <w:rFonts w:eastAsia="Times New Roman"/>
          <w:i/>
          <w:iCs/>
          <w:lang w:val="sl"/>
        </w:rPr>
        <w:t>zavezuje</w:t>
      </w:r>
      <w:r>
        <w:rPr>
          <w:rFonts w:eastAsia="Times New Roman"/>
          <w:lang w:val="sl"/>
        </w:rPr>
        <w:t>.</w:t>
      </w:r>
    </w:p>
    <w:p w14:paraId="6C472953" w14:textId="77777777" w:rsidR="00E477A0" w:rsidRPr="00E477A0" w:rsidRDefault="00E477A0" w:rsidP="00E477A0">
      <w:pPr>
        <w:pStyle w:val="OpiPara"/>
        <w:rPr>
          <w:rFonts w:eastAsia="Times New Roman"/>
        </w:rPr>
      </w:pPr>
    </w:p>
    <w:sectPr w:rsidR="00E477A0" w:rsidRPr="00E477A0">
      <w:headerReference w:type="even" r:id="rId16"/>
      <w:headerReference w:type="default" r:id="rId17"/>
      <w:footerReference w:type="even" r:id="rId18"/>
      <w:footerReference w:type="default" r:id="rId19"/>
      <w:headerReference w:type="first" r:id="rId20"/>
      <w:footerReference w:type="first" r:id="rId21"/>
      <w:footnotePr>
        <w:numRestart w:val="eachPage"/>
      </w:footnotePr>
      <w:pgSz w:w="11906" w:h="16838"/>
      <w:pgMar w:top="2274" w:right="2274" w:bottom="2274" w:left="2274" w:header="1701"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4324F53" w14:textId="77777777" w:rsidR="00E46B24" w:rsidRPr="003152BA" w:rsidRDefault="00E46B24" w:rsidP="00014566">
      <w:r>
        <w:separator/>
      </w:r>
    </w:p>
  </w:endnote>
  <w:endnote w:type="continuationSeparator" w:id="0">
    <w:p w14:paraId="75EE83BA" w14:textId="77777777" w:rsidR="00E46B24" w:rsidRPr="003152BA" w:rsidRDefault="00E46B24" w:rsidP="00014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Consolas">
    <w:panose1 w:val="020B0609020204030204"/>
    <w:charset w:val="EE"/>
    <w:family w:val="modern"/>
    <w:pitch w:val="fixed"/>
    <w:sig w:usb0="E00006FF" w:usb1="0000FCFF" w:usb2="00000001" w:usb3="00000000" w:csb0="0000019F" w:csb1="00000000"/>
  </w:font>
  <w:font w:name="Open Sans">
    <w:altName w:val="Times New Roma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56586F" w14:textId="77777777" w:rsidR="006A778A" w:rsidRPr="00150BFA" w:rsidRDefault="006A778A" w:rsidP="00B01CD4">
    <w:pPr>
      <w:jc w:val="center"/>
    </w:pPr>
    <w:r>
      <w:rPr>
        <w:noProof/>
        <w:lang w:val="sl-SI" w:eastAsia="sl-SI"/>
      </w:rPr>
      <w:drawing>
        <wp:inline distT="0" distB="0" distL="0" distR="0" wp14:anchorId="6D713F69" wp14:editId="2C9A9A41">
          <wp:extent cx="771525" cy="619125"/>
          <wp:effectExtent l="0" t="0" r="9525" b="9525"/>
          <wp:docPr id="3" name="Picture 3" descr="R:\1_Graphics&amp;Web\Court_Graphic_Charter\2013\ECHR_Stationery\Documents_and_Letters\Cover_Pages_And_Docs\White_600_dpi\ECHR_CoverpageCS61_ECHR_Coverpage_Footer_CO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1_Graphics&amp;Web\Court_Graphic_Charter\2013\ECHR_Stationery\Documents_and_Letters\Cover_Pages_And_Docs\White_600_dpi\ECHR_CoverpageCS61_ECHR_Coverpage_Footer_COE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1525" cy="619125"/>
                  </a:xfrm>
                  <a:prstGeom prst="rect">
                    <a:avLst/>
                  </a:prstGeom>
                  <a:noFill/>
                  <a:ln>
                    <a:noFill/>
                  </a:ln>
                </pic:spPr>
              </pic:pic>
            </a:graphicData>
          </a:graphic>
        </wp:inline>
      </w:drawing>
    </w:r>
  </w:p>
  <w:p w14:paraId="6E8B6B18" w14:textId="77777777" w:rsidR="006A778A" w:rsidRDefault="006A778A">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925F65" w14:textId="77777777" w:rsidR="006A778A" w:rsidRDefault="006A778A">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0499A1" w14:textId="77777777" w:rsidR="006A778A" w:rsidRDefault="006A778A">
    <w:pPr>
      <w:pStyle w:val="Noga"/>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370D7E" w14:textId="77777777" w:rsidR="006A778A" w:rsidRDefault="006A778A">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2B3CFB4" w14:textId="77777777" w:rsidR="00E46B24" w:rsidRPr="003152BA" w:rsidRDefault="00E46B24" w:rsidP="00014566">
      <w:r>
        <w:separator/>
      </w:r>
    </w:p>
  </w:footnote>
  <w:footnote w:type="continuationSeparator" w:id="0">
    <w:p w14:paraId="29403A6F" w14:textId="77777777" w:rsidR="00E46B24" w:rsidRPr="003152BA" w:rsidRDefault="00E46B24" w:rsidP="0001456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773F86" w14:textId="77777777" w:rsidR="006A778A" w:rsidRPr="00B01CD4" w:rsidRDefault="006A778A" w:rsidP="00B01CD4">
    <w:pPr>
      <w:pStyle w:val="Glava"/>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66C5D3" w14:textId="77777777" w:rsidR="006A778A" w:rsidRPr="00A45145" w:rsidRDefault="006A778A" w:rsidP="00B01CD4">
    <w:pPr>
      <w:jc w:val="center"/>
    </w:pPr>
    <w:r>
      <w:rPr>
        <w:noProof/>
        <w:lang w:val="sl-SI" w:eastAsia="sl-SI"/>
      </w:rPr>
      <w:drawing>
        <wp:inline distT="0" distB="0" distL="0" distR="0" wp14:anchorId="70C93F13" wp14:editId="7385C205">
          <wp:extent cx="2962275" cy="1219200"/>
          <wp:effectExtent l="0" t="0" r="9525" b="0"/>
          <wp:docPr id="1" name="Picture 1" descr="R:\1_Graphics&amp;Web\Court_Graphic_Charter\2013\ECHR_Stationery\Documents_and_Letters\Cover_Pages_And_Docs\White_600_dpi\ECHR_CoverpageCS61_ECHR_Coverpage_Header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1_Graphics&amp;Web\Court_Graphic_Charter\2013\ECHR_Stationery\Documents_and_Letters\Cover_Pages_And_Docs\White_600_dpi\ECHR_CoverpageCS61_ECHR_Coverpage_Header_Black.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62275" cy="1219200"/>
                  </a:xfrm>
                  <a:prstGeom prst="rect">
                    <a:avLst/>
                  </a:prstGeom>
                  <a:noFill/>
                  <a:ln>
                    <a:noFill/>
                  </a:ln>
                </pic:spPr>
              </pic:pic>
            </a:graphicData>
          </a:graphic>
        </wp:inline>
      </w:drawing>
    </w:r>
  </w:p>
  <w:p w14:paraId="18BFD44C" w14:textId="77777777" w:rsidR="006A778A" w:rsidRDefault="006A778A">
    <w:pPr>
      <w:pStyle w:val="Glav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23B727" w14:textId="6AE3F4F2" w:rsidR="006A778A" w:rsidRPr="003152BA" w:rsidRDefault="006A778A" w:rsidP="00EE1DA9">
    <w:pPr>
      <w:pStyle w:val="ECHRHeader"/>
    </w:pP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8066B4">
      <w:rPr>
        <w:rStyle w:val="tevilkastrani"/>
        <w:noProof/>
        <w:szCs w:val="18"/>
        <w:lang w:val="sl"/>
      </w:rPr>
      <w:t>2</w:t>
    </w:r>
    <w:r>
      <w:rPr>
        <w:rStyle w:val="tevilkastrani"/>
        <w:szCs w:val="18"/>
        <w:lang w:val="sl"/>
      </w:rPr>
      <w:fldChar w:fldCharType="end"/>
    </w:r>
    <w:r>
      <w:rPr>
        <w:lang w:val="sl"/>
      </w:rPr>
      <w:tab/>
      <w:t>DEVINAR proti SLOVENIJI SODBA</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6E892D" w14:textId="499DD3A3" w:rsidR="006A778A" w:rsidRPr="003152BA" w:rsidRDefault="006A778A" w:rsidP="00D60D87">
    <w:pPr>
      <w:pStyle w:val="ECHRHeader"/>
    </w:pPr>
    <w:r>
      <w:rPr>
        <w:lang w:val="sl"/>
      </w:rPr>
      <w:tab/>
      <w:t>DEVINAR proti SLOVENIJI SODBA</w:t>
    </w:r>
    <w:r>
      <w:rPr>
        <w:lang w:val="sl"/>
      </w:rPr>
      <w:tab/>
    </w:r>
    <w:r>
      <w:rPr>
        <w:rStyle w:val="tevilkastrani"/>
        <w:szCs w:val="18"/>
        <w:lang w:val="sl"/>
      </w:rPr>
      <w:fldChar w:fldCharType="begin"/>
    </w:r>
    <w:r>
      <w:rPr>
        <w:rStyle w:val="tevilkastrani"/>
        <w:szCs w:val="18"/>
        <w:lang w:val="sl"/>
      </w:rPr>
      <w:instrText xml:space="preserve"> PAGE </w:instrText>
    </w:r>
    <w:r>
      <w:rPr>
        <w:rStyle w:val="tevilkastrani"/>
        <w:szCs w:val="18"/>
        <w:lang w:val="sl"/>
      </w:rPr>
      <w:fldChar w:fldCharType="separate"/>
    </w:r>
    <w:r w:rsidR="008066B4">
      <w:rPr>
        <w:rStyle w:val="tevilkastrani"/>
        <w:noProof/>
        <w:szCs w:val="18"/>
        <w:lang w:val="sl"/>
      </w:rPr>
      <w:t>3</w:t>
    </w:r>
    <w:r>
      <w:rPr>
        <w:rStyle w:val="tevilkastrani"/>
        <w:szCs w:val="18"/>
        <w:lang w:val="sl"/>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30A3F1E" w14:textId="1F951271" w:rsidR="006A778A" w:rsidRPr="00D76B80" w:rsidRDefault="006A778A" w:rsidP="006A778A">
    <w:pPr>
      <w:pStyle w:val="ECHRHeader"/>
      <w:rPr>
        <w:lang w:val="it-IT"/>
      </w:rPr>
    </w:pPr>
    <w:r>
      <w:rPr>
        <w:rStyle w:val="tevilkastrani"/>
        <w:lang w:val="sl"/>
      </w:rPr>
      <w:fldChar w:fldCharType="begin"/>
    </w:r>
    <w:r>
      <w:rPr>
        <w:rStyle w:val="tevilkastrani"/>
        <w:lang w:val="sl"/>
      </w:rPr>
      <w:instrText xml:space="preserve"> PAGE </w:instrText>
    </w:r>
    <w:r>
      <w:rPr>
        <w:rStyle w:val="tevilkastrani"/>
        <w:lang w:val="sl"/>
      </w:rPr>
      <w:fldChar w:fldCharType="separate"/>
    </w:r>
    <w:r w:rsidR="008066B4">
      <w:rPr>
        <w:rStyle w:val="tevilkastrani"/>
        <w:noProof/>
        <w:lang w:val="sl"/>
      </w:rPr>
      <w:t>16</w:t>
    </w:r>
    <w:r>
      <w:rPr>
        <w:rStyle w:val="tevilkastrani"/>
        <w:lang w:val="sl"/>
      </w:rPr>
      <w:fldChar w:fldCharType="end"/>
    </w:r>
    <w:r>
      <w:rPr>
        <w:lang w:val="sl"/>
      </w:rPr>
      <w:tab/>
      <w:t xml:space="preserve">DEVINAR proti SLOVENIJI SODBA – LOČENI MNENJI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925F9A" w14:textId="24207EE3" w:rsidR="006A778A" w:rsidRPr="00D76B80" w:rsidRDefault="006A778A" w:rsidP="006A778A">
    <w:pPr>
      <w:pStyle w:val="ECHRHeader"/>
      <w:rPr>
        <w:lang w:val="it-IT"/>
      </w:rPr>
    </w:pPr>
    <w:r>
      <w:rPr>
        <w:lang w:val="sl"/>
      </w:rPr>
      <w:tab/>
      <w:t>DEVINAR proti  SLOVENIJI SODBA – LOČENI MNENJI</w:t>
    </w:r>
    <w:r>
      <w:rPr>
        <w:lang w:val="sl"/>
      </w:rPr>
      <w:tab/>
    </w:r>
    <w:r>
      <w:rPr>
        <w:rStyle w:val="tevilkastrani"/>
        <w:lang w:val="sl"/>
      </w:rPr>
      <w:fldChar w:fldCharType="begin"/>
    </w:r>
    <w:r>
      <w:rPr>
        <w:rStyle w:val="tevilkastrani"/>
        <w:lang w:val="sl"/>
      </w:rPr>
      <w:instrText xml:space="preserve"> PAGE </w:instrText>
    </w:r>
    <w:r>
      <w:rPr>
        <w:rStyle w:val="tevilkastrani"/>
        <w:lang w:val="sl"/>
      </w:rPr>
      <w:fldChar w:fldCharType="separate"/>
    </w:r>
    <w:r w:rsidR="008066B4">
      <w:rPr>
        <w:rStyle w:val="tevilkastrani"/>
        <w:noProof/>
        <w:lang w:val="sl"/>
      </w:rPr>
      <w:t>17</w:t>
    </w:r>
    <w:r>
      <w:rPr>
        <w:rStyle w:val="tevilkastrani"/>
        <w:lang w:val="sl"/>
      </w:rPr>
      <w:fldChar w:fldCharType="end"/>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D020B" w14:textId="77777777" w:rsidR="006A778A" w:rsidRDefault="006A778A">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00180FE6"/>
    <w:lvl w:ilvl="0">
      <w:start w:val="1"/>
      <w:numFmt w:val="decimal"/>
      <w:pStyle w:val="Otevilenseznam5"/>
      <w:lvlText w:val="%1."/>
      <w:lvlJc w:val="left"/>
      <w:pPr>
        <w:tabs>
          <w:tab w:val="num" w:pos="1492"/>
        </w:tabs>
        <w:ind w:left="1492" w:hanging="360"/>
      </w:pPr>
    </w:lvl>
  </w:abstractNum>
  <w:abstractNum w:abstractNumId="1" w15:restartNumberingAfterBreak="0">
    <w:nsid w:val="FFFFFF7D"/>
    <w:multiLevelType w:val="singleLevel"/>
    <w:tmpl w:val="B90ECFBC"/>
    <w:lvl w:ilvl="0">
      <w:start w:val="1"/>
      <w:numFmt w:val="decimal"/>
      <w:pStyle w:val="Otevilenseznam4"/>
      <w:lvlText w:val="%1."/>
      <w:lvlJc w:val="left"/>
      <w:pPr>
        <w:tabs>
          <w:tab w:val="num" w:pos="1209"/>
        </w:tabs>
        <w:ind w:left="1209" w:hanging="360"/>
      </w:pPr>
    </w:lvl>
  </w:abstractNum>
  <w:abstractNum w:abstractNumId="2" w15:restartNumberingAfterBreak="0">
    <w:nsid w:val="FFFFFF7E"/>
    <w:multiLevelType w:val="singleLevel"/>
    <w:tmpl w:val="C5B8BEFC"/>
    <w:lvl w:ilvl="0">
      <w:start w:val="1"/>
      <w:numFmt w:val="decimal"/>
      <w:pStyle w:val="Otevilenseznam3"/>
      <w:lvlText w:val="%1."/>
      <w:lvlJc w:val="left"/>
      <w:pPr>
        <w:tabs>
          <w:tab w:val="num" w:pos="926"/>
        </w:tabs>
        <w:ind w:left="926" w:hanging="360"/>
      </w:pPr>
    </w:lvl>
  </w:abstractNum>
  <w:abstractNum w:abstractNumId="3" w15:restartNumberingAfterBreak="0">
    <w:nsid w:val="FFFFFF7F"/>
    <w:multiLevelType w:val="singleLevel"/>
    <w:tmpl w:val="6F1CF73A"/>
    <w:lvl w:ilvl="0">
      <w:start w:val="1"/>
      <w:numFmt w:val="decimal"/>
      <w:pStyle w:val="Otevilenseznam2"/>
      <w:lvlText w:val="%1."/>
      <w:lvlJc w:val="left"/>
      <w:pPr>
        <w:tabs>
          <w:tab w:val="num" w:pos="643"/>
        </w:tabs>
        <w:ind w:left="643" w:hanging="360"/>
      </w:pPr>
    </w:lvl>
  </w:abstractNum>
  <w:abstractNum w:abstractNumId="4" w15:restartNumberingAfterBreak="0">
    <w:nsid w:val="FFFFFF80"/>
    <w:multiLevelType w:val="singleLevel"/>
    <w:tmpl w:val="23802660"/>
    <w:lvl w:ilvl="0">
      <w:start w:val="1"/>
      <w:numFmt w:val="bullet"/>
      <w:pStyle w:val="Oznaenseznam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0C2C346"/>
    <w:lvl w:ilvl="0">
      <w:start w:val="1"/>
      <w:numFmt w:val="bullet"/>
      <w:pStyle w:val="Oznaenseznam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9482EC3A"/>
    <w:lvl w:ilvl="0">
      <w:start w:val="1"/>
      <w:numFmt w:val="bullet"/>
      <w:pStyle w:val="Oznaenseznam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7666B2C2"/>
    <w:lvl w:ilvl="0">
      <w:start w:val="1"/>
      <w:numFmt w:val="bullet"/>
      <w:pStyle w:val="Oznaenseznam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2760110"/>
    <w:lvl w:ilvl="0">
      <w:start w:val="1"/>
      <w:numFmt w:val="decimal"/>
      <w:pStyle w:val="Otevilenseznam"/>
      <w:lvlText w:val="%1."/>
      <w:lvlJc w:val="left"/>
      <w:pPr>
        <w:tabs>
          <w:tab w:val="num" w:pos="360"/>
        </w:tabs>
        <w:ind w:left="360" w:hanging="360"/>
      </w:pPr>
    </w:lvl>
  </w:abstractNum>
  <w:abstractNum w:abstractNumId="9" w15:restartNumberingAfterBreak="0">
    <w:nsid w:val="0066004F"/>
    <w:multiLevelType w:val="multilevel"/>
    <w:tmpl w:val="040C001D"/>
    <w:styleLink w:val="1ai"/>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163F153D"/>
    <w:multiLevelType w:val="multilevel"/>
    <w:tmpl w:val="040C001F"/>
    <w:styleLink w:val="111111"/>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67FD1241"/>
    <w:multiLevelType w:val="hybridMultilevel"/>
    <w:tmpl w:val="F6D86CC2"/>
    <w:lvl w:ilvl="0" w:tplc="E4205412">
      <w:start w:val="1"/>
      <w:numFmt w:val="bullet"/>
      <w:pStyle w:val="Oznaenseznam"/>
      <w:lvlText w:val=""/>
      <w:lvlJc w:val="left"/>
      <w:pPr>
        <w:tabs>
          <w:tab w:val="num" w:pos="851"/>
        </w:tabs>
        <w:ind w:left="568" w:firstLine="0"/>
      </w:pPr>
      <w:rPr>
        <w:rFonts w:ascii="Wingdings" w:hAnsi="Wingdings" w:hint="default"/>
        <w:color w:val="808080"/>
        <w:sz w:val="16"/>
      </w:rPr>
    </w:lvl>
    <w:lvl w:ilvl="1" w:tplc="08090003" w:tentative="1">
      <w:start w:val="1"/>
      <w:numFmt w:val="bullet"/>
      <w:lvlText w:val="o"/>
      <w:lvlJc w:val="left"/>
      <w:pPr>
        <w:tabs>
          <w:tab w:val="num" w:pos="1724"/>
        </w:tabs>
        <w:ind w:left="1724" w:hanging="360"/>
      </w:pPr>
      <w:rPr>
        <w:rFonts w:ascii="Courier New" w:hAnsi="Courier New" w:cs="Courier New" w:hint="default"/>
      </w:rPr>
    </w:lvl>
    <w:lvl w:ilvl="2" w:tplc="08090005" w:tentative="1">
      <w:start w:val="1"/>
      <w:numFmt w:val="bullet"/>
      <w:lvlText w:val=""/>
      <w:lvlJc w:val="left"/>
      <w:pPr>
        <w:tabs>
          <w:tab w:val="num" w:pos="2444"/>
        </w:tabs>
        <w:ind w:left="2444" w:hanging="360"/>
      </w:pPr>
      <w:rPr>
        <w:rFonts w:ascii="Wingdings" w:hAnsi="Wingdings" w:hint="default"/>
      </w:rPr>
    </w:lvl>
    <w:lvl w:ilvl="3" w:tplc="08090001" w:tentative="1">
      <w:start w:val="1"/>
      <w:numFmt w:val="bullet"/>
      <w:lvlText w:val=""/>
      <w:lvlJc w:val="left"/>
      <w:pPr>
        <w:tabs>
          <w:tab w:val="num" w:pos="3164"/>
        </w:tabs>
        <w:ind w:left="3164" w:hanging="360"/>
      </w:pPr>
      <w:rPr>
        <w:rFonts w:ascii="Symbol" w:hAnsi="Symbol" w:hint="default"/>
      </w:rPr>
    </w:lvl>
    <w:lvl w:ilvl="4" w:tplc="08090003" w:tentative="1">
      <w:start w:val="1"/>
      <w:numFmt w:val="bullet"/>
      <w:lvlText w:val="o"/>
      <w:lvlJc w:val="left"/>
      <w:pPr>
        <w:tabs>
          <w:tab w:val="num" w:pos="3884"/>
        </w:tabs>
        <w:ind w:left="3884" w:hanging="360"/>
      </w:pPr>
      <w:rPr>
        <w:rFonts w:ascii="Courier New" w:hAnsi="Courier New" w:cs="Courier New" w:hint="default"/>
      </w:rPr>
    </w:lvl>
    <w:lvl w:ilvl="5" w:tplc="08090005" w:tentative="1">
      <w:start w:val="1"/>
      <w:numFmt w:val="bullet"/>
      <w:lvlText w:val=""/>
      <w:lvlJc w:val="left"/>
      <w:pPr>
        <w:tabs>
          <w:tab w:val="num" w:pos="4604"/>
        </w:tabs>
        <w:ind w:left="4604" w:hanging="360"/>
      </w:pPr>
      <w:rPr>
        <w:rFonts w:ascii="Wingdings" w:hAnsi="Wingdings" w:hint="default"/>
      </w:rPr>
    </w:lvl>
    <w:lvl w:ilvl="6" w:tplc="08090001" w:tentative="1">
      <w:start w:val="1"/>
      <w:numFmt w:val="bullet"/>
      <w:lvlText w:val=""/>
      <w:lvlJc w:val="left"/>
      <w:pPr>
        <w:tabs>
          <w:tab w:val="num" w:pos="5324"/>
        </w:tabs>
        <w:ind w:left="5324" w:hanging="360"/>
      </w:pPr>
      <w:rPr>
        <w:rFonts w:ascii="Symbol" w:hAnsi="Symbol" w:hint="default"/>
      </w:rPr>
    </w:lvl>
    <w:lvl w:ilvl="7" w:tplc="08090003" w:tentative="1">
      <w:start w:val="1"/>
      <w:numFmt w:val="bullet"/>
      <w:lvlText w:val="o"/>
      <w:lvlJc w:val="left"/>
      <w:pPr>
        <w:tabs>
          <w:tab w:val="num" w:pos="6044"/>
        </w:tabs>
        <w:ind w:left="6044" w:hanging="360"/>
      </w:pPr>
      <w:rPr>
        <w:rFonts w:ascii="Courier New" w:hAnsi="Courier New" w:cs="Courier New" w:hint="default"/>
      </w:rPr>
    </w:lvl>
    <w:lvl w:ilvl="8" w:tplc="08090005" w:tentative="1">
      <w:start w:val="1"/>
      <w:numFmt w:val="bullet"/>
      <w:lvlText w:val=""/>
      <w:lvlJc w:val="left"/>
      <w:pPr>
        <w:tabs>
          <w:tab w:val="num" w:pos="6764"/>
        </w:tabs>
        <w:ind w:left="6764" w:hanging="360"/>
      </w:pPr>
      <w:rPr>
        <w:rFonts w:ascii="Wingdings" w:hAnsi="Wingdings" w:hint="default"/>
      </w:rPr>
    </w:lvl>
  </w:abstractNum>
  <w:abstractNum w:abstractNumId="12" w15:restartNumberingAfterBreak="0">
    <w:nsid w:val="76903243"/>
    <w:multiLevelType w:val="multilevel"/>
    <w:tmpl w:val="E884A926"/>
    <w:lvl w:ilvl="0">
      <w:start w:val="1"/>
      <w:numFmt w:val="decimal"/>
      <w:pStyle w:val="JuAppQuestion"/>
      <w:lvlText w:val="%1."/>
      <w:lvlJc w:val="left"/>
      <w:pPr>
        <w:tabs>
          <w:tab w:val="num" w:pos="720"/>
        </w:tabs>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3" w15:restartNumberingAfterBreak="0">
    <w:nsid w:val="7737461D"/>
    <w:multiLevelType w:val="multilevel"/>
    <w:tmpl w:val="040C0023"/>
    <w:styleLink w:val="lenOdsek"/>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abstractNumId w:val="11"/>
  </w:num>
  <w:num w:numId="2">
    <w:abstractNumId w:val="10"/>
  </w:num>
  <w:num w:numId="3">
    <w:abstractNumId w:val="9"/>
  </w:num>
  <w:num w:numId="4">
    <w:abstractNumId w:val="13"/>
  </w:num>
  <w:num w:numId="5">
    <w:abstractNumId w:val="7"/>
  </w:num>
  <w:num w:numId="6">
    <w:abstractNumId w:val="6"/>
  </w:num>
  <w:num w:numId="7">
    <w:abstractNumId w:val="5"/>
  </w:num>
  <w:num w:numId="8">
    <w:abstractNumId w:val="4"/>
  </w:num>
  <w:num w:numId="9">
    <w:abstractNumId w:val="8"/>
  </w:num>
  <w:num w:numId="10">
    <w:abstractNumId w:val="3"/>
  </w:num>
  <w:num w:numId="11">
    <w:abstractNumId w:val="2"/>
  </w:num>
  <w:num w:numId="12">
    <w:abstractNumId w:val="1"/>
  </w:num>
  <w:num w:numId="13">
    <w:abstractNumId w:val="0"/>
  </w:num>
  <w:num w:numId="14">
    <w:abstractNumId w:val="12"/>
  </w:num>
  <w:num w:numId="15">
    <w:abstractNumId w:val="12"/>
  </w:num>
  <w:num w:numId="16">
    <w:abstractNumId w:val="12"/>
  </w:num>
  <w:num w:numId="17">
    <w:abstractNumId w:val="12"/>
  </w:num>
  <w:num w:numId="18">
    <w:abstractNumId w:val="12"/>
  </w:num>
  <w:num w:numId="19">
    <w:abstractNumId w:val="12"/>
  </w:num>
  <w:num w:numId="20">
    <w:abstractNumId w:val="12"/>
  </w:num>
  <w:num w:numId="21">
    <w:abstractNumId w:val="12"/>
  </w:num>
  <w:num w:numId="22">
    <w:abstractNumId w:val="12"/>
  </w:num>
  <w:num w:numId="23">
    <w:abstractNumId w:val="12"/>
  </w:num>
  <w:num w:numId="24">
    <w:abstractNumId w:val="12"/>
  </w:num>
  <w:num w:numId="25">
    <w:abstractNumId w:val="12"/>
  </w:num>
  <w:num w:numId="2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hyphenationZone w:val="425"/>
  <w:evenAndOddHeaders/>
  <w:drawingGridHorizontalSpacing w:val="110"/>
  <w:displayHorizontalDrawingGridEvery w:val="2"/>
  <w:displayVerticalDrawingGridEvery w:val="2"/>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MM" w:val="0"/>
    <w:docVar w:name="NBEMMDOC" w:val="0"/>
  </w:docVars>
  <w:rsids>
    <w:rsidRoot w:val="005A07CE"/>
    <w:rsid w:val="00000067"/>
    <w:rsid w:val="000010ED"/>
    <w:rsid w:val="00003FD9"/>
    <w:rsid w:val="000041F8"/>
    <w:rsid w:val="000042A8"/>
    <w:rsid w:val="00004308"/>
    <w:rsid w:val="00005BF0"/>
    <w:rsid w:val="00007154"/>
    <w:rsid w:val="000078CE"/>
    <w:rsid w:val="00007CC7"/>
    <w:rsid w:val="00010069"/>
    <w:rsid w:val="000103AE"/>
    <w:rsid w:val="00011D69"/>
    <w:rsid w:val="00012AD3"/>
    <w:rsid w:val="00014566"/>
    <w:rsid w:val="00015C2D"/>
    <w:rsid w:val="00015D6A"/>
    <w:rsid w:val="00015F00"/>
    <w:rsid w:val="00016A63"/>
    <w:rsid w:val="00022C1D"/>
    <w:rsid w:val="0003043E"/>
    <w:rsid w:val="00034987"/>
    <w:rsid w:val="000350E3"/>
    <w:rsid w:val="000409A4"/>
    <w:rsid w:val="0004269F"/>
    <w:rsid w:val="000540D2"/>
    <w:rsid w:val="00054FEE"/>
    <w:rsid w:val="000602DF"/>
    <w:rsid w:val="00061B05"/>
    <w:rsid w:val="00062973"/>
    <w:rsid w:val="00062D5D"/>
    <w:rsid w:val="000632D5"/>
    <w:rsid w:val="000644EE"/>
    <w:rsid w:val="0006462F"/>
    <w:rsid w:val="00066F84"/>
    <w:rsid w:val="00071ABC"/>
    <w:rsid w:val="0007214C"/>
    <w:rsid w:val="000842EC"/>
    <w:rsid w:val="000856D7"/>
    <w:rsid w:val="00085D67"/>
    <w:rsid w:val="000902AD"/>
    <w:rsid w:val="000925AD"/>
    <w:rsid w:val="00094B67"/>
    <w:rsid w:val="000A21CC"/>
    <w:rsid w:val="000A24EB"/>
    <w:rsid w:val="000B2361"/>
    <w:rsid w:val="000B6923"/>
    <w:rsid w:val="000C033C"/>
    <w:rsid w:val="000C4302"/>
    <w:rsid w:val="000C5F3C"/>
    <w:rsid w:val="000C66DC"/>
    <w:rsid w:val="000C6DCC"/>
    <w:rsid w:val="000D0631"/>
    <w:rsid w:val="000D312D"/>
    <w:rsid w:val="000D47AA"/>
    <w:rsid w:val="000D721F"/>
    <w:rsid w:val="000E069B"/>
    <w:rsid w:val="000E0E82"/>
    <w:rsid w:val="000E165A"/>
    <w:rsid w:val="000E1DC5"/>
    <w:rsid w:val="000E223F"/>
    <w:rsid w:val="000E35AC"/>
    <w:rsid w:val="000E7D45"/>
    <w:rsid w:val="000F338C"/>
    <w:rsid w:val="000F6F52"/>
    <w:rsid w:val="000F7851"/>
    <w:rsid w:val="00104E23"/>
    <w:rsid w:val="00105219"/>
    <w:rsid w:val="00111B0C"/>
    <w:rsid w:val="00114489"/>
    <w:rsid w:val="00116AB7"/>
    <w:rsid w:val="00120D6C"/>
    <w:rsid w:val="00123B64"/>
    <w:rsid w:val="001257EC"/>
    <w:rsid w:val="00126A7F"/>
    <w:rsid w:val="00127639"/>
    <w:rsid w:val="00127771"/>
    <w:rsid w:val="0013107E"/>
    <w:rsid w:val="00131313"/>
    <w:rsid w:val="00132AAE"/>
    <w:rsid w:val="00132C6A"/>
    <w:rsid w:val="00133D33"/>
    <w:rsid w:val="00134D64"/>
    <w:rsid w:val="00135A30"/>
    <w:rsid w:val="0013612C"/>
    <w:rsid w:val="00137FF6"/>
    <w:rsid w:val="00141650"/>
    <w:rsid w:val="00141C9A"/>
    <w:rsid w:val="001457D8"/>
    <w:rsid w:val="00152735"/>
    <w:rsid w:val="0015741A"/>
    <w:rsid w:val="00162A12"/>
    <w:rsid w:val="00166530"/>
    <w:rsid w:val="0017193C"/>
    <w:rsid w:val="0017421C"/>
    <w:rsid w:val="00174F76"/>
    <w:rsid w:val="001832BD"/>
    <w:rsid w:val="00193345"/>
    <w:rsid w:val="001943B5"/>
    <w:rsid w:val="00195134"/>
    <w:rsid w:val="00196E76"/>
    <w:rsid w:val="001A145B"/>
    <w:rsid w:val="001A60B7"/>
    <w:rsid w:val="001A674C"/>
    <w:rsid w:val="001A700A"/>
    <w:rsid w:val="001B3515"/>
    <w:rsid w:val="001B3B24"/>
    <w:rsid w:val="001C0F98"/>
    <w:rsid w:val="001C2A42"/>
    <w:rsid w:val="001C2F17"/>
    <w:rsid w:val="001C5DD5"/>
    <w:rsid w:val="001C7D68"/>
    <w:rsid w:val="001D2158"/>
    <w:rsid w:val="001D33D9"/>
    <w:rsid w:val="001D4151"/>
    <w:rsid w:val="001D4279"/>
    <w:rsid w:val="001D6016"/>
    <w:rsid w:val="001D63ED"/>
    <w:rsid w:val="001D7348"/>
    <w:rsid w:val="001E035B"/>
    <w:rsid w:val="001E0961"/>
    <w:rsid w:val="001E097F"/>
    <w:rsid w:val="001E2D63"/>
    <w:rsid w:val="001E3A51"/>
    <w:rsid w:val="001E3EAE"/>
    <w:rsid w:val="001E5348"/>
    <w:rsid w:val="001E64BF"/>
    <w:rsid w:val="001E6F32"/>
    <w:rsid w:val="001F0C44"/>
    <w:rsid w:val="001F123E"/>
    <w:rsid w:val="001F2145"/>
    <w:rsid w:val="001F6262"/>
    <w:rsid w:val="001F67B0"/>
    <w:rsid w:val="001F7B3D"/>
    <w:rsid w:val="00205657"/>
    <w:rsid w:val="00205F9F"/>
    <w:rsid w:val="00210338"/>
    <w:rsid w:val="002115FC"/>
    <w:rsid w:val="0021230F"/>
    <w:rsid w:val="002133F8"/>
    <w:rsid w:val="002139AD"/>
    <w:rsid w:val="0021423C"/>
    <w:rsid w:val="00215A6A"/>
    <w:rsid w:val="00216716"/>
    <w:rsid w:val="00222924"/>
    <w:rsid w:val="00230D00"/>
    <w:rsid w:val="00231DF7"/>
    <w:rsid w:val="00231FD1"/>
    <w:rsid w:val="002339E0"/>
    <w:rsid w:val="00233CF8"/>
    <w:rsid w:val="0023575D"/>
    <w:rsid w:val="002366A2"/>
    <w:rsid w:val="00237148"/>
    <w:rsid w:val="002403DA"/>
    <w:rsid w:val="0024222D"/>
    <w:rsid w:val="00244B0E"/>
    <w:rsid w:val="00244F6C"/>
    <w:rsid w:val="00247622"/>
    <w:rsid w:val="002532C5"/>
    <w:rsid w:val="00260C03"/>
    <w:rsid w:val="0026540E"/>
    <w:rsid w:val="00266A8E"/>
    <w:rsid w:val="0027225C"/>
    <w:rsid w:val="00275123"/>
    <w:rsid w:val="00282240"/>
    <w:rsid w:val="0028572A"/>
    <w:rsid w:val="002948AD"/>
    <w:rsid w:val="00294C05"/>
    <w:rsid w:val="00294C92"/>
    <w:rsid w:val="002964C9"/>
    <w:rsid w:val="00297AEF"/>
    <w:rsid w:val="002A01CC"/>
    <w:rsid w:val="002A1031"/>
    <w:rsid w:val="002A61B1"/>
    <w:rsid w:val="002A663C"/>
    <w:rsid w:val="002B1E6C"/>
    <w:rsid w:val="002B444B"/>
    <w:rsid w:val="002B5887"/>
    <w:rsid w:val="002C0692"/>
    <w:rsid w:val="002C0E27"/>
    <w:rsid w:val="002C3040"/>
    <w:rsid w:val="002C63AF"/>
    <w:rsid w:val="002D022D"/>
    <w:rsid w:val="002D2041"/>
    <w:rsid w:val="002D24BB"/>
    <w:rsid w:val="002E7A1B"/>
    <w:rsid w:val="002F171B"/>
    <w:rsid w:val="002F1ABB"/>
    <w:rsid w:val="002F2AF7"/>
    <w:rsid w:val="002F4A5B"/>
    <w:rsid w:val="002F6F29"/>
    <w:rsid w:val="002F794A"/>
    <w:rsid w:val="002F7E1C"/>
    <w:rsid w:val="00301A75"/>
    <w:rsid w:val="00302F70"/>
    <w:rsid w:val="0030336F"/>
    <w:rsid w:val="0030375E"/>
    <w:rsid w:val="00304225"/>
    <w:rsid w:val="003052F4"/>
    <w:rsid w:val="003064D8"/>
    <w:rsid w:val="0031102C"/>
    <w:rsid w:val="003121BB"/>
    <w:rsid w:val="00312A30"/>
    <w:rsid w:val="003152BA"/>
    <w:rsid w:val="00320F72"/>
    <w:rsid w:val="0032402D"/>
    <w:rsid w:val="0032463E"/>
    <w:rsid w:val="00326224"/>
    <w:rsid w:val="0032676F"/>
    <w:rsid w:val="00331EAC"/>
    <w:rsid w:val="00336DFF"/>
    <w:rsid w:val="00337EE4"/>
    <w:rsid w:val="00340FFD"/>
    <w:rsid w:val="003506B1"/>
    <w:rsid w:val="0035190D"/>
    <w:rsid w:val="003545D7"/>
    <w:rsid w:val="00356AC7"/>
    <w:rsid w:val="003609FA"/>
    <w:rsid w:val="00362C21"/>
    <w:rsid w:val="003651E1"/>
    <w:rsid w:val="00365658"/>
    <w:rsid w:val="003710C8"/>
    <w:rsid w:val="0037328A"/>
    <w:rsid w:val="003750BE"/>
    <w:rsid w:val="00384E7C"/>
    <w:rsid w:val="003870AC"/>
    <w:rsid w:val="00387B9D"/>
    <w:rsid w:val="00390A4C"/>
    <w:rsid w:val="003928D4"/>
    <w:rsid w:val="0039364F"/>
    <w:rsid w:val="00396686"/>
    <w:rsid w:val="0039778E"/>
    <w:rsid w:val="003A0ABC"/>
    <w:rsid w:val="003A4333"/>
    <w:rsid w:val="003A441D"/>
    <w:rsid w:val="003A7E8B"/>
    <w:rsid w:val="003B4941"/>
    <w:rsid w:val="003B619B"/>
    <w:rsid w:val="003C3122"/>
    <w:rsid w:val="003C4E00"/>
    <w:rsid w:val="003C5714"/>
    <w:rsid w:val="003C6B9F"/>
    <w:rsid w:val="003C6E2A"/>
    <w:rsid w:val="003D0299"/>
    <w:rsid w:val="003D0AE9"/>
    <w:rsid w:val="003D38BD"/>
    <w:rsid w:val="003E6D80"/>
    <w:rsid w:val="003E78AF"/>
    <w:rsid w:val="003F01AB"/>
    <w:rsid w:val="003F05FA"/>
    <w:rsid w:val="003F244A"/>
    <w:rsid w:val="003F30B8"/>
    <w:rsid w:val="003F4C45"/>
    <w:rsid w:val="003F5949"/>
    <w:rsid w:val="003F5F7B"/>
    <w:rsid w:val="003F6B60"/>
    <w:rsid w:val="003F7D64"/>
    <w:rsid w:val="00414300"/>
    <w:rsid w:val="00415AB6"/>
    <w:rsid w:val="004166DE"/>
    <w:rsid w:val="00425C67"/>
    <w:rsid w:val="00427E7A"/>
    <w:rsid w:val="0043014D"/>
    <w:rsid w:val="00431073"/>
    <w:rsid w:val="00435CE5"/>
    <w:rsid w:val="00436307"/>
    <w:rsid w:val="00436C49"/>
    <w:rsid w:val="00445366"/>
    <w:rsid w:val="00447F5B"/>
    <w:rsid w:val="0045170A"/>
    <w:rsid w:val="00461687"/>
    <w:rsid w:val="00461DB0"/>
    <w:rsid w:val="00463926"/>
    <w:rsid w:val="00464097"/>
    <w:rsid w:val="004646E0"/>
    <w:rsid w:val="00464C9A"/>
    <w:rsid w:val="00465950"/>
    <w:rsid w:val="00466DF7"/>
    <w:rsid w:val="00467E4A"/>
    <w:rsid w:val="00474175"/>
    <w:rsid w:val="004745DE"/>
    <w:rsid w:val="00474F3D"/>
    <w:rsid w:val="004771CA"/>
    <w:rsid w:val="00477E3A"/>
    <w:rsid w:val="00483E5F"/>
    <w:rsid w:val="004840B5"/>
    <w:rsid w:val="00485FF9"/>
    <w:rsid w:val="00487337"/>
    <w:rsid w:val="004907F0"/>
    <w:rsid w:val="0049140B"/>
    <w:rsid w:val="004923A5"/>
    <w:rsid w:val="00496BFB"/>
    <w:rsid w:val="00497433"/>
    <w:rsid w:val="004A1013"/>
    <w:rsid w:val="004A15C7"/>
    <w:rsid w:val="004A213D"/>
    <w:rsid w:val="004A2B9E"/>
    <w:rsid w:val="004B013B"/>
    <w:rsid w:val="004B112B"/>
    <w:rsid w:val="004B293D"/>
    <w:rsid w:val="004B36F7"/>
    <w:rsid w:val="004C01E4"/>
    <w:rsid w:val="004C086C"/>
    <w:rsid w:val="004C1F56"/>
    <w:rsid w:val="004C2744"/>
    <w:rsid w:val="004C27BC"/>
    <w:rsid w:val="004C2D84"/>
    <w:rsid w:val="004C6B00"/>
    <w:rsid w:val="004C7116"/>
    <w:rsid w:val="004C74A5"/>
    <w:rsid w:val="004D15F3"/>
    <w:rsid w:val="004D347F"/>
    <w:rsid w:val="004D37CA"/>
    <w:rsid w:val="004D5311"/>
    <w:rsid w:val="004D5DCC"/>
    <w:rsid w:val="004D70EB"/>
    <w:rsid w:val="004E0FE2"/>
    <w:rsid w:val="004E2161"/>
    <w:rsid w:val="004F10AF"/>
    <w:rsid w:val="004F11A4"/>
    <w:rsid w:val="004F2389"/>
    <w:rsid w:val="004F304D"/>
    <w:rsid w:val="004F61BE"/>
    <w:rsid w:val="004F66B1"/>
    <w:rsid w:val="00502A0D"/>
    <w:rsid w:val="0050669E"/>
    <w:rsid w:val="00510B73"/>
    <w:rsid w:val="00511C07"/>
    <w:rsid w:val="005126C4"/>
    <w:rsid w:val="00512D5D"/>
    <w:rsid w:val="005173A6"/>
    <w:rsid w:val="00520BAA"/>
    <w:rsid w:val="00523929"/>
    <w:rsid w:val="00525208"/>
    <w:rsid w:val="005257A5"/>
    <w:rsid w:val="005264C0"/>
    <w:rsid w:val="00526515"/>
    <w:rsid w:val="00526A8A"/>
    <w:rsid w:val="00530586"/>
    <w:rsid w:val="00531DF2"/>
    <w:rsid w:val="00531F32"/>
    <w:rsid w:val="00533CF7"/>
    <w:rsid w:val="00535BB8"/>
    <w:rsid w:val="005442EE"/>
    <w:rsid w:val="00547353"/>
    <w:rsid w:val="005474E7"/>
    <w:rsid w:val="005512A3"/>
    <w:rsid w:val="005529BA"/>
    <w:rsid w:val="005567B5"/>
    <w:rsid w:val="00556C2C"/>
    <w:rsid w:val="005578CE"/>
    <w:rsid w:val="00560B28"/>
    <w:rsid w:val="00562781"/>
    <w:rsid w:val="00563B2F"/>
    <w:rsid w:val="00563E83"/>
    <w:rsid w:val="00564BC2"/>
    <w:rsid w:val="00570E5D"/>
    <w:rsid w:val="0057271C"/>
    <w:rsid w:val="00572845"/>
    <w:rsid w:val="00574608"/>
    <w:rsid w:val="0059208F"/>
    <w:rsid w:val="00592772"/>
    <w:rsid w:val="00594628"/>
    <w:rsid w:val="0059574A"/>
    <w:rsid w:val="005969EC"/>
    <w:rsid w:val="00596DA7"/>
    <w:rsid w:val="00597DD8"/>
    <w:rsid w:val="005A07CE"/>
    <w:rsid w:val="005A1B9B"/>
    <w:rsid w:val="005A4460"/>
    <w:rsid w:val="005A6751"/>
    <w:rsid w:val="005B092E"/>
    <w:rsid w:val="005B152C"/>
    <w:rsid w:val="005B164D"/>
    <w:rsid w:val="005B1EE0"/>
    <w:rsid w:val="005B2B24"/>
    <w:rsid w:val="005B3799"/>
    <w:rsid w:val="005B4064"/>
    <w:rsid w:val="005B4425"/>
    <w:rsid w:val="005B4B94"/>
    <w:rsid w:val="005B6368"/>
    <w:rsid w:val="005C18D3"/>
    <w:rsid w:val="005C3EE8"/>
    <w:rsid w:val="005C7E1C"/>
    <w:rsid w:val="005C7ECA"/>
    <w:rsid w:val="005D34F9"/>
    <w:rsid w:val="005D4190"/>
    <w:rsid w:val="005D67A3"/>
    <w:rsid w:val="005E2988"/>
    <w:rsid w:val="005E2A43"/>
    <w:rsid w:val="005E2C1C"/>
    <w:rsid w:val="005E3085"/>
    <w:rsid w:val="005E438A"/>
    <w:rsid w:val="005E4578"/>
    <w:rsid w:val="005E49E2"/>
    <w:rsid w:val="005E62A4"/>
    <w:rsid w:val="005F51E1"/>
    <w:rsid w:val="005F67A5"/>
    <w:rsid w:val="005F7F4A"/>
    <w:rsid w:val="006072BD"/>
    <w:rsid w:val="00611C80"/>
    <w:rsid w:val="006155CF"/>
    <w:rsid w:val="00620692"/>
    <w:rsid w:val="0062143D"/>
    <w:rsid w:val="00621FBD"/>
    <w:rsid w:val="006242CA"/>
    <w:rsid w:val="00627507"/>
    <w:rsid w:val="0063172C"/>
    <w:rsid w:val="006329B8"/>
    <w:rsid w:val="00632C71"/>
    <w:rsid w:val="00633717"/>
    <w:rsid w:val="00633E63"/>
    <w:rsid w:val="006340F2"/>
    <w:rsid w:val="006344E1"/>
    <w:rsid w:val="006376FB"/>
    <w:rsid w:val="00646ED2"/>
    <w:rsid w:val="0065332F"/>
    <w:rsid w:val="006541A4"/>
    <w:rsid w:val="006545C4"/>
    <w:rsid w:val="00654EEC"/>
    <w:rsid w:val="00656D4D"/>
    <w:rsid w:val="00661971"/>
    <w:rsid w:val="00661CE8"/>
    <w:rsid w:val="006623D9"/>
    <w:rsid w:val="0066550C"/>
    <w:rsid w:val="00667855"/>
    <w:rsid w:val="006716F2"/>
    <w:rsid w:val="00673B51"/>
    <w:rsid w:val="00675E03"/>
    <w:rsid w:val="006774C9"/>
    <w:rsid w:val="00681CD6"/>
    <w:rsid w:val="00682BF2"/>
    <w:rsid w:val="006859CE"/>
    <w:rsid w:val="00691270"/>
    <w:rsid w:val="0069146E"/>
    <w:rsid w:val="00691683"/>
    <w:rsid w:val="00694BA8"/>
    <w:rsid w:val="006A037C"/>
    <w:rsid w:val="006A199B"/>
    <w:rsid w:val="006A2DFB"/>
    <w:rsid w:val="006A36F4"/>
    <w:rsid w:val="006A406F"/>
    <w:rsid w:val="006A558F"/>
    <w:rsid w:val="006A5B32"/>
    <w:rsid w:val="006A5D3A"/>
    <w:rsid w:val="006A778A"/>
    <w:rsid w:val="006B23D2"/>
    <w:rsid w:val="006B271E"/>
    <w:rsid w:val="006C23D4"/>
    <w:rsid w:val="006C612A"/>
    <w:rsid w:val="006C7BB0"/>
    <w:rsid w:val="006C7C1E"/>
    <w:rsid w:val="006C7D17"/>
    <w:rsid w:val="006D047C"/>
    <w:rsid w:val="006D3237"/>
    <w:rsid w:val="006E09C3"/>
    <w:rsid w:val="006E2CAF"/>
    <w:rsid w:val="006E2E37"/>
    <w:rsid w:val="006E3CF1"/>
    <w:rsid w:val="006E7E80"/>
    <w:rsid w:val="006F1DF9"/>
    <w:rsid w:val="006F24DB"/>
    <w:rsid w:val="006F48CA"/>
    <w:rsid w:val="006F64DD"/>
    <w:rsid w:val="007000A7"/>
    <w:rsid w:val="007078DD"/>
    <w:rsid w:val="00715127"/>
    <w:rsid w:val="00715E8E"/>
    <w:rsid w:val="00723580"/>
    <w:rsid w:val="00723755"/>
    <w:rsid w:val="0072409A"/>
    <w:rsid w:val="0072695A"/>
    <w:rsid w:val="00726CCA"/>
    <w:rsid w:val="0073136C"/>
    <w:rsid w:val="00731F0F"/>
    <w:rsid w:val="00733250"/>
    <w:rsid w:val="00740E2A"/>
    <w:rsid w:val="00741404"/>
    <w:rsid w:val="007417E9"/>
    <w:rsid w:val="007449E5"/>
    <w:rsid w:val="007463B9"/>
    <w:rsid w:val="00746C5A"/>
    <w:rsid w:val="007472F4"/>
    <w:rsid w:val="00747FF0"/>
    <w:rsid w:val="007509D5"/>
    <w:rsid w:val="00760460"/>
    <w:rsid w:val="00764D4E"/>
    <w:rsid w:val="00765A1F"/>
    <w:rsid w:val="00774A6E"/>
    <w:rsid w:val="00775B6D"/>
    <w:rsid w:val="00776D68"/>
    <w:rsid w:val="00777224"/>
    <w:rsid w:val="0078060B"/>
    <w:rsid w:val="007850EE"/>
    <w:rsid w:val="00785B95"/>
    <w:rsid w:val="007906EF"/>
    <w:rsid w:val="00790E96"/>
    <w:rsid w:val="00793366"/>
    <w:rsid w:val="00796883"/>
    <w:rsid w:val="007A0A6D"/>
    <w:rsid w:val="007A1FBD"/>
    <w:rsid w:val="007A4754"/>
    <w:rsid w:val="007A716F"/>
    <w:rsid w:val="007B270A"/>
    <w:rsid w:val="007B6D92"/>
    <w:rsid w:val="007B7484"/>
    <w:rsid w:val="007C00E9"/>
    <w:rsid w:val="007C0695"/>
    <w:rsid w:val="007C419A"/>
    <w:rsid w:val="007C4CC8"/>
    <w:rsid w:val="007C5426"/>
    <w:rsid w:val="007C5798"/>
    <w:rsid w:val="007D4832"/>
    <w:rsid w:val="007E21B2"/>
    <w:rsid w:val="007E2C4E"/>
    <w:rsid w:val="007E6666"/>
    <w:rsid w:val="007E794E"/>
    <w:rsid w:val="007F1905"/>
    <w:rsid w:val="007F40E6"/>
    <w:rsid w:val="0080048F"/>
    <w:rsid w:val="00801300"/>
    <w:rsid w:val="00802C64"/>
    <w:rsid w:val="00805E52"/>
    <w:rsid w:val="008061D0"/>
    <w:rsid w:val="008066B4"/>
    <w:rsid w:val="00810B38"/>
    <w:rsid w:val="00811EE8"/>
    <w:rsid w:val="0082040E"/>
    <w:rsid w:val="008204C7"/>
    <w:rsid w:val="00820992"/>
    <w:rsid w:val="00820D0E"/>
    <w:rsid w:val="00822171"/>
    <w:rsid w:val="00823602"/>
    <w:rsid w:val="008255F5"/>
    <w:rsid w:val="0082642E"/>
    <w:rsid w:val="0083014E"/>
    <w:rsid w:val="00830FB5"/>
    <w:rsid w:val="0083214A"/>
    <w:rsid w:val="00834220"/>
    <w:rsid w:val="0083544A"/>
    <w:rsid w:val="008410BE"/>
    <w:rsid w:val="008421F4"/>
    <w:rsid w:val="0084249B"/>
    <w:rsid w:val="00845723"/>
    <w:rsid w:val="008473E3"/>
    <w:rsid w:val="00851EF9"/>
    <w:rsid w:val="008577FD"/>
    <w:rsid w:val="00857931"/>
    <w:rsid w:val="00860B03"/>
    <w:rsid w:val="0086497A"/>
    <w:rsid w:val="00866218"/>
    <w:rsid w:val="00870ADF"/>
    <w:rsid w:val="008713A1"/>
    <w:rsid w:val="008754AB"/>
    <w:rsid w:val="0088060C"/>
    <w:rsid w:val="00880B07"/>
    <w:rsid w:val="0089107B"/>
    <w:rsid w:val="00891A71"/>
    <w:rsid w:val="00893576"/>
    <w:rsid w:val="00893E73"/>
    <w:rsid w:val="008A43C4"/>
    <w:rsid w:val="008B02DC"/>
    <w:rsid w:val="008B3D24"/>
    <w:rsid w:val="008B57CE"/>
    <w:rsid w:val="008B659F"/>
    <w:rsid w:val="008C0D06"/>
    <w:rsid w:val="008C26DE"/>
    <w:rsid w:val="008C34BA"/>
    <w:rsid w:val="008C435C"/>
    <w:rsid w:val="008C73EC"/>
    <w:rsid w:val="008D107F"/>
    <w:rsid w:val="008D2225"/>
    <w:rsid w:val="008D44BC"/>
    <w:rsid w:val="008D4752"/>
    <w:rsid w:val="008D552A"/>
    <w:rsid w:val="008D5F0B"/>
    <w:rsid w:val="008D6A34"/>
    <w:rsid w:val="008E271C"/>
    <w:rsid w:val="008E3015"/>
    <w:rsid w:val="008E418E"/>
    <w:rsid w:val="008E5BC6"/>
    <w:rsid w:val="008E6A25"/>
    <w:rsid w:val="008F233D"/>
    <w:rsid w:val="008F5193"/>
    <w:rsid w:val="009013A7"/>
    <w:rsid w:val="009017FB"/>
    <w:rsid w:val="009017FC"/>
    <w:rsid w:val="00902AFA"/>
    <w:rsid w:val="00903B43"/>
    <w:rsid w:val="0090506B"/>
    <w:rsid w:val="009050C9"/>
    <w:rsid w:val="009066FC"/>
    <w:rsid w:val="00907C24"/>
    <w:rsid w:val="009101BE"/>
    <w:rsid w:val="00911F93"/>
    <w:rsid w:val="009140A3"/>
    <w:rsid w:val="009144A2"/>
    <w:rsid w:val="0091510C"/>
    <w:rsid w:val="009259AC"/>
    <w:rsid w:val="0092686F"/>
    <w:rsid w:val="00926F38"/>
    <w:rsid w:val="00927480"/>
    <w:rsid w:val="00932940"/>
    <w:rsid w:val="00934301"/>
    <w:rsid w:val="00936CD1"/>
    <w:rsid w:val="00940381"/>
    <w:rsid w:val="00941747"/>
    <w:rsid w:val="00941EFB"/>
    <w:rsid w:val="00947AFB"/>
    <w:rsid w:val="00950EA2"/>
    <w:rsid w:val="00951D7D"/>
    <w:rsid w:val="009524C1"/>
    <w:rsid w:val="00952C12"/>
    <w:rsid w:val="009605A6"/>
    <w:rsid w:val="00961CDF"/>
    <w:rsid w:val="009630C7"/>
    <w:rsid w:val="00970E27"/>
    <w:rsid w:val="00972B55"/>
    <w:rsid w:val="009743B7"/>
    <w:rsid w:val="00980AEA"/>
    <w:rsid w:val="00981DDC"/>
    <w:rsid w:val="0098228B"/>
    <w:rsid w:val="009828DA"/>
    <w:rsid w:val="00985BAB"/>
    <w:rsid w:val="00996BC6"/>
    <w:rsid w:val="00997F03"/>
    <w:rsid w:val="009A27DD"/>
    <w:rsid w:val="009A4543"/>
    <w:rsid w:val="009A46DF"/>
    <w:rsid w:val="009B1B5F"/>
    <w:rsid w:val="009B2EC2"/>
    <w:rsid w:val="009B6673"/>
    <w:rsid w:val="009B74D1"/>
    <w:rsid w:val="009C0042"/>
    <w:rsid w:val="009C191B"/>
    <w:rsid w:val="009C2B83"/>
    <w:rsid w:val="009C2BD6"/>
    <w:rsid w:val="009C35B7"/>
    <w:rsid w:val="009D159B"/>
    <w:rsid w:val="009D363B"/>
    <w:rsid w:val="009D7A40"/>
    <w:rsid w:val="009E1524"/>
    <w:rsid w:val="009E1F32"/>
    <w:rsid w:val="009E5829"/>
    <w:rsid w:val="009E60D4"/>
    <w:rsid w:val="009E776C"/>
    <w:rsid w:val="009F6BD9"/>
    <w:rsid w:val="00A0386C"/>
    <w:rsid w:val="00A0448F"/>
    <w:rsid w:val="00A066AB"/>
    <w:rsid w:val="00A113DE"/>
    <w:rsid w:val="00A130B4"/>
    <w:rsid w:val="00A135BA"/>
    <w:rsid w:val="00A153F8"/>
    <w:rsid w:val="00A1726E"/>
    <w:rsid w:val="00A204CF"/>
    <w:rsid w:val="00A23D49"/>
    <w:rsid w:val="00A25EDD"/>
    <w:rsid w:val="00A27004"/>
    <w:rsid w:val="00A274C5"/>
    <w:rsid w:val="00A30C29"/>
    <w:rsid w:val="00A34091"/>
    <w:rsid w:val="00A34DD6"/>
    <w:rsid w:val="00A36033"/>
    <w:rsid w:val="00A36819"/>
    <w:rsid w:val="00A36989"/>
    <w:rsid w:val="00A43628"/>
    <w:rsid w:val="00A50C34"/>
    <w:rsid w:val="00A50EC7"/>
    <w:rsid w:val="00A54192"/>
    <w:rsid w:val="00A56410"/>
    <w:rsid w:val="00A6035E"/>
    <w:rsid w:val="00A61439"/>
    <w:rsid w:val="00A6144C"/>
    <w:rsid w:val="00A6428A"/>
    <w:rsid w:val="00A66617"/>
    <w:rsid w:val="00A671F8"/>
    <w:rsid w:val="00A673A4"/>
    <w:rsid w:val="00A724AE"/>
    <w:rsid w:val="00A73329"/>
    <w:rsid w:val="00A8170E"/>
    <w:rsid w:val="00A81D74"/>
    <w:rsid w:val="00A82359"/>
    <w:rsid w:val="00A865D2"/>
    <w:rsid w:val="00A86B87"/>
    <w:rsid w:val="00A91F04"/>
    <w:rsid w:val="00A93722"/>
    <w:rsid w:val="00A94C20"/>
    <w:rsid w:val="00A96ED6"/>
    <w:rsid w:val="00AA0952"/>
    <w:rsid w:val="00AA227F"/>
    <w:rsid w:val="00AA3BC7"/>
    <w:rsid w:val="00AA754A"/>
    <w:rsid w:val="00AB099E"/>
    <w:rsid w:val="00AB3D3D"/>
    <w:rsid w:val="00AB4328"/>
    <w:rsid w:val="00AB57ED"/>
    <w:rsid w:val="00AB5FA0"/>
    <w:rsid w:val="00AC56E2"/>
    <w:rsid w:val="00AE0A2E"/>
    <w:rsid w:val="00AE354C"/>
    <w:rsid w:val="00AE6405"/>
    <w:rsid w:val="00AF4B07"/>
    <w:rsid w:val="00AF6186"/>
    <w:rsid w:val="00AF7A3A"/>
    <w:rsid w:val="00B01CD4"/>
    <w:rsid w:val="00B12F9B"/>
    <w:rsid w:val="00B14BA8"/>
    <w:rsid w:val="00B160DB"/>
    <w:rsid w:val="00B20836"/>
    <w:rsid w:val="00B235BB"/>
    <w:rsid w:val="00B27A44"/>
    <w:rsid w:val="00B30BBF"/>
    <w:rsid w:val="00B33C03"/>
    <w:rsid w:val="00B430C8"/>
    <w:rsid w:val="00B44E56"/>
    <w:rsid w:val="00B46543"/>
    <w:rsid w:val="00B47D33"/>
    <w:rsid w:val="00B52BE0"/>
    <w:rsid w:val="00B53CFE"/>
    <w:rsid w:val="00B54133"/>
    <w:rsid w:val="00B54BA6"/>
    <w:rsid w:val="00B63759"/>
    <w:rsid w:val="00B637B9"/>
    <w:rsid w:val="00B701ED"/>
    <w:rsid w:val="00B70C91"/>
    <w:rsid w:val="00B71C83"/>
    <w:rsid w:val="00B76880"/>
    <w:rsid w:val="00B77273"/>
    <w:rsid w:val="00B8086C"/>
    <w:rsid w:val="00B81C1B"/>
    <w:rsid w:val="00B82CB6"/>
    <w:rsid w:val="00B861B4"/>
    <w:rsid w:val="00B86DFE"/>
    <w:rsid w:val="00B90990"/>
    <w:rsid w:val="00B91AD2"/>
    <w:rsid w:val="00B922FF"/>
    <w:rsid w:val="00B92491"/>
    <w:rsid w:val="00B9281E"/>
    <w:rsid w:val="00B93356"/>
    <w:rsid w:val="00B93925"/>
    <w:rsid w:val="00B95187"/>
    <w:rsid w:val="00B95BA2"/>
    <w:rsid w:val="00BA2D55"/>
    <w:rsid w:val="00BA3914"/>
    <w:rsid w:val="00BA71B1"/>
    <w:rsid w:val="00BB0637"/>
    <w:rsid w:val="00BB205D"/>
    <w:rsid w:val="00BB345F"/>
    <w:rsid w:val="00BB5883"/>
    <w:rsid w:val="00BB68EA"/>
    <w:rsid w:val="00BC1C27"/>
    <w:rsid w:val="00BC5860"/>
    <w:rsid w:val="00BC6BBF"/>
    <w:rsid w:val="00BD1572"/>
    <w:rsid w:val="00BE14E3"/>
    <w:rsid w:val="00BE3774"/>
    <w:rsid w:val="00BE41E5"/>
    <w:rsid w:val="00BE58C2"/>
    <w:rsid w:val="00BF0BBB"/>
    <w:rsid w:val="00BF16F0"/>
    <w:rsid w:val="00BF20FD"/>
    <w:rsid w:val="00BF4109"/>
    <w:rsid w:val="00BF43BB"/>
    <w:rsid w:val="00BF4CC3"/>
    <w:rsid w:val="00C01335"/>
    <w:rsid w:val="00C0340D"/>
    <w:rsid w:val="00C054C7"/>
    <w:rsid w:val="00C057B5"/>
    <w:rsid w:val="00C13634"/>
    <w:rsid w:val="00C16B86"/>
    <w:rsid w:val="00C220B9"/>
    <w:rsid w:val="00C22687"/>
    <w:rsid w:val="00C31096"/>
    <w:rsid w:val="00C32E4D"/>
    <w:rsid w:val="00C333A0"/>
    <w:rsid w:val="00C36A81"/>
    <w:rsid w:val="00C41974"/>
    <w:rsid w:val="00C447AD"/>
    <w:rsid w:val="00C44E90"/>
    <w:rsid w:val="00C451E3"/>
    <w:rsid w:val="00C53F4A"/>
    <w:rsid w:val="00C54125"/>
    <w:rsid w:val="00C55B54"/>
    <w:rsid w:val="00C6098E"/>
    <w:rsid w:val="00C611AB"/>
    <w:rsid w:val="00C6152C"/>
    <w:rsid w:val="00C621C2"/>
    <w:rsid w:val="00C64522"/>
    <w:rsid w:val="00C67186"/>
    <w:rsid w:val="00C74810"/>
    <w:rsid w:val="00C74B5A"/>
    <w:rsid w:val="00C80347"/>
    <w:rsid w:val="00C81C95"/>
    <w:rsid w:val="00C83510"/>
    <w:rsid w:val="00C86F19"/>
    <w:rsid w:val="00C90D68"/>
    <w:rsid w:val="00C915FB"/>
    <w:rsid w:val="00C91D5C"/>
    <w:rsid w:val="00C939FE"/>
    <w:rsid w:val="00CA401A"/>
    <w:rsid w:val="00CA4BDA"/>
    <w:rsid w:val="00CB1A83"/>
    <w:rsid w:val="00CB1F66"/>
    <w:rsid w:val="00CB2951"/>
    <w:rsid w:val="00CB6497"/>
    <w:rsid w:val="00CB67A0"/>
    <w:rsid w:val="00CC5862"/>
    <w:rsid w:val="00CC7ACF"/>
    <w:rsid w:val="00CD282B"/>
    <w:rsid w:val="00CD4C35"/>
    <w:rsid w:val="00CD5F42"/>
    <w:rsid w:val="00CD7369"/>
    <w:rsid w:val="00CD7C23"/>
    <w:rsid w:val="00CE0B0E"/>
    <w:rsid w:val="00CE2327"/>
    <w:rsid w:val="00CE2F1E"/>
    <w:rsid w:val="00CE3831"/>
    <w:rsid w:val="00CE55F2"/>
    <w:rsid w:val="00CE567C"/>
    <w:rsid w:val="00CF0654"/>
    <w:rsid w:val="00CF5D5E"/>
    <w:rsid w:val="00D00ABB"/>
    <w:rsid w:val="00D02EEC"/>
    <w:rsid w:val="00D03551"/>
    <w:rsid w:val="00D044C9"/>
    <w:rsid w:val="00D06A63"/>
    <w:rsid w:val="00D07E0E"/>
    <w:rsid w:val="00D1089E"/>
    <w:rsid w:val="00D11478"/>
    <w:rsid w:val="00D15ED0"/>
    <w:rsid w:val="00D206F4"/>
    <w:rsid w:val="00D21B3E"/>
    <w:rsid w:val="00D21FED"/>
    <w:rsid w:val="00D24251"/>
    <w:rsid w:val="00D2563B"/>
    <w:rsid w:val="00D27956"/>
    <w:rsid w:val="00D343E2"/>
    <w:rsid w:val="00D361A2"/>
    <w:rsid w:val="00D370F9"/>
    <w:rsid w:val="00D41433"/>
    <w:rsid w:val="00D44C2E"/>
    <w:rsid w:val="00D45414"/>
    <w:rsid w:val="00D512F2"/>
    <w:rsid w:val="00D51463"/>
    <w:rsid w:val="00D53C0F"/>
    <w:rsid w:val="00D53DB4"/>
    <w:rsid w:val="00D566BD"/>
    <w:rsid w:val="00D57A4D"/>
    <w:rsid w:val="00D60AA7"/>
    <w:rsid w:val="00D60D87"/>
    <w:rsid w:val="00D6435F"/>
    <w:rsid w:val="00D75287"/>
    <w:rsid w:val="00D75E28"/>
    <w:rsid w:val="00D76B80"/>
    <w:rsid w:val="00D772C2"/>
    <w:rsid w:val="00D77A62"/>
    <w:rsid w:val="00D8008E"/>
    <w:rsid w:val="00D82C45"/>
    <w:rsid w:val="00D835EA"/>
    <w:rsid w:val="00D908A8"/>
    <w:rsid w:val="00D93918"/>
    <w:rsid w:val="00D96A18"/>
    <w:rsid w:val="00D977B6"/>
    <w:rsid w:val="00DA4742"/>
    <w:rsid w:val="00DA4A31"/>
    <w:rsid w:val="00DA61F2"/>
    <w:rsid w:val="00DA7B04"/>
    <w:rsid w:val="00DB36C2"/>
    <w:rsid w:val="00DB7196"/>
    <w:rsid w:val="00DC169B"/>
    <w:rsid w:val="00DC2AB9"/>
    <w:rsid w:val="00DC63F0"/>
    <w:rsid w:val="00DD32D7"/>
    <w:rsid w:val="00DD4B51"/>
    <w:rsid w:val="00DD6C30"/>
    <w:rsid w:val="00DD6EE5"/>
    <w:rsid w:val="00DE1B8E"/>
    <w:rsid w:val="00DE1ECA"/>
    <w:rsid w:val="00DE386C"/>
    <w:rsid w:val="00DE424F"/>
    <w:rsid w:val="00DE4D35"/>
    <w:rsid w:val="00DE7C54"/>
    <w:rsid w:val="00DF0549"/>
    <w:rsid w:val="00DF098B"/>
    <w:rsid w:val="00DF11C4"/>
    <w:rsid w:val="00DF210C"/>
    <w:rsid w:val="00DF4B6A"/>
    <w:rsid w:val="00DF5E8D"/>
    <w:rsid w:val="00DF7943"/>
    <w:rsid w:val="00E02C09"/>
    <w:rsid w:val="00E04CAE"/>
    <w:rsid w:val="00E04D59"/>
    <w:rsid w:val="00E07DA1"/>
    <w:rsid w:val="00E123CB"/>
    <w:rsid w:val="00E137C6"/>
    <w:rsid w:val="00E1557C"/>
    <w:rsid w:val="00E16B97"/>
    <w:rsid w:val="00E1785A"/>
    <w:rsid w:val="00E20E13"/>
    <w:rsid w:val="00E21DBC"/>
    <w:rsid w:val="00E2308E"/>
    <w:rsid w:val="00E275D7"/>
    <w:rsid w:val="00E27DBE"/>
    <w:rsid w:val="00E32AB1"/>
    <w:rsid w:val="00E36C71"/>
    <w:rsid w:val="00E40404"/>
    <w:rsid w:val="00E4133A"/>
    <w:rsid w:val="00E43AB9"/>
    <w:rsid w:val="00E459C6"/>
    <w:rsid w:val="00E46B24"/>
    <w:rsid w:val="00E47589"/>
    <w:rsid w:val="00E477A0"/>
    <w:rsid w:val="00E5443E"/>
    <w:rsid w:val="00E54E61"/>
    <w:rsid w:val="00E57FCE"/>
    <w:rsid w:val="00E609F2"/>
    <w:rsid w:val="00E639E2"/>
    <w:rsid w:val="00E64915"/>
    <w:rsid w:val="00E661D4"/>
    <w:rsid w:val="00E70091"/>
    <w:rsid w:val="00E70B32"/>
    <w:rsid w:val="00E720F5"/>
    <w:rsid w:val="00E76D47"/>
    <w:rsid w:val="00E84664"/>
    <w:rsid w:val="00E849F7"/>
    <w:rsid w:val="00E90302"/>
    <w:rsid w:val="00E9597F"/>
    <w:rsid w:val="00E97396"/>
    <w:rsid w:val="00EA185E"/>
    <w:rsid w:val="00EA241A"/>
    <w:rsid w:val="00EA592A"/>
    <w:rsid w:val="00EA737F"/>
    <w:rsid w:val="00EB126B"/>
    <w:rsid w:val="00EB14E4"/>
    <w:rsid w:val="00EB32A5"/>
    <w:rsid w:val="00EB34ED"/>
    <w:rsid w:val="00EB46F9"/>
    <w:rsid w:val="00EB689F"/>
    <w:rsid w:val="00EB7BE0"/>
    <w:rsid w:val="00EC15B8"/>
    <w:rsid w:val="00EC315E"/>
    <w:rsid w:val="00ED077C"/>
    <w:rsid w:val="00ED1190"/>
    <w:rsid w:val="00ED3DA8"/>
    <w:rsid w:val="00ED6544"/>
    <w:rsid w:val="00ED7696"/>
    <w:rsid w:val="00EE0049"/>
    <w:rsid w:val="00EE0277"/>
    <w:rsid w:val="00EE1492"/>
    <w:rsid w:val="00EE1DA9"/>
    <w:rsid w:val="00EE20DB"/>
    <w:rsid w:val="00EE3E00"/>
    <w:rsid w:val="00EE5DD2"/>
    <w:rsid w:val="00EF0073"/>
    <w:rsid w:val="00EF0A41"/>
    <w:rsid w:val="00EF13AF"/>
    <w:rsid w:val="00EF41F1"/>
    <w:rsid w:val="00EF4C5D"/>
    <w:rsid w:val="00EF4F08"/>
    <w:rsid w:val="00EF573B"/>
    <w:rsid w:val="00EF735E"/>
    <w:rsid w:val="00F00A79"/>
    <w:rsid w:val="00F00E86"/>
    <w:rsid w:val="00F00F8B"/>
    <w:rsid w:val="00F0278D"/>
    <w:rsid w:val="00F0429B"/>
    <w:rsid w:val="00F04513"/>
    <w:rsid w:val="00F07C1E"/>
    <w:rsid w:val="00F105DB"/>
    <w:rsid w:val="00F10B5C"/>
    <w:rsid w:val="00F132BC"/>
    <w:rsid w:val="00F13D80"/>
    <w:rsid w:val="00F161A6"/>
    <w:rsid w:val="00F16AAA"/>
    <w:rsid w:val="00F21161"/>
    <w:rsid w:val="00F218EF"/>
    <w:rsid w:val="00F21BC7"/>
    <w:rsid w:val="00F266A2"/>
    <w:rsid w:val="00F32269"/>
    <w:rsid w:val="00F357CB"/>
    <w:rsid w:val="00F367C8"/>
    <w:rsid w:val="00F4457E"/>
    <w:rsid w:val="00F45045"/>
    <w:rsid w:val="00F51581"/>
    <w:rsid w:val="00F56A6F"/>
    <w:rsid w:val="00F56DB5"/>
    <w:rsid w:val="00F5709C"/>
    <w:rsid w:val="00F61845"/>
    <w:rsid w:val="00F63833"/>
    <w:rsid w:val="00F64B67"/>
    <w:rsid w:val="00F64EF1"/>
    <w:rsid w:val="00F66457"/>
    <w:rsid w:val="00F66A0C"/>
    <w:rsid w:val="00F7048A"/>
    <w:rsid w:val="00F742E4"/>
    <w:rsid w:val="00F74574"/>
    <w:rsid w:val="00F80D13"/>
    <w:rsid w:val="00F821CA"/>
    <w:rsid w:val="00F8765F"/>
    <w:rsid w:val="00F90767"/>
    <w:rsid w:val="00F9198F"/>
    <w:rsid w:val="00F92EF6"/>
    <w:rsid w:val="00F9551E"/>
    <w:rsid w:val="00FA685B"/>
    <w:rsid w:val="00FB0C01"/>
    <w:rsid w:val="00FC18F2"/>
    <w:rsid w:val="00FC39E5"/>
    <w:rsid w:val="00FC3A78"/>
    <w:rsid w:val="00FC4B88"/>
    <w:rsid w:val="00FC5FFE"/>
    <w:rsid w:val="00FD0AB7"/>
    <w:rsid w:val="00FD1005"/>
    <w:rsid w:val="00FD3180"/>
    <w:rsid w:val="00FD6C75"/>
    <w:rsid w:val="00FE1DEF"/>
    <w:rsid w:val="00FE2815"/>
    <w:rsid w:val="00FE2D45"/>
    <w:rsid w:val="00FE2F2A"/>
    <w:rsid w:val="00FE71B3"/>
    <w:rsid w:val="00FE743E"/>
    <w:rsid w:val="00FF2AC9"/>
    <w:rsid w:val="00FF37AF"/>
    <w:rsid w:val="00FF42C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961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0" w:unhideWhenUsed="1"/>
    <w:lsdException w:name="header" w:semiHidden="1" w:uiPriority="57" w:unhideWhenUsed="1"/>
    <w:lsdException w:name="footer" w:semiHidden="1" w:uiPriority="57" w:unhideWhenUsed="1"/>
    <w:lsdException w:name="index heading" w:semiHidden="1" w:unhideWhenUsed="1"/>
    <w:lsdException w:name="caption" w:semiHidden="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avaden">
    <w:name w:val="Normal"/>
    <w:semiHidden/>
    <w:rsid w:val="006A778A"/>
    <w:pPr>
      <w:jc w:val="both"/>
    </w:pPr>
    <w:rPr>
      <w:rFonts w:eastAsiaTheme="minorEastAsia"/>
      <w:sz w:val="24"/>
      <w:lang w:val="en-GB"/>
    </w:rPr>
  </w:style>
  <w:style w:type="paragraph" w:styleId="Naslov1">
    <w:name w:val="heading 1"/>
    <w:basedOn w:val="Navaden"/>
    <w:next w:val="Navaden"/>
    <w:link w:val="Naslov1Znak"/>
    <w:uiPriority w:val="99"/>
    <w:semiHidden/>
    <w:rsid w:val="006A778A"/>
    <w:pPr>
      <w:spacing w:before="480"/>
      <w:contextualSpacing/>
      <w:outlineLvl w:val="0"/>
    </w:pPr>
    <w:rPr>
      <w:rFonts w:asciiTheme="majorHAnsi" w:eastAsiaTheme="majorEastAsia" w:hAnsiTheme="majorHAnsi" w:cstheme="majorBidi"/>
      <w:b/>
      <w:bCs/>
      <w:color w:val="333333"/>
      <w:sz w:val="28"/>
      <w:szCs w:val="28"/>
    </w:rPr>
  </w:style>
  <w:style w:type="paragraph" w:styleId="Naslov2">
    <w:name w:val="heading 2"/>
    <w:basedOn w:val="Navaden"/>
    <w:next w:val="Navaden"/>
    <w:link w:val="Naslov2Znak"/>
    <w:uiPriority w:val="99"/>
    <w:semiHidden/>
    <w:rsid w:val="006A778A"/>
    <w:pPr>
      <w:spacing w:before="200"/>
      <w:outlineLvl w:val="1"/>
    </w:pPr>
    <w:rPr>
      <w:rFonts w:asciiTheme="majorHAnsi" w:eastAsiaTheme="majorEastAsia" w:hAnsiTheme="majorHAnsi" w:cstheme="majorBidi"/>
      <w:b/>
      <w:bCs/>
      <w:color w:val="4D4D4D"/>
      <w:sz w:val="26"/>
      <w:szCs w:val="26"/>
    </w:rPr>
  </w:style>
  <w:style w:type="paragraph" w:styleId="Naslov3">
    <w:name w:val="heading 3"/>
    <w:basedOn w:val="Navaden"/>
    <w:next w:val="Navaden"/>
    <w:link w:val="Naslov3Znak"/>
    <w:uiPriority w:val="99"/>
    <w:semiHidden/>
    <w:rsid w:val="006A778A"/>
    <w:pPr>
      <w:spacing w:before="200" w:line="271" w:lineRule="auto"/>
      <w:outlineLvl w:val="2"/>
    </w:pPr>
    <w:rPr>
      <w:rFonts w:asciiTheme="majorHAnsi" w:eastAsiaTheme="majorEastAsia" w:hAnsiTheme="majorHAnsi" w:cstheme="majorBidi"/>
      <w:b/>
      <w:bCs/>
      <w:color w:val="5F5F5F"/>
    </w:rPr>
  </w:style>
  <w:style w:type="paragraph" w:styleId="Naslov4">
    <w:name w:val="heading 4"/>
    <w:basedOn w:val="Navaden"/>
    <w:next w:val="Navaden"/>
    <w:link w:val="Naslov4Znak"/>
    <w:uiPriority w:val="99"/>
    <w:semiHidden/>
    <w:rsid w:val="006A778A"/>
    <w:pPr>
      <w:spacing w:before="200"/>
      <w:outlineLvl w:val="3"/>
    </w:pPr>
    <w:rPr>
      <w:rFonts w:asciiTheme="majorHAnsi" w:eastAsiaTheme="majorEastAsia" w:hAnsiTheme="majorHAnsi" w:cstheme="majorBidi"/>
      <w:b/>
      <w:bCs/>
      <w:i/>
      <w:iCs/>
      <w:color w:val="777777"/>
    </w:rPr>
  </w:style>
  <w:style w:type="paragraph" w:styleId="Naslov5">
    <w:name w:val="heading 5"/>
    <w:basedOn w:val="Navaden"/>
    <w:next w:val="Navaden"/>
    <w:link w:val="Naslov5Znak"/>
    <w:uiPriority w:val="99"/>
    <w:semiHidden/>
    <w:qFormat/>
    <w:rsid w:val="006A778A"/>
    <w:pPr>
      <w:spacing w:before="200"/>
      <w:outlineLvl w:val="4"/>
    </w:pPr>
    <w:rPr>
      <w:rFonts w:asciiTheme="majorHAnsi" w:eastAsiaTheme="majorEastAsia" w:hAnsiTheme="majorHAnsi" w:cstheme="majorBidi"/>
      <w:b/>
      <w:bCs/>
      <w:color w:val="808080"/>
      <w:sz w:val="22"/>
      <w:lang w:val="en-US"/>
    </w:rPr>
  </w:style>
  <w:style w:type="paragraph" w:styleId="Naslov6">
    <w:name w:val="heading 6"/>
    <w:basedOn w:val="Navaden"/>
    <w:next w:val="Navaden"/>
    <w:link w:val="Naslov6Znak"/>
    <w:uiPriority w:val="99"/>
    <w:semiHidden/>
    <w:rsid w:val="006A778A"/>
    <w:pPr>
      <w:spacing w:line="271" w:lineRule="auto"/>
      <w:outlineLvl w:val="5"/>
    </w:pPr>
    <w:rPr>
      <w:rFonts w:asciiTheme="majorHAnsi" w:eastAsiaTheme="majorEastAsia" w:hAnsiTheme="majorHAnsi" w:cstheme="majorBidi"/>
      <w:b/>
      <w:bCs/>
      <w:i/>
      <w:iCs/>
      <w:color w:val="7F7F7F" w:themeColor="text1" w:themeTint="80"/>
      <w:lang w:bidi="en-US"/>
    </w:rPr>
  </w:style>
  <w:style w:type="paragraph" w:styleId="Naslov7">
    <w:name w:val="heading 7"/>
    <w:basedOn w:val="Navaden"/>
    <w:next w:val="Navaden"/>
    <w:link w:val="Naslov7Znak"/>
    <w:uiPriority w:val="99"/>
    <w:semiHidden/>
    <w:qFormat/>
    <w:rsid w:val="006A778A"/>
    <w:pPr>
      <w:outlineLvl w:val="6"/>
    </w:pPr>
    <w:rPr>
      <w:rFonts w:asciiTheme="majorHAnsi" w:eastAsiaTheme="majorEastAsia" w:hAnsiTheme="majorHAnsi" w:cstheme="majorBidi"/>
      <w:i/>
      <w:iCs/>
      <w:sz w:val="22"/>
      <w:lang w:val="en-US" w:bidi="en-US"/>
    </w:rPr>
  </w:style>
  <w:style w:type="paragraph" w:styleId="Naslov8">
    <w:name w:val="heading 8"/>
    <w:basedOn w:val="Navaden"/>
    <w:next w:val="Navaden"/>
    <w:link w:val="Naslov8Znak"/>
    <w:uiPriority w:val="99"/>
    <w:semiHidden/>
    <w:qFormat/>
    <w:rsid w:val="006A778A"/>
    <w:pPr>
      <w:outlineLvl w:val="7"/>
    </w:pPr>
    <w:rPr>
      <w:rFonts w:asciiTheme="majorHAnsi" w:eastAsiaTheme="majorEastAsia" w:hAnsiTheme="majorHAnsi" w:cstheme="majorBidi"/>
      <w:sz w:val="20"/>
      <w:szCs w:val="20"/>
      <w:lang w:val="en-US" w:bidi="en-US"/>
    </w:rPr>
  </w:style>
  <w:style w:type="paragraph" w:styleId="Naslov9">
    <w:name w:val="heading 9"/>
    <w:basedOn w:val="Navaden"/>
    <w:next w:val="Navaden"/>
    <w:link w:val="Naslov9Znak"/>
    <w:uiPriority w:val="99"/>
    <w:semiHidden/>
    <w:qFormat/>
    <w:rsid w:val="006A778A"/>
    <w:pPr>
      <w:outlineLvl w:val="8"/>
    </w:pPr>
    <w:rPr>
      <w:rFonts w:asciiTheme="majorHAnsi" w:eastAsiaTheme="majorEastAsia" w:hAnsiTheme="majorHAnsi" w:cstheme="majorBidi"/>
      <w:i/>
      <w:iCs/>
      <w:spacing w:val="5"/>
      <w:sz w:val="20"/>
      <w:szCs w:val="20"/>
      <w:lang w:val="en-US" w:bidi="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Besedilooblaka">
    <w:name w:val="Balloon Text"/>
    <w:basedOn w:val="Navaden"/>
    <w:link w:val="BesedilooblakaZnak"/>
    <w:uiPriority w:val="99"/>
    <w:semiHidden/>
    <w:rsid w:val="006A778A"/>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6A778A"/>
    <w:rPr>
      <w:rFonts w:ascii="Tahoma" w:eastAsiaTheme="minorEastAsia" w:hAnsi="Tahoma" w:cs="Tahoma"/>
      <w:sz w:val="16"/>
      <w:szCs w:val="16"/>
      <w:lang w:val="en-GB"/>
    </w:rPr>
  </w:style>
  <w:style w:type="character" w:styleId="Naslovknjige">
    <w:name w:val="Book Title"/>
    <w:uiPriority w:val="99"/>
    <w:semiHidden/>
    <w:qFormat/>
    <w:rsid w:val="006A778A"/>
    <w:rPr>
      <w:i/>
      <w:iCs/>
      <w:smallCaps/>
      <w:spacing w:val="5"/>
    </w:rPr>
  </w:style>
  <w:style w:type="paragraph" w:customStyle="1" w:styleId="ECHRHeader">
    <w:name w:val="ECHR_Header"/>
    <w:aliases w:val="Ju_Header"/>
    <w:basedOn w:val="Glava"/>
    <w:uiPriority w:val="4"/>
    <w:qFormat/>
    <w:rsid w:val="006A778A"/>
    <w:pPr>
      <w:tabs>
        <w:tab w:val="clear" w:pos="4536"/>
        <w:tab w:val="clear" w:pos="9072"/>
        <w:tab w:val="center" w:pos="3686"/>
        <w:tab w:val="right" w:pos="7371"/>
      </w:tabs>
      <w:jc w:val="left"/>
    </w:pPr>
    <w:rPr>
      <w:sz w:val="18"/>
    </w:rPr>
  </w:style>
  <w:style w:type="paragraph" w:customStyle="1" w:styleId="ECHRFooter">
    <w:name w:val="ECHR_Footer"/>
    <w:aliases w:val="Footer_ECHR"/>
    <w:basedOn w:val="Noga"/>
    <w:uiPriority w:val="57"/>
    <w:semiHidden/>
    <w:rsid w:val="006A778A"/>
    <w:pPr>
      <w:jc w:val="left"/>
    </w:pPr>
    <w:rPr>
      <w:sz w:val="8"/>
    </w:rPr>
  </w:style>
  <w:style w:type="character" w:styleId="Krepko">
    <w:name w:val="Strong"/>
    <w:uiPriority w:val="99"/>
    <w:semiHidden/>
    <w:qFormat/>
    <w:rsid w:val="006A778A"/>
    <w:rPr>
      <w:b/>
      <w:bCs/>
    </w:rPr>
  </w:style>
  <w:style w:type="paragraph" w:styleId="Brezrazmikov">
    <w:name w:val="No Spacing"/>
    <w:basedOn w:val="Navaden"/>
    <w:link w:val="BrezrazmikovZnak"/>
    <w:semiHidden/>
    <w:qFormat/>
    <w:rsid w:val="006A778A"/>
    <w:rPr>
      <w:sz w:val="22"/>
      <w:lang w:val="en-US"/>
    </w:rPr>
  </w:style>
  <w:style w:type="character" w:customStyle="1" w:styleId="BrezrazmikovZnak">
    <w:name w:val="Brez razmikov Znak"/>
    <w:basedOn w:val="Privzetapisavaodstavka"/>
    <w:link w:val="Brezrazmikov"/>
    <w:semiHidden/>
    <w:rsid w:val="006A778A"/>
    <w:rPr>
      <w:rFonts w:eastAsiaTheme="minorEastAsia"/>
    </w:rPr>
  </w:style>
  <w:style w:type="paragraph" w:customStyle="1" w:styleId="ECHRFooterLine">
    <w:name w:val="ECHR_Footer_Line"/>
    <w:aliases w:val="Footer_Line"/>
    <w:basedOn w:val="Navaden"/>
    <w:next w:val="ECHRFooter"/>
    <w:uiPriority w:val="57"/>
    <w:semiHidden/>
    <w:rsid w:val="006A778A"/>
    <w:pPr>
      <w:pBdr>
        <w:top w:val="single" w:sz="6" w:space="1" w:color="5F5F5F"/>
      </w:pBdr>
      <w:tabs>
        <w:tab w:val="center" w:pos="4536"/>
        <w:tab w:val="right" w:pos="9696"/>
      </w:tabs>
      <w:ind w:left="-680" w:right="-680"/>
      <w:jc w:val="left"/>
    </w:pPr>
    <w:rPr>
      <w:color w:val="5F5F5F"/>
    </w:rPr>
  </w:style>
  <w:style w:type="paragraph" w:customStyle="1" w:styleId="DecHTitle">
    <w:name w:val="Dec_H_Title"/>
    <w:basedOn w:val="ECHRTitleCentre1"/>
    <w:uiPriority w:val="7"/>
    <w:semiHidden/>
    <w:qFormat/>
    <w:rsid w:val="006A778A"/>
  </w:style>
  <w:style w:type="paragraph" w:customStyle="1" w:styleId="DecList">
    <w:name w:val="Dec_List"/>
    <w:basedOn w:val="Navaden"/>
    <w:uiPriority w:val="9"/>
    <w:semiHidden/>
    <w:qFormat/>
    <w:rsid w:val="006A778A"/>
    <w:pPr>
      <w:spacing w:before="240"/>
      <w:ind w:left="284"/>
    </w:pPr>
  </w:style>
  <w:style w:type="paragraph" w:customStyle="1" w:styleId="DummyStyle">
    <w:name w:val="Dummy_Style"/>
    <w:basedOn w:val="Navaden"/>
    <w:semiHidden/>
    <w:qFormat/>
    <w:rsid w:val="006A778A"/>
    <w:rPr>
      <w:color w:val="00B050"/>
    </w:rPr>
  </w:style>
  <w:style w:type="paragraph" w:customStyle="1" w:styleId="ECHRTitleCentre3">
    <w:name w:val="ECHR_Title_Centre_3"/>
    <w:aliases w:val="Ju_H_Article"/>
    <w:basedOn w:val="Navaden"/>
    <w:next w:val="ECHRParaQuote"/>
    <w:uiPriority w:val="27"/>
    <w:qFormat/>
    <w:rsid w:val="006A778A"/>
    <w:pPr>
      <w:keepNext/>
      <w:keepLines/>
      <w:spacing w:before="240" w:after="120"/>
      <w:jc w:val="center"/>
      <w:outlineLvl w:val="3"/>
    </w:pPr>
    <w:rPr>
      <w:rFonts w:asciiTheme="majorHAnsi" w:hAnsiTheme="majorHAnsi"/>
      <w:b/>
      <w:sz w:val="20"/>
      <w:lang w:bidi="en-US"/>
    </w:rPr>
  </w:style>
  <w:style w:type="paragraph" w:customStyle="1" w:styleId="ECHRTitleCentre1">
    <w:name w:val="ECHR_Title_Centre_1"/>
    <w:aliases w:val="Opi_H_Head"/>
    <w:basedOn w:val="Navaden"/>
    <w:next w:val="OpiPara"/>
    <w:uiPriority w:val="39"/>
    <w:qFormat/>
    <w:rsid w:val="006A778A"/>
    <w:pPr>
      <w:keepNext/>
      <w:keepLines/>
      <w:spacing w:after="240"/>
      <w:jc w:val="center"/>
      <w:outlineLvl w:val="0"/>
    </w:pPr>
    <w:rPr>
      <w:rFonts w:asciiTheme="majorHAnsi" w:hAnsiTheme="majorHAnsi"/>
      <w:sz w:val="28"/>
    </w:rPr>
  </w:style>
  <w:style w:type="paragraph" w:customStyle="1" w:styleId="JuAppQuestion">
    <w:name w:val="Ju_App_Question"/>
    <w:basedOn w:val="Navaden"/>
    <w:uiPriority w:val="5"/>
    <w:semiHidden/>
    <w:qFormat/>
    <w:rsid w:val="006A778A"/>
    <w:pPr>
      <w:numPr>
        <w:numId w:val="26"/>
      </w:numPr>
      <w:jc w:val="left"/>
    </w:pPr>
    <w:rPr>
      <w:b/>
    </w:rPr>
  </w:style>
  <w:style w:type="paragraph" w:customStyle="1" w:styleId="JuCourt">
    <w:name w:val="Ju_Court"/>
    <w:basedOn w:val="Navaden"/>
    <w:next w:val="Navaden"/>
    <w:uiPriority w:val="16"/>
    <w:qFormat/>
    <w:rsid w:val="006A778A"/>
    <w:pPr>
      <w:tabs>
        <w:tab w:val="left" w:pos="907"/>
        <w:tab w:val="left" w:pos="1701"/>
        <w:tab w:val="right" w:pos="7371"/>
      </w:tabs>
      <w:spacing w:before="240"/>
      <w:ind w:left="397" w:hanging="397"/>
      <w:jc w:val="left"/>
    </w:pPr>
    <w:rPr>
      <w:lang w:bidi="en-US"/>
    </w:rPr>
  </w:style>
  <w:style w:type="paragraph" w:customStyle="1" w:styleId="JuHeaderLandscape">
    <w:name w:val="Ju_Header_Landscape"/>
    <w:basedOn w:val="ECHRHeader"/>
    <w:uiPriority w:val="4"/>
    <w:qFormat/>
    <w:rsid w:val="006A778A"/>
    <w:pPr>
      <w:tabs>
        <w:tab w:val="clear" w:pos="3686"/>
        <w:tab w:val="clear" w:pos="7371"/>
        <w:tab w:val="center" w:pos="6146"/>
        <w:tab w:val="right" w:pos="12293"/>
      </w:tabs>
    </w:pPr>
  </w:style>
  <w:style w:type="paragraph" w:customStyle="1" w:styleId="ECHRTitleCentre2">
    <w:name w:val="ECHR_Title_Centre_2"/>
    <w:aliases w:val="Dec_H_Case"/>
    <w:basedOn w:val="Navaden"/>
    <w:next w:val="ECHRPara"/>
    <w:uiPriority w:val="8"/>
    <w:qFormat/>
    <w:rsid w:val="006A778A"/>
    <w:pPr>
      <w:spacing w:after="240"/>
      <w:jc w:val="center"/>
      <w:outlineLvl w:val="0"/>
    </w:pPr>
    <w:rPr>
      <w:rFonts w:asciiTheme="majorHAnsi" w:hAnsiTheme="majorHAnsi"/>
    </w:rPr>
  </w:style>
  <w:style w:type="paragraph" w:customStyle="1" w:styleId="JuInitialled">
    <w:name w:val="Ju_Initialled"/>
    <w:basedOn w:val="Navaden"/>
    <w:uiPriority w:val="31"/>
    <w:qFormat/>
    <w:rsid w:val="006A778A"/>
    <w:pPr>
      <w:tabs>
        <w:tab w:val="center" w:pos="6407"/>
      </w:tabs>
      <w:spacing w:before="720"/>
      <w:jc w:val="right"/>
    </w:pPr>
  </w:style>
  <w:style w:type="paragraph" w:styleId="Naslov">
    <w:name w:val="Title"/>
    <w:basedOn w:val="Navaden"/>
    <w:next w:val="Navaden"/>
    <w:link w:val="NaslovZnak"/>
    <w:uiPriority w:val="99"/>
    <w:semiHidden/>
    <w:qFormat/>
    <w:rsid w:val="006A778A"/>
    <w:pPr>
      <w:pBdr>
        <w:bottom w:val="single" w:sz="4" w:space="1" w:color="auto"/>
      </w:pBdr>
      <w:contextualSpacing/>
    </w:pPr>
    <w:rPr>
      <w:rFonts w:asciiTheme="majorHAnsi" w:eastAsiaTheme="majorEastAsia" w:hAnsiTheme="majorHAnsi" w:cstheme="majorBidi"/>
      <w:spacing w:val="5"/>
      <w:sz w:val="52"/>
      <w:szCs w:val="52"/>
      <w:lang w:val="en-US" w:bidi="en-US"/>
    </w:rPr>
  </w:style>
  <w:style w:type="character" w:customStyle="1" w:styleId="NaslovZnak">
    <w:name w:val="Naslov Znak"/>
    <w:basedOn w:val="Privzetapisavaodstavka"/>
    <w:link w:val="Naslov"/>
    <w:uiPriority w:val="99"/>
    <w:semiHidden/>
    <w:rsid w:val="006A778A"/>
    <w:rPr>
      <w:rFonts w:asciiTheme="majorHAnsi" w:eastAsiaTheme="majorEastAsia" w:hAnsiTheme="majorHAnsi" w:cstheme="majorBidi"/>
      <w:spacing w:val="5"/>
      <w:sz w:val="52"/>
      <w:szCs w:val="52"/>
      <w:lang w:bidi="en-US"/>
    </w:rPr>
  </w:style>
  <w:style w:type="paragraph" w:customStyle="1" w:styleId="ECHRHeading3">
    <w:name w:val="ECHR_Heading_3"/>
    <w:aliases w:val="Ju_H_1."/>
    <w:basedOn w:val="Naslov3"/>
    <w:next w:val="ECHRPara"/>
    <w:uiPriority w:val="21"/>
    <w:qFormat/>
    <w:rsid w:val="006A778A"/>
    <w:pPr>
      <w:keepNext/>
      <w:keepLines/>
      <w:tabs>
        <w:tab w:val="left" w:pos="731"/>
      </w:tabs>
      <w:spacing w:before="240" w:after="120" w:line="240" w:lineRule="auto"/>
      <w:ind w:left="732" w:hanging="301"/>
    </w:pPr>
    <w:rPr>
      <w:b w:val="0"/>
      <w:i/>
      <w:color w:val="auto"/>
    </w:rPr>
  </w:style>
  <w:style w:type="paragraph" w:customStyle="1" w:styleId="ECHRHeading4">
    <w:name w:val="ECHR_Heading_4"/>
    <w:aliases w:val="Ju_H_a"/>
    <w:basedOn w:val="Naslov4"/>
    <w:next w:val="ECHRPara"/>
    <w:uiPriority w:val="22"/>
    <w:qFormat/>
    <w:rsid w:val="006A778A"/>
    <w:pPr>
      <w:keepNext/>
      <w:keepLines/>
      <w:tabs>
        <w:tab w:val="left" w:pos="975"/>
      </w:tabs>
      <w:spacing w:before="240" w:after="120"/>
      <w:ind w:left="975" w:hanging="340"/>
    </w:pPr>
    <w:rPr>
      <w:i w:val="0"/>
      <w:color w:val="auto"/>
      <w:sz w:val="20"/>
    </w:rPr>
  </w:style>
  <w:style w:type="paragraph" w:customStyle="1" w:styleId="ECHRHeading5">
    <w:name w:val="ECHR_Heading_5"/>
    <w:aliases w:val="Ju_H_i"/>
    <w:basedOn w:val="Naslov5"/>
    <w:next w:val="ECHRPara"/>
    <w:uiPriority w:val="23"/>
    <w:qFormat/>
    <w:rsid w:val="006A778A"/>
    <w:pPr>
      <w:keepNext/>
      <w:keepLines/>
      <w:tabs>
        <w:tab w:val="left" w:pos="1191"/>
      </w:tabs>
      <w:spacing w:before="240" w:after="120"/>
      <w:ind w:left="1190" w:hanging="357"/>
    </w:pPr>
    <w:rPr>
      <w:b w:val="0"/>
      <w:i/>
      <w:color w:val="auto"/>
      <w:sz w:val="20"/>
      <w:lang w:val="en-GB"/>
    </w:rPr>
  </w:style>
  <w:style w:type="paragraph" w:customStyle="1" w:styleId="ECHRHeading6">
    <w:name w:val="ECHR_Heading_6"/>
    <w:aliases w:val="Ju_H_alpha"/>
    <w:basedOn w:val="Naslov6"/>
    <w:next w:val="ECHRPara"/>
    <w:uiPriority w:val="24"/>
    <w:qFormat/>
    <w:rsid w:val="006A778A"/>
    <w:pPr>
      <w:keepNext/>
      <w:keepLines/>
      <w:tabs>
        <w:tab w:val="left" w:pos="1372"/>
      </w:tabs>
      <w:spacing w:before="240" w:after="120" w:line="240" w:lineRule="auto"/>
      <w:ind w:left="1373" w:hanging="335"/>
    </w:pPr>
    <w:rPr>
      <w:b w:val="0"/>
      <w:i w:val="0"/>
      <w:color w:val="auto"/>
      <w:sz w:val="20"/>
    </w:rPr>
  </w:style>
  <w:style w:type="paragraph" w:customStyle="1" w:styleId="ECHRHeading7">
    <w:name w:val="ECHR_Heading_7"/>
    <w:aliases w:val="Ju_H_–"/>
    <w:basedOn w:val="Naslov7"/>
    <w:next w:val="ECHRPara"/>
    <w:uiPriority w:val="25"/>
    <w:qFormat/>
    <w:rsid w:val="006A778A"/>
    <w:pPr>
      <w:keepNext/>
      <w:keepLines/>
      <w:spacing w:before="240" w:after="120"/>
      <w:ind w:left="1236"/>
    </w:pPr>
    <w:rPr>
      <w:sz w:val="20"/>
      <w:lang w:val="en-GB"/>
    </w:rPr>
  </w:style>
  <w:style w:type="paragraph" w:customStyle="1" w:styleId="JuQuotSub">
    <w:name w:val="Ju_Quot_Sub"/>
    <w:basedOn w:val="ECHRParaQuote"/>
    <w:uiPriority w:val="15"/>
    <w:qFormat/>
    <w:rsid w:val="006A778A"/>
    <w:pPr>
      <w:ind w:left="567"/>
    </w:pPr>
  </w:style>
  <w:style w:type="character" w:customStyle="1" w:styleId="JuITMark">
    <w:name w:val="Ju_ITMark"/>
    <w:basedOn w:val="Privzetapisavaodstavka"/>
    <w:uiPriority w:val="38"/>
    <w:qFormat/>
    <w:rsid w:val="006A778A"/>
    <w:rPr>
      <w:vanish w:val="0"/>
      <w:color w:val="auto"/>
      <w:sz w:val="14"/>
      <w:bdr w:val="none" w:sz="0" w:space="0" w:color="auto"/>
      <w:shd w:val="clear" w:color="auto" w:fill="BEE5FF" w:themeFill="background1" w:themeFillTint="33"/>
    </w:rPr>
  </w:style>
  <w:style w:type="paragraph" w:customStyle="1" w:styleId="JuLista">
    <w:name w:val="Ju_List_a"/>
    <w:basedOn w:val="JuList"/>
    <w:uiPriority w:val="28"/>
    <w:qFormat/>
    <w:rsid w:val="006A778A"/>
    <w:pPr>
      <w:ind w:left="346" w:firstLine="0"/>
    </w:pPr>
  </w:style>
  <w:style w:type="paragraph" w:styleId="Glava">
    <w:name w:val="header"/>
    <w:basedOn w:val="Navaden"/>
    <w:link w:val="GlavaZnak"/>
    <w:uiPriority w:val="57"/>
    <w:semiHidden/>
    <w:rsid w:val="006A778A"/>
    <w:pPr>
      <w:tabs>
        <w:tab w:val="center" w:pos="4536"/>
        <w:tab w:val="right" w:pos="9072"/>
      </w:tabs>
    </w:pPr>
    <w:rPr>
      <w:rFonts w:eastAsiaTheme="minorHAnsi"/>
    </w:rPr>
  </w:style>
  <w:style w:type="character" w:customStyle="1" w:styleId="GlavaZnak">
    <w:name w:val="Glava Znak"/>
    <w:basedOn w:val="Privzetapisavaodstavka"/>
    <w:link w:val="Glava"/>
    <w:uiPriority w:val="57"/>
    <w:semiHidden/>
    <w:rsid w:val="006A778A"/>
    <w:rPr>
      <w:sz w:val="24"/>
      <w:lang w:val="en-GB"/>
    </w:rPr>
  </w:style>
  <w:style w:type="character" w:customStyle="1" w:styleId="Naslov1Znak">
    <w:name w:val="Naslov 1 Znak"/>
    <w:basedOn w:val="Privzetapisavaodstavka"/>
    <w:link w:val="Naslov1"/>
    <w:uiPriority w:val="99"/>
    <w:semiHidden/>
    <w:rsid w:val="006A778A"/>
    <w:rPr>
      <w:rFonts w:asciiTheme="majorHAnsi" w:eastAsiaTheme="majorEastAsia" w:hAnsiTheme="majorHAnsi" w:cstheme="majorBidi"/>
      <w:b/>
      <w:bCs/>
      <w:color w:val="333333"/>
      <w:sz w:val="28"/>
      <w:szCs w:val="28"/>
      <w:lang w:val="en-GB"/>
    </w:rPr>
  </w:style>
  <w:style w:type="paragraph" w:customStyle="1" w:styleId="ECHRHeading1">
    <w:name w:val="ECHR_Heading_1"/>
    <w:aliases w:val="Ju_H_I_Roman"/>
    <w:basedOn w:val="Naslov1"/>
    <w:next w:val="ECHRPara"/>
    <w:uiPriority w:val="19"/>
    <w:qFormat/>
    <w:rsid w:val="006A778A"/>
    <w:pPr>
      <w:keepNext/>
      <w:keepLines/>
      <w:tabs>
        <w:tab w:val="left" w:pos="357"/>
      </w:tabs>
      <w:spacing w:before="360" w:after="240"/>
      <w:ind w:left="357" w:hanging="357"/>
      <w:contextualSpacing w:val="0"/>
    </w:pPr>
    <w:rPr>
      <w:b w:val="0"/>
      <w:color w:val="auto"/>
      <w:sz w:val="24"/>
    </w:rPr>
  </w:style>
  <w:style w:type="paragraph" w:customStyle="1" w:styleId="ECHRHeading2">
    <w:name w:val="ECHR_Heading_2"/>
    <w:aliases w:val="Ju_H_A"/>
    <w:basedOn w:val="Naslov2"/>
    <w:next w:val="ECHRPara"/>
    <w:uiPriority w:val="20"/>
    <w:qFormat/>
    <w:rsid w:val="006A778A"/>
    <w:pPr>
      <w:keepNext/>
      <w:keepLines/>
      <w:tabs>
        <w:tab w:val="left" w:pos="584"/>
      </w:tabs>
      <w:spacing w:before="360" w:after="240"/>
      <w:ind w:left="584" w:hanging="352"/>
    </w:pPr>
    <w:rPr>
      <w:color w:val="auto"/>
      <w:sz w:val="24"/>
    </w:rPr>
  </w:style>
  <w:style w:type="character" w:customStyle="1" w:styleId="Naslov2Znak">
    <w:name w:val="Naslov 2 Znak"/>
    <w:basedOn w:val="Privzetapisavaodstavka"/>
    <w:link w:val="Naslov2"/>
    <w:uiPriority w:val="99"/>
    <w:semiHidden/>
    <w:rsid w:val="006A778A"/>
    <w:rPr>
      <w:rFonts w:asciiTheme="majorHAnsi" w:eastAsiaTheme="majorEastAsia" w:hAnsiTheme="majorHAnsi" w:cstheme="majorBidi"/>
      <w:b/>
      <w:bCs/>
      <w:color w:val="4D4D4D"/>
      <w:sz w:val="26"/>
      <w:szCs w:val="26"/>
      <w:lang w:val="en-GB"/>
    </w:rPr>
  </w:style>
  <w:style w:type="paragraph" w:customStyle="1" w:styleId="JuListi">
    <w:name w:val="Ju_List_i"/>
    <w:basedOn w:val="Navaden"/>
    <w:next w:val="JuLista"/>
    <w:uiPriority w:val="28"/>
    <w:qFormat/>
    <w:rsid w:val="006A778A"/>
    <w:pPr>
      <w:ind w:left="794"/>
    </w:pPr>
  </w:style>
  <w:style w:type="paragraph" w:customStyle="1" w:styleId="JuCase">
    <w:name w:val="Ju_Case"/>
    <w:basedOn w:val="Navaden"/>
    <w:next w:val="ECHRPara"/>
    <w:uiPriority w:val="10"/>
    <w:rsid w:val="006A778A"/>
    <w:pPr>
      <w:ind w:firstLine="284"/>
    </w:pPr>
    <w:rPr>
      <w:b/>
    </w:rPr>
  </w:style>
  <w:style w:type="character" w:customStyle="1" w:styleId="Naslov3Znak">
    <w:name w:val="Naslov 3 Znak"/>
    <w:basedOn w:val="Privzetapisavaodstavka"/>
    <w:link w:val="Naslov3"/>
    <w:uiPriority w:val="99"/>
    <w:semiHidden/>
    <w:rsid w:val="006A778A"/>
    <w:rPr>
      <w:rFonts w:asciiTheme="majorHAnsi" w:eastAsiaTheme="majorEastAsia" w:hAnsiTheme="majorHAnsi" w:cstheme="majorBidi"/>
      <w:b/>
      <w:bCs/>
      <w:color w:val="5F5F5F"/>
      <w:sz w:val="24"/>
      <w:lang w:val="en-GB"/>
    </w:rPr>
  </w:style>
  <w:style w:type="character" w:customStyle="1" w:styleId="Naslov4Znak">
    <w:name w:val="Naslov 4 Znak"/>
    <w:basedOn w:val="Privzetapisavaodstavka"/>
    <w:link w:val="Naslov4"/>
    <w:uiPriority w:val="99"/>
    <w:semiHidden/>
    <w:rsid w:val="006A778A"/>
    <w:rPr>
      <w:rFonts w:asciiTheme="majorHAnsi" w:eastAsiaTheme="majorEastAsia" w:hAnsiTheme="majorHAnsi" w:cstheme="majorBidi"/>
      <w:b/>
      <w:bCs/>
      <w:i/>
      <w:iCs/>
      <w:color w:val="777777"/>
      <w:sz w:val="24"/>
      <w:lang w:val="en-GB"/>
    </w:rPr>
  </w:style>
  <w:style w:type="character" w:customStyle="1" w:styleId="Naslov5Znak">
    <w:name w:val="Naslov 5 Znak"/>
    <w:basedOn w:val="Privzetapisavaodstavka"/>
    <w:link w:val="Naslov5"/>
    <w:uiPriority w:val="99"/>
    <w:semiHidden/>
    <w:rsid w:val="006A778A"/>
    <w:rPr>
      <w:rFonts w:asciiTheme="majorHAnsi" w:eastAsiaTheme="majorEastAsia" w:hAnsiTheme="majorHAnsi" w:cstheme="majorBidi"/>
      <w:b/>
      <w:bCs/>
      <w:color w:val="808080"/>
    </w:rPr>
  </w:style>
  <w:style w:type="character" w:styleId="Neenpoudarek">
    <w:name w:val="Subtle Emphasis"/>
    <w:uiPriority w:val="99"/>
    <w:semiHidden/>
    <w:qFormat/>
    <w:rsid w:val="006A778A"/>
    <w:rPr>
      <w:i/>
      <w:iCs/>
    </w:rPr>
  </w:style>
  <w:style w:type="table" w:customStyle="1" w:styleId="ECHRTable">
    <w:name w:val="ECHR_Table"/>
    <w:basedOn w:val="Navadnatabela"/>
    <w:rsid w:val="00860B03"/>
    <w:rPr>
      <w:rFonts w:eastAsia="Times New Roman" w:cs="Times New Roman"/>
      <w:sz w:val="20"/>
      <w:szCs w:val="20"/>
      <w:lang w:val="en-GB"/>
    </w:rPr>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tblStylePr w:type="firstCol">
      <w:rPr>
        <w:b/>
      </w:rPr>
    </w:tblStylePr>
    <w:tblStylePr w:type="band2Vert">
      <w:tblPr/>
      <w:tcPr>
        <w:tcBorders>
          <w:top w:val="nil"/>
          <w:left w:val="nil"/>
          <w:bottom w:val="nil"/>
          <w:right w:val="nil"/>
          <w:insideH w:val="nil"/>
          <w:insideV w:val="nil"/>
          <w:tl2br w:val="nil"/>
          <w:tr2bl w:val="nil"/>
        </w:tcBorders>
        <w:shd w:val="clear" w:color="auto" w:fill="DFDFDF" w:themeFill="background2" w:themeFillShade="E6"/>
      </w:tcPr>
    </w:tblStylePr>
    <w:tblStylePr w:type="band2Horz">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shd w:val="clear" w:color="auto" w:fill="DFDFDF" w:themeFill="background2" w:themeFillShade="E6"/>
      </w:tcPr>
    </w:tblStylePr>
  </w:style>
  <w:style w:type="table" w:customStyle="1" w:styleId="ECHRTableBoxHeader">
    <w:name w:val="ECHR_Table_Box_Header"/>
    <w:basedOn w:val="Navadnatabela"/>
    <w:rsid w:val="004C086C"/>
    <w:rPr>
      <w:rFonts w:ascii="Verdana" w:eastAsia="Times New Roman" w:hAnsi="Verdana" w:cs="Times New Roman"/>
      <w:sz w:val="20"/>
      <w:szCs w:val="20"/>
      <w:lang w:val="en-GB"/>
    </w:rPr>
    <w:tblPr>
      <w:tblCellMar>
        <w:top w:w="57" w:type="dxa"/>
        <w:left w:w="57" w:type="dxa"/>
        <w:bottom w:w="57" w:type="dxa"/>
        <w:right w:w="57" w:type="dxa"/>
      </w:tblCellMar>
    </w:tblPr>
    <w:tcPr>
      <w:shd w:val="clear" w:color="auto" w:fill="F8F8F8" w:themeFill="background2"/>
    </w:tcPr>
    <w:tblStylePr w:type="firstCol">
      <w:rPr>
        <w:b/>
        <w:color w:val="5F5F5F" w:themeColor="accent3"/>
      </w:rPr>
    </w:tblStylePr>
  </w:style>
  <w:style w:type="paragraph" w:customStyle="1" w:styleId="ECHRTitle1">
    <w:name w:val="ECHR_Title_1"/>
    <w:aliases w:val="Ju_H_Head"/>
    <w:basedOn w:val="Navaden"/>
    <w:next w:val="ECHRPara"/>
    <w:uiPriority w:val="18"/>
    <w:qFormat/>
    <w:rsid w:val="006A778A"/>
    <w:pPr>
      <w:keepNext/>
      <w:keepLines/>
      <w:spacing w:before="720" w:after="240"/>
      <w:outlineLvl w:val="0"/>
    </w:pPr>
    <w:rPr>
      <w:rFonts w:asciiTheme="majorHAnsi" w:hAnsiTheme="majorHAnsi"/>
      <w:sz w:val="28"/>
    </w:rPr>
  </w:style>
  <w:style w:type="character" w:styleId="Poudarek">
    <w:name w:val="Emphasis"/>
    <w:uiPriority w:val="99"/>
    <w:semiHidden/>
    <w:qFormat/>
    <w:rsid w:val="006A778A"/>
    <w:rPr>
      <w:b/>
      <w:bCs/>
      <w:i/>
      <w:iCs/>
      <w:spacing w:val="10"/>
      <w:bdr w:val="none" w:sz="0" w:space="0" w:color="auto"/>
      <w:shd w:val="clear" w:color="auto" w:fill="auto"/>
    </w:rPr>
  </w:style>
  <w:style w:type="paragraph" w:styleId="Noga">
    <w:name w:val="footer"/>
    <w:basedOn w:val="Navaden"/>
    <w:link w:val="NogaZnak"/>
    <w:uiPriority w:val="57"/>
    <w:semiHidden/>
    <w:rsid w:val="006A778A"/>
    <w:pPr>
      <w:tabs>
        <w:tab w:val="center" w:pos="4536"/>
        <w:tab w:val="right" w:pos="9696"/>
      </w:tabs>
      <w:ind w:left="-680" w:right="-680"/>
    </w:pPr>
    <w:rPr>
      <w:rFonts w:eastAsiaTheme="minorHAnsi"/>
    </w:rPr>
  </w:style>
  <w:style w:type="character" w:customStyle="1" w:styleId="NogaZnak">
    <w:name w:val="Noga Znak"/>
    <w:basedOn w:val="Privzetapisavaodstavka"/>
    <w:link w:val="Noga"/>
    <w:uiPriority w:val="57"/>
    <w:semiHidden/>
    <w:rsid w:val="006A778A"/>
    <w:rPr>
      <w:sz w:val="24"/>
      <w:lang w:val="en-GB"/>
    </w:rPr>
  </w:style>
  <w:style w:type="character" w:styleId="Sprotnaopomba-sklic">
    <w:name w:val="footnote reference"/>
    <w:basedOn w:val="Privzetapisavaodstavka"/>
    <w:uiPriority w:val="99"/>
    <w:semiHidden/>
    <w:rsid w:val="006A778A"/>
    <w:rPr>
      <w:vertAlign w:val="superscript"/>
    </w:rPr>
  </w:style>
  <w:style w:type="paragraph" w:styleId="Sprotnaopomba-besedilo">
    <w:name w:val="footnote text"/>
    <w:basedOn w:val="Navaden"/>
    <w:link w:val="Sprotnaopomba-besediloZnak"/>
    <w:uiPriority w:val="99"/>
    <w:semiHidden/>
    <w:rsid w:val="006A778A"/>
    <w:rPr>
      <w:sz w:val="20"/>
      <w:szCs w:val="20"/>
    </w:rPr>
  </w:style>
  <w:style w:type="character" w:customStyle="1" w:styleId="Sprotnaopomba-besediloZnak">
    <w:name w:val="Sprotna opomba - besedilo Znak"/>
    <w:basedOn w:val="Privzetapisavaodstavka"/>
    <w:link w:val="Sprotnaopomba-besedilo"/>
    <w:uiPriority w:val="99"/>
    <w:semiHidden/>
    <w:rsid w:val="006A778A"/>
    <w:rPr>
      <w:rFonts w:eastAsiaTheme="minorEastAsia"/>
      <w:sz w:val="20"/>
      <w:szCs w:val="20"/>
      <w:lang w:val="en-GB"/>
    </w:rPr>
  </w:style>
  <w:style w:type="character" w:customStyle="1" w:styleId="Naslov6Znak">
    <w:name w:val="Naslov 6 Znak"/>
    <w:basedOn w:val="Privzetapisavaodstavka"/>
    <w:link w:val="Naslov6"/>
    <w:uiPriority w:val="99"/>
    <w:semiHidden/>
    <w:rsid w:val="006A778A"/>
    <w:rPr>
      <w:rFonts w:asciiTheme="majorHAnsi" w:eastAsiaTheme="majorEastAsia" w:hAnsiTheme="majorHAnsi" w:cstheme="majorBidi"/>
      <w:b/>
      <w:bCs/>
      <w:i/>
      <w:iCs/>
      <w:color w:val="7F7F7F" w:themeColor="text1" w:themeTint="80"/>
      <w:sz w:val="24"/>
      <w:lang w:val="en-GB" w:bidi="en-US"/>
    </w:rPr>
  </w:style>
  <w:style w:type="character" w:customStyle="1" w:styleId="Naslov7Znak">
    <w:name w:val="Naslov 7 Znak"/>
    <w:basedOn w:val="Privzetapisavaodstavka"/>
    <w:link w:val="Naslov7"/>
    <w:uiPriority w:val="99"/>
    <w:semiHidden/>
    <w:rsid w:val="006A778A"/>
    <w:rPr>
      <w:rFonts w:asciiTheme="majorHAnsi" w:eastAsiaTheme="majorEastAsia" w:hAnsiTheme="majorHAnsi" w:cstheme="majorBidi"/>
      <w:i/>
      <w:iCs/>
      <w:lang w:bidi="en-US"/>
    </w:rPr>
  </w:style>
  <w:style w:type="character" w:customStyle="1" w:styleId="Naslov8Znak">
    <w:name w:val="Naslov 8 Znak"/>
    <w:basedOn w:val="Privzetapisavaodstavka"/>
    <w:link w:val="Naslov8"/>
    <w:uiPriority w:val="99"/>
    <w:semiHidden/>
    <w:rsid w:val="006A778A"/>
    <w:rPr>
      <w:rFonts w:asciiTheme="majorHAnsi" w:eastAsiaTheme="majorEastAsia" w:hAnsiTheme="majorHAnsi" w:cstheme="majorBidi"/>
      <w:sz w:val="20"/>
      <w:szCs w:val="20"/>
      <w:lang w:bidi="en-US"/>
    </w:rPr>
  </w:style>
  <w:style w:type="character" w:customStyle="1" w:styleId="Naslov9Znak">
    <w:name w:val="Naslov 9 Znak"/>
    <w:basedOn w:val="Privzetapisavaodstavka"/>
    <w:link w:val="Naslov9"/>
    <w:uiPriority w:val="99"/>
    <w:semiHidden/>
    <w:rsid w:val="006A778A"/>
    <w:rPr>
      <w:rFonts w:asciiTheme="majorHAnsi" w:eastAsiaTheme="majorEastAsia" w:hAnsiTheme="majorHAnsi" w:cstheme="majorBidi"/>
      <w:i/>
      <w:iCs/>
      <w:spacing w:val="5"/>
      <w:sz w:val="20"/>
      <w:szCs w:val="20"/>
      <w:lang w:bidi="en-US"/>
    </w:rPr>
  </w:style>
  <w:style w:type="character" w:styleId="Hiperpovezava">
    <w:name w:val="Hyperlink"/>
    <w:basedOn w:val="Privzetapisavaodstavka"/>
    <w:uiPriority w:val="99"/>
    <w:semiHidden/>
    <w:rsid w:val="006A778A"/>
    <w:rPr>
      <w:color w:val="0072BC" w:themeColor="hyperlink"/>
      <w:u w:val="single"/>
    </w:rPr>
  </w:style>
  <w:style w:type="character" w:styleId="Intenzivenpoudarek">
    <w:name w:val="Intense Emphasis"/>
    <w:uiPriority w:val="99"/>
    <w:semiHidden/>
    <w:qFormat/>
    <w:rsid w:val="006A778A"/>
    <w:rPr>
      <w:b/>
      <w:bCs/>
    </w:rPr>
  </w:style>
  <w:style w:type="paragraph" w:styleId="Intenzivencitat">
    <w:name w:val="Intense Quote"/>
    <w:basedOn w:val="Navaden"/>
    <w:next w:val="Navaden"/>
    <w:link w:val="IntenzivencitatZnak"/>
    <w:uiPriority w:val="99"/>
    <w:semiHidden/>
    <w:qFormat/>
    <w:rsid w:val="006A778A"/>
    <w:pPr>
      <w:pBdr>
        <w:bottom w:val="single" w:sz="4" w:space="1" w:color="auto"/>
      </w:pBdr>
      <w:spacing w:before="200" w:after="280"/>
      <w:ind w:left="1008" w:right="1152"/>
    </w:pPr>
    <w:rPr>
      <w:b/>
      <w:bCs/>
      <w:i/>
      <w:iCs/>
      <w:sz w:val="22"/>
      <w:lang w:val="en-US" w:bidi="en-US"/>
    </w:rPr>
  </w:style>
  <w:style w:type="character" w:customStyle="1" w:styleId="IntenzivencitatZnak">
    <w:name w:val="Intenziven citat Znak"/>
    <w:basedOn w:val="Privzetapisavaodstavka"/>
    <w:link w:val="Intenzivencitat"/>
    <w:uiPriority w:val="99"/>
    <w:semiHidden/>
    <w:rsid w:val="006A778A"/>
    <w:rPr>
      <w:rFonts w:eastAsiaTheme="minorEastAsia"/>
      <w:b/>
      <w:bCs/>
      <w:i/>
      <w:iCs/>
      <w:lang w:bidi="en-US"/>
    </w:rPr>
  </w:style>
  <w:style w:type="character" w:styleId="Intenzivensklic">
    <w:name w:val="Intense Reference"/>
    <w:uiPriority w:val="99"/>
    <w:semiHidden/>
    <w:qFormat/>
    <w:rsid w:val="006A778A"/>
    <w:rPr>
      <w:smallCaps/>
      <w:spacing w:val="5"/>
      <w:u w:val="single"/>
    </w:rPr>
  </w:style>
  <w:style w:type="paragraph" w:styleId="Odstavekseznama">
    <w:name w:val="List Paragraph"/>
    <w:basedOn w:val="Navaden"/>
    <w:uiPriority w:val="99"/>
    <w:semiHidden/>
    <w:qFormat/>
    <w:rsid w:val="006A778A"/>
    <w:pPr>
      <w:ind w:left="720"/>
      <w:contextualSpacing/>
    </w:pPr>
  </w:style>
  <w:style w:type="table" w:customStyle="1" w:styleId="LtrTableAddress">
    <w:name w:val="Ltr_Table_Address"/>
    <w:basedOn w:val="Navadnatabela"/>
    <w:uiPriority w:val="99"/>
    <w:rsid w:val="001E6F32"/>
    <w:tblPr>
      <w:tblInd w:w="5103" w:type="dxa"/>
    </w:tblPr>
  </w:style>
  <w:style w:type="paragraph" w:styleId="Citat">
    <w:name w:val="Quote"/>
    <w:basedOn w:val="Navaden"/>
    <w:next w:val="Navaden"/>
    <w:link w:val="CitatZnak"/>
    <w:uiPriority w:val="99"/>
    <w:semiHidden/>
    <w:qFormat/>
    <w:rsid w:val="006A778A"/>
    <w:pPr>
      <w:spacing w:before="200"/>
      <w:ind w:left="360" w:right="360"/>
    </w:pPr>
    <w:rPr>
      <w:i/>
      <w:iCs/>
      <w:sz w:val="22"/>
      <w:lang w:val="en-US" w:bidi="en-US"/>
    </w:rPr>
  </w:style>
  <w:style w:type="character" w:customStyle="1" w:styleId="CitatZnak">
    <w:name w:val="Citat Znak"/>
    <w:basedOn w:val="Privzetapisavaodstavka"/>
    <w:link w:val="Citat"/>
    <w:uiPriority w:val="99"/>
    <w:semiHidden/>
    <w:rsid w:val="006A778A"/>
    <w:rPr>
      <w:rFonts w:eastAsiaTheme="minorEastAsia"/>
      <w:i/>
      <w:iCs/>
      <w:lang w:bidi="en-US"/>
    </w:rPr>
  </w:style>
  <w:style w:type="character" w:styleId="Neensklic">
    <w:name w:val="Subtle Reference"/>
    <w:uiPriority w:val="99"/>
    <w:semiHidden/>
    <w:qFormat/>
    <w:rsid w:val="006A778A"/>
    <w:rPr>
      <w:smallCaps/>
    </w:rPr>
  </w:style>
  <w:style w:type="table" w:styleId="Tabelamrea">
    <w:name w:val="Table Grid"/>
    <w:basedOn w:val="Navadnatabela"/>
    <w:uiPriority w:val="59"/>
    <w:semiHidden/>
    <w:rsid w:val="006A778A"/>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azalovsebine1">
    <w:name w:val="toc 1"/>
    <w:basedOn w:val="Navaden"/>
    <w:next w:val="Navaden"/>
    <w:autoRedefine/>
    <w:uiPriority w:val="99"/>
    <w:semiHidden/>
    <w:rsid w:val="006A778A"/>
    <w:pPr>
      <w:keepNext/>
      <w:tabs>
        <w:tab w:val="right" w:leader="dot" w:pos="7371"/>
      </w:tabs>
      <w:spacing w:before="160" w:after="60" w:line="240" w:lineRule="exact"/>
      <w:ind w:left="340" w:right="567" w:hanging="340"/>
    </w:pPr>
    <w:rPr>
      <w:b/>
      <w:sz w:val="22"/>
    </w:rPr>
  </w:style>
  <w:style w:type="paragraph" w:styleId="Kazalovsebine2">
    <w:name w:val="toc 2"/>
    <w:basedOn w:val="Navaden"/>
    <w:next w:val="Navaden"/>
    <w:autoRedefine/>
    <w:uiPriority w:val="99"/>
    <w:semiHidden/>
    <w:rsid w:val="006A778A"/>
    <w:pPr>
      <w:keepNext/>
      <w:tabs>
        <w:tab w:val="right" w:leader="dot" w:pos="7371"/>
      </w:tabs>
      <w:spacing w:after="60" w:line="240" w:lineRule="exact"/>
      <w:ind w:left="680" w:right="567" w:hanging="340"/>
    </w:pPr>
    <w:rPr>
      <w:sz w:val="22"/>
    </w:rPr>
  </w:style>
  <w:style w:type="paragraph" w:styleId="Kazalovsebine3">
    <w:name w:val="toc 3"/>
    <w:basedOn w:val="Navaden"/>
    <w:next w:val="Navaden"/>
    <w:autoRedefine/>
    <w:uiPriority w:val="99"/>
    <w:semiHidden/>
    <w:rsid w:val="006A778A"/>
    <w:pPr>
      <w:keepNext/>
      <w:tabs>
        <w:tab w:val="right" w:leader="dot" w:pos="7371"/>
      </w:tabs>
      <w:spacing w:after="60" w:line="240" w:lineRule="exact"/>
      <w:ind w:left="1020" w:right="567" w:hanging="340"/>
    </w:pPr>
    <w:rPr>
      <w:sz w:val="20"/>
    </w:rPr>
  </w:style>
  <w:style w:type="paragraph" w:styleId="Kazalovsebine4">
    <w:name w:val="toc 4"/>
    <w:basedOn w:val="Navaden"/>
    <w:next w:val="Navaden"/>
    <w:autoRedefine/>
    <w:uiPriority w:val="99"/>
    <w:semiHidden/>
    <w:rsid w:val="006A778A"/>
    <w:pPr>
      <w:tabs>
        <w:tab w:val="right" w:leader="dot" w:pos="7371"/>
      </w:tabs>
      <w:spacing w:after="60" w:line="240" w:lineRule="exact"/>
      <w:ind w:left="1361" w:right="567" w:hanging="340"/>
    </w:pPr>
    <w:rPr>
      <w:sz w:val="20"/>
    </w:rPr>
  </w:style>
  <w:style w:type="paragraph" w:styleId="Kazalovsebine5">
    <w:name w:val="toc 5"/>
    <w:basedOn w:val="Navaden"/>
    <w:next w:val="Navaden"/>
    <w:autoRedefine/>
    <w:uiPriority w:val="99"/>
    <w:semiHidden/>
    <w:rsid w:val="006A778A"/>
    <w:pPr>
      <w:tabs>
        <w:tab w:val="right" w:leader="dot" w:pos="7371"/>
      </w:tabs>
      <w:spacing w:after="60" w:line="240" w:lineRule="exact"/>
      <w:ind w:left="1701" w:right="567" w:hanging="340"/>
    </w:pPr>
    <w:rPr>
      <w:sz w:val="20"/>
    </w:rPr>
  </w:style>
  <w:style w:type="paragraph" w:styleId="NaslovTOC">
    <w:name w:val="TOC Heading"/>
    <w:basedOn w:val="Navaden"/>
    <w:next w:val="Navaden"/>
    <w:uiPriority w:val="99"/>
    <w:semiHidden/>
    <w:qFormat/>
    <w:rsid w:val="006A778A"/>
    <w:pPr>
      <w:keepNext/>
      <w:keepLines/>
      <w:spacing w:before="240"/>
      <w:contextualSpacing/>
      <w:jc w:val="center"/>
    </w:pPr>
    <w:rPr>
      <w:rFonts w:asciiTheme="majorHAnsi" w:eastAsiaTheme="minorHAnsi" w:hAnsiTheme="majorHAnsi"/>
      <w:b/>
      <w:color w:val="474747" w:themeColor="accent3" w:themeShade="BF"/>
      <w:sz w:val="28"/>
    </w:rPr>
  </w:style>
  <w:style w:type="table" w:customStyle="1" w:styleId="UGTable">
    <w:name w:val="UG_Table"/>
    <w:basedOn w:val="Navadnatabela"/>
    <w:uiPriority w:val="99"/>
    <w:rsid w:val="00801300"/>
    <w:rPr>
      <w:rFonts w:eastAsiaTheme="minorEastAsia"/>
      <w:sz w:val="20"/>
      <w:lang w:val="en-GB" w:eastAsia="en-GB"/>
    </w:rPr>
    <w:tblPr>
      <w:tblInd w:w="-1191" w:type="dxa"/>
      <w:tblCellMar>
        <w:top w:w="57" w:type="dxa"/>
        <w:left w:w="0" w:type="dxa"/>
        <w:right w:w="0" w:type="dxa"/>
      </w:tblCellMar>
    </w:tblPr>
    <w:tblStylePr w:type="swCell">
      <w:tblPr/>
      <w:tcPr>
        <w:tcBorders>
          <w:top w:val="nil"/>
          <w:left w:val="nil"/>
          <w:bottom w:val="nil"/>
          <w:right w:val="nil"/>
          <w:insideH w:val="nil"/>
          <w:insideV w:val="nil"/>
          <w:tl2br w:val="nil"/>
          <w:tr2bl w:val="nil"/>
        </w:tcBorders>
        <w:shd w:val="clear" w:color="auto" w:fill="EAEAEA"/>
      </w:tcPr>
    </w:tblStylePr>
  </w:style>
  <w:style w:type="table" w:customStyle="1" w:styleId="UGTableWhiteBox">
    <w:name w:val="UG_Table_White_Box"/>
    <w:basedOn w:val="Navadnatabela"/>
    <w:uiPriority w:val="99"/>
    <w:rsid w:val="00801300"/>
    <w:rPr>
      <w:rFonts w:eastAsiaTheme="minorEastAsia"/>
      <w:lang w:val="en-GB" w:eastAsia="en-GB"/>
    </w:rPr>
    <w:tblPr>
      <w:tblBorders>
        <w:top w:val="single" w:sz="4" w:space="0" w:color="B9B9B9" w:themeColor="background2" w:themeShade="BF"/>
        <w:left w:val="single" w:sz="4" w:space="0" w:color="B9B9B9" w:themeColor="background2" w:themeShade="BF"/>
        <w:bottom w:val="single" w:sz="4" w:space="0" w:color="B9B9B9" w:themeColor="background2" w:themeShade="BF"/>
        <w:right w:val="single" w:sz="4" w:space="0" w:color="B9B9B9" w:themeColor="background2" w:themeShade="BF"/>
      </w:tblBorders>
      <w:tblCellMar>
        <w:top w:w="113" w:type="dxa"/>
        <w:left w:w="113" w:type="dxa"/>
        <w:bottom w:w="113" w:type="dxa"/>
        <w:right w:w="113" w:type="dxa"/>
      </w:tblCellMar>
    </w:tblPr>
    <w:tcPr>
      <w:shd w:val="clear" w:color="auto" w:fill="FFFFFF"/>
    </w:tcPr>
  </w:style>
  <w:style w:type="table" w:customStyle="1" w:styleId="PCFTableStyle">
    <w:name w:val="PCF_Table_Style"/>
    <w:basedOn w:val="Navadnatabela"/>
    <w:uiPriority w:val="99"/>
    <w:rsid w:val="00810B38"/>
    <w:rPr>
      <w:color w:val="000000" w:themeColor="text1"/>
      <w:sz w:val="18"/>
    </w:rPr>
    <w:tblPr>
      <w:tblBorders>
        <w:top w:val="single" w:sz="8" w:space="0" w:color="9F9F9F" w:themeColor="accent3" w:themeTint="99"/>
        <w:left w:val="single" w:sz="8" w:space="0" w:color="9F9F9F" w:themeColor="accent3" w:themeTint="99"/>
        <w:bottom w:val="single" w:sz="8" w:space="0" w:color="9F9F9F" w:themeColor="accent3" w:themeTint="99"/>
        <w:right w:val="single" w:sz="8" w:space="0" w:color="9F9F9F" w:themeColor="accent3" w:themeTint="99"/>
        <w:insideH w:val="single" w:sz="8" w:space="0" w:color="9F9F9F" w:themeColor="accent3" w:themeTint="99"/>
        <w:insideV w:val="single" w:sz="8" w:space="0" w:color="9F9F9F" w:themeColor="accent3" w:themeTint="99"/>
      </w:tblBorders>
    </w:tblPr>
    <w:tblStylePr w:type="firstRow">
      <w:pPr>
        <w:wordWrap/>
        <w:spacing w:beforeLines="0" w:before="120" w:beforeAutospacing="0" w:afterLines="0" w:after="120" w:afterAutospacing="0" w:line="240" w:lineRule="auto"/>
        <w:contextualSpacing/>
        <w:jc w:val="center"/>
      </w:pPr>
      <w:rPr>
        <w:b/>
        <w:i w:val="0"/>
        <w:color w:val="FFFFFF"/>
        <w:sz w:val="20"/>
      </w:rPr>
      <w:tblPr/>
      <w:tcPr>
        <w:tcBorders>
          <w:top w:val="nil"/>
          <w:left w:val="nil"/>
          <w:bottom w:val="nil"/>
          <w:right w:val="nil"/>
          <w:insideH w:val="nil"/>
          <w:insideV w:val="nil"/>
          <w:tl2br w:val="nil"/>
          <w:tr2bl w:val="nil"/>
        </w:tcBorders>
        <w:shd w:val="clear" w:color="auto" w:fill="0072BC" w:themeFill="accent1"/>
        <w:vAlign w:val="center"/>
      </w:tcPr>
    </w:tblStylePr>
    <w:tblStylePr w:type="firstCol">
      <w:pPr>
        <w:jc w:val="left"/>
      </w:pPr>
      <w:tblPr/>
      <w:tcPr>
        <w:vAlign w:val="center"/>
      </w:tcPr>
    </w:tblStylePr>
  </w:style>
  <w:style w:type="table" w:customStyle="1" w:styleId="ECHRTableFax">
    <w:name w:val="ECHR_Table_Fax"/>
    <w:basedOn w:val="Navadnatabela"/>
    <w:uiPriority w:val="99"/>
    <w:rsid w:val="00893576"/>
    <w:rPr>
      <w:color w:val="000000" w:themeColor="text1"/>
    </w:rPr>
    <w:tblPr>
      <w:tblInd w:w="-680" w:type="dxa"/>
      <w:tblBorders>
        <w:insideH w:val="single" w:sz="4" w:space="0" w:color="C6C6C6" w:themeColor="text2"/>
        <w:insideV w:val="single" w:sz="4" w:space="0" w:color="C6C6C6" w:themeColor="text2"/>
      </w:tblBorders>
      <w:tblCellMar>
        <w:top w:w="142" w:type="dxa"/>
        <w:bottom w:w="142" w:type="dxa"/>
      </w:tblCellMar>
    </w:tblPr>
    <w:trPr>
      <w:cantSplit/>
    </w:trPr>
  </w:style>
  <w:style w:type="table" w:customStyle="1" w:styleId="ECHRTableMemo">
    <w:name w:val="ECHR_Table_Memo"/>
    <w:basedOn w:val="Navadnatabela"/>
    <w:uiPriority w:val="99"/>
    <w:rsid w:val="00210338"/>
    <w:tblPr>
      <w:jc w:val="center"/>
      <w:tblCellMar>
        <w:top w:w="113" w:type="dxa"/>
        <w:left w:w="0" w:type="dxa"/>
        <w:bottom w:w="113" w:type="dxa"/>
        <w:right w:w="0" w:type="dxa"/>
      </w:tblCellMar>
    </w:tblPr>
    <w:trPr>
      <w:jc w:val="center"/>
    </w:trPr>
    <w:tblStylePr w:type="lastRow">
      <w:tblPr/>
      <w:tcPr>
        <w:tcBorders>
          <w:top w:val="nil"/>
          <w:left w:val="nil"/>
          <w:bottom w:val="single" w:sz="4" w:space="0" w:color="949494" w:themeColor="text2" w:themeShade="BF"/>
          <w:right w:val="nil"/>
          <w:insideH w:val="nil"/>
          <w:insideV w:val="nil"/>
          <w:tl2br w:val="nil"/>
          <w:tr2bl w:val="nil"/>
        </w:tcBorders>
      </w:tcPr>
    </w:tblStylePr>
  </w:style>
  <w:style w:type="table" w:customStyle="1" w:styleId="ECHRDNTable">
    <w:name w:val="ECHR_DN_Table"/>
    <w:aliases w:val="DN_Table"/>
    <w:basedOn w:val="Navadnatabela"/>
    <w:uiPriority w:val="99"/>
    <w:rsid w:val="0090506B"/>
    <w:tblPr>
      <w:jc w:val="center"/>
      <w:tblBorders>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57" w:type="dxa"/>
        <w:bottom w:w="57" w:type="dxa"/>
      </w:tblCellMar>
    </w:tblPr>
    <w:trPr>
      <w:jc w:val="center"/>
    </w:trPr>
    <w:tcPr>
      <w:vAlign w:val="center"/>
    </w:tcPr>
    <w:tblStylePr w:type="firstRow">
      <w:pPr>
        <w:wordWrap/>
        <w:spacing w:beforeLines="0"/>
        <w:ind w:leftChars="0" w:left="0"/>
      </w:pPr>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nil"/>
          <w:right w:val="single" w:sz="4" w:space="0" w:color="949494" w:themeColor="text2" w:themeShade="BF"/>
          <w:insideH w:val="nil"/>
          <w:insideV w:val="nil"/>
          <w:tl2br w:val="nil"/>
          <w:tr2bl w:val="nil"/>
        </w:tcBorders>
        <w:shd w:val="clear" w:color="auto" w:fill="DFDFDF" w:themeFill="background2" w:themeFillShade="E6"/>
      </w:tcPr>
    </w:tblStylePr>
  </w:style>
  <w:style w:type="paragraph" w:styleId="Kazalovirov-naslov">
    <w:name w:val="toa heading"/>
    <w:basedOn w:val="Navaden"/>
    <w:next w:val="Navaden"/>
    <w:uiPriority w:val="99"/>
    <w:semiHidden/>
    <w:rsid w:val="006A778A"/>
    <w:pPr>
      <w:keepNext/>
      <w:keepLines/>
      <w:spacing w:before="240"/>
      <w:contextualSpacing/>
      <w:jc w:val="center"/>
    </w:pPr>
    <w:rPr>
      <w:rFonts w:asciiTheme="majorHAnsi" w:eastAsiaTheme="majorEastAsia" w:hAnsiTheme="majorHAnsi" w:cstheme="majorBidi"/>
      <w:b/>
      <w:bCs/>
      <w:color w:val="474747" w:themeColor="accent3" w:themeShade="BF"/>
      <w:sz w:val="28"/>
      <w:szCs w:val="24"/>
    </w:rPr>
  </w:style>
  <w:style w:type="paragraph" w:customStyle="1" w:styleId="ECHRParaQuote">
    <w:name w:val="ECHR_Para_Quote"/>
    <w:aliases w:val="Ju_Quot"/>
    <w:basedOn w:val="Navaden"/>
    <w:uiPriority w:val="14"/>
    <w:qFormat/>
    <w:rsid w:val="006A778A"/>
    <w:pPr>
      <w:spacing w:before="120" w:after="120"/>
      <w:ind w:left="425" w:firstLine="142"/>
    </w:pPr>
    <w:rPr>
      <w:sz w:val="20"/>
    </w:rPr>
  </w:style>
  <w:style w:type="paragraph" w:customStyle="1" w:styleId="ECHRPara">
    <w:name w:val="ECHR_Para"/>
    <w:aliases w:val="Ju_Para"/>
    <w:basedOn w:val="Navaden"/>
    <w:link w:val="ECHRParaChar"/>
    <w:uiPriority w:val="12"/>
    <w:qFormat/>
    <w:rsid w:val="006A778A"/>
    <w:pPr>
      <w:ind w:firstLine="284"/>
    </w:pPr>
  </w:style>
  <w:style w:type="table" w:customStyle="1" w:styleId="ECHRTableSimpleBox">
    <w:name w:val="ECHR_Table_Simple_Box"/>
    <w:basedOn w:val="Navadnatabela"/>
    <w:uiPriority w:val="99"/>
    <w:rsid w:val="00AE354C"/>
    <w:tblPr>
      <w:tblBorders>
        <w:top w:val="single" w:sz="4" w:space="0" w:color="9F9F9F" w:themeColor="accent3" w:themeTint="99"/>
        <w:left w:val="single" w:sz="4" w:space="0" w:color="9F9F9F" w:themeColor="accent3" w:themeTint="99"/>
        <w:bottom w:val="single" w:sz="4" w:space="0" w:color="9F9F9F" w:themeColor="accent3" w:themeTint="99"/>
        <w:right w:val="single" w:sz="4" w:space="0" w:color="9F9F9F" w:themeColor="accent3" w:themeTint="99"/>
      </w:tblBorders>
      <w:tblCellMar>
        <w:top w:w="113" w:type="dxa"/>
        <w:bottom w:w="113" w:type="dxa"/>
      </w:tblCellMar>
    </w:tblPr>
  </w:style>
  <w:style w:type="table" w:customStyle="1" w:styleId="ECHRTableNoLines">
    <w:name w:val="ECHR_Table_No_Lines"/>
    <w:basedOn w:val="Navadnatabela"/>
    <w:uiPriority w:val="99"/>
    <w:rsid w:val="00F218EF"/>
    <w:tblPr>
      <w:tblCellMar>
        <w:top w:w="85" w:type="dxa"/>
        <w:left w:w="142" w:type="dxa"/>
        <w:bottom w:w="28" w:type="dxa"/>
        <w:right w:w="142" w:type="dxa"/>
      </w:tblCellMar>
    </w:tblPr>
    <w:tblStylePr w:type="firstRow">
      <w:rPr>
        <w:rFonts w:asciiTheme="majorHAnsi" w:hAnsiTheme="majorHAnsi"/>
        <w:b/>
        <w:i w:val="0"/>
        <w:color w:val="474747" w:themeColor="accent3" w:themeShade="BF"/>
        <w:sz w:val="24"/>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nil"/>
          <w:tl2br w:val="nil"/>
          <w:tr2bl w:val="nil"/>
        </w:tcBorders>
        <w:shd w:val="clear" w:color="auto" w:fill="DFDFDF" w:themeFill="background2" w:themeFillShade="E6"/>
      </w:tcPr>
    </w:tblStylePr>
    <w:tblStylePr w:type="firstCol">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tcPr>
    </w:tblStylePr>
  </w:style>
  <w:style w:type="table" w:customStyle="1" w:styleId="ECHRTableForInternalUse">
    <w:name w:val="ECHR_Table_For_Internal_Use"/>
    <w:basedOn w:val="Navadnatabela"/>
    <w:uiPriority w:val="99"/>
    <w:rsid w:val="005474E7"/>
    <w:rPr>
      <w:color w:val="636363" w:themeColor="text2" w:themeShade="80"/>
      <w:sz w:val="18"/>
    </w:rPr>
    <w:tblPr>
      <w:tblStyleColBandSize w:val="1"/>
      <w:jc w:val="right"/>
      <w:tblCellMar>
        <w:top w:w="113" w:type="dxa"/>
        <w:bottom w:w="28" w:type="dxa"/>
      </w:tblCellMar>
    </w:tblPr>
    <w:trPr>
      <w:jc w:val="right"/>
    </w:trPr>
    <w:tblStylePr w:type="firstRow">
      <w:rPr>
        <w:b/>
      </w:rPr>
    </w:tblStylePr>
    <w:tblStylePr w:type="lastCol">
      <w:pPr>
        <w:jc w:val="right"/>
      </w:p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tblStylePr w:type="band1Vert">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l2br w:val="nil"/>
          <w:tr2bl w:val="nil"/>
        </w:tcBorders>
      </w:tcPr>
    </w:tblStylePr>
  </w:style>
  <w:style w:type="table" w:customStyle="1" w:styleId="ECHRListTable">
    <w:name w:val="ECHR_List_Table"/>
    <w:basedOn w:val="Navadnatabela"/>
    <w:uiPriority w:val="99"/>
    <w:rsid w:val="006A778A"/>
    <w:tblPr>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b/>
        <w:color w:val="474747" w:themeColor="accent3" w:themeShade="BF"/>
      </w:rPr>
      <w:tblPr/>
      <w:trPr>
        <w:tblHeader/>
      </w:tr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cBorders>
        <w:shd w:val="clear" w:color="auto" w:fill="DFDFDF" w:themeFill="background2" w:themeFillShade="E6"/>
      </w:tcPr>
    </w:tblStylePr>
  </w:style>
  <w:style w:type="table" w:customStyle="1" w:styleId="ECHRHeaderTable">
    <w:name w:val="ECHR_Header_Table"/>
    <w:basedOn w:val="Navadnatabela"/>
    <w:uiPriority w:val="99"/>
    <w:rsid w:val="00661971"/>
    <w:tblPr>
      <w:tblInd w:w="-680" w:type="dxa"/>
      <w:tblBorders>
        <w:bottom w:val="single" w:sz="6" w:space="0" w:color="949494" w:themeColor="text2" w:themeShade="BF"/>
      </w:tblBorders>
      <w:tblCellMar>
        <w:left w:w="0" w:type="dxa"/>
        <w:bottom w:w="28" w:type="dxa"/>
        <w:right w:w="0" w:type="dxa"/>
      </w:tblCellMar>
    </w:tblPr>
    <w:tcPr>
      <w:vAlign w:val="bottom"/>
    </w:tcPr>
    <w:tblStylePr w:type="lastCol">
      <w:pPr>
        <w:wordWrap/>
        <w:jc w:val="both"/>
      </w:pPr>
    </w:tblStylePr>
  </w:style>
  <w:style w:type="table" w:customStyle="1" w:styleId="ECHRTableOddBanded">
    <w:name w:val="ECHR_Table_Odd_Banded"/>
    <w:basedOn w:val="Navadnatabela"/>
    <w:uiPriority w:val="99"/>
    <w:rsid w:val="00860B03"/>
    <w:tblPr>
      <w:tblStyleRowBandSize w:val="1"/>
      <w:tblStyleColBandSize w:val="1"/>
      <w:tbl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single" w:sz="4" w:space="0" w:color="949494" w:themeColor="text2" w:themeShade="BF"/>
        <w:insideV w:val="single" w:sz="4" w:space="0" w:color="949494" w:themeColor="text2" w:themeShade="BF"/>
      </w:tblBorders>
      <w:tblCellMar>
        <w:top w:w="28" w:type="dxa"/>
        <w:bottom w:w="28" w:type="dxa"/>
      </w:tblCellMar>
    </w:tblPr>
    <w:tblStylePr w:type="firstRow">
      <w:rPr>
        <w:rFonts w:asciiTheme="majorHAnsi" w:hAnsiTheme="majorHAnsi"/>
        <w:b/>
        <w:i w:val="0"/>
        <w:color w:val="474747" w:themeColor="accent3" w:themeShade="BF"/>
        <w:sz w:val="22"/>
      </w:rPr>
      <w:tblPr/>
      <w:tcPr>
        <w:tcBorders>
          <w:top w:val="single" w:sz="4" w:space="0" w:color="949494" w:themeColor="text2" w:themeShade="BF"/>
          <w:left w:val="single" w:sz="4" w:space="0" w:color="949494" w:themeColor="text2" w:themeShade="BF"/>
          <w:bottom w:val="single" w:sz="4" w:space="0" w:color="949494" w:themeColor="text2" w:themeShade="BF"/>
          <w:right w:val="single" w:sz="4" w:space="0" w:color="949494" w:themeColor="text2" w:themeShade="BF"/>
          <w:insideH w:val="nil"/>
          <w:insideV w:val="single" w:sz="4" w:space="0" w:color="949494" w:themeColor="text2" w:themeShade="BF"/>
          <w:tl2br w:val="nil"/>
          <w:tr2bl w:val="nil"/>
        </w:tcBorders>
        <w:shd w:val="clear" w:color="auto" w:fill="DFDFDF" w:themeFill="background2" w:themeFillShade="E6"/>
      </w:tcPr>
    </w:tblStylePr>
    <w:tblStylePr w:type="band1Vert">
      <w:tblPr/>
      <w:tcPr>
        <w:tcBorders>
          <w:top w:val="nil"/>
          <w:left w:val="nil"/>
          <w:bottom w:val="nil"/>
          <w:right w:val="nil"/>
          <w:insideH w:val="nil"/>
          <w:insideV w:val="nil"/>
          <w:tl2br w:val="nil"/>
          <w:tr2bl w:val="nil"/>
        </w:tcBorders>
        <w:shd w:val="clear" w:color="auto" w:fill="DFDFDF" w:themeFill="background2" w:themeFillShade="E6"/>
      </w:tcPr>
    </w:tblStylePr>
    <w:tblStylePr w:type="band1Horz">
      <w:rPr>
        <w:b/>
      </w:rPr>
      <w:tblPr/>
      <w:tcPr>
        <w:shd w:val="clear" w:color="auto" w:fill="DFDFDF" w:themeFill="background2" w:themeFillShade="E6"/>
      </w:tcPr>
    </w:tblStylePr>
  </w:style>
  <w:style w:type="paragraph" w:customStyle="1" w:styleId="ECHRDecisionBody">
    <w:name w:val="ECHR_Decision_Body"/>
    <w:aliases w:val="Ju_Judges"/>
    <w:basedOn w:val="Navaden"/>
    <w:uiPriority w:val="11"/>
    <w:qFormat/>
    <w:rsid w:val="006A778A"/>
    <w:pPr>
      <w:tabs>
        <w:tab w:val="left" w:pos="567"/>
        <w:tab w:val="left" w:pos="1134"/>
      </w:tabs>
      <w:jc w:val="left"/>
    </w:pPr>
  </w:style>
  <w:style w:type="table" w:customStyle="1" w:styleId="ECHRHeaderTableReduced">
    <w:name w:val="ECHR_Header_Table_Reduced"/>
    <w:basedOn w:val="Navadnatabela"/>
    <w:uiPriority w:val="99"/>
    <w:rsid w:val="00B52BE0"/>
    <w:tblPr>
      <w:tblInd w:w="-680" w:type="dxa"/>
      <w:tblCellMar>
        <w:left w:w="0" w:type="dxa"/>
        <w:right w:w="0" w:type="dxa"/>
      </w:tblCellMar>
    </w:tblPr>
    <w:tcPr>
      <w:vAlign w:val="bottom"/>
    </w:tcPr>
    <w:tblStylePr w:type="firstRow">
      <w:tblPr/>
      <w:tcPr>
        <w:tcBorders>
          <w:top w:val="nil"/>
          <w:left w:val="nil"/>
          <w:bottom w:val="single" w:sz="6" w:space="0" w:color="949494" w:themeColor="text2" w:themeShade="BF"/>
          <w:right w:val="nil"/>
          <w:insideH w:val="nil"/>
          <w:insideV w:val="nil"/>
          <w:tl2br w:val="nil"/>
          <w:tr2bl w:val="nil"/>
        </w:tcBorders>
      </w:tcPr>
    </w:tblStylePr>
    <w:tblStylePr w:type="lastRow">
      <w:pPr>
        <w:jc w:val="right"/>
      </w:pPr>
      <w:tblPr/>
      <w:tcPr>
        <w:tcBorders>
          <w:top w:val="single" w:sz="6" w:space="0" w:color="949494" w:themeColor="text2" w:themeShade="BF"/>
          <w:left w:val="nil"/>
          <w:bottom w:val="nil"/>
          <w:right w:val="nil"/>
          <w:insideH w:val="nil"/>
          <w:insideV w:val="nil"/>
          <w:tl2br w:val="nil"/>
          <w:tr2bl w:val="nil"/>
        </w:tcBorders>
      </w:tcPr>
    </w:tblStylePr>
  </w:style>
  <w:style w:type="paragraph" w:customStyle="1" w:styleId="JuList">
    <w:name w:val="Ju_List"/>
    <w:basedOn w:val="Navaden"/>
    <w:uiPriority w:val="28"/>
    <w:qFormat/>
    <w:rsid w:val="006A778A"/>
    <w:pPr>
      <w:ind w:left="340" w:hanging="340"/>
    </w:pPr>
  </w:style>
  <w:style w:type="paragraph" w:customStyle="1" w:styleId="JuSigned">
    <w:name w:val="Ju_Signed"/>
    <w:basedOn w:val="Navaden"/>
    <w:next w:val="JuParaLast"/>
    <w:uiPriority w:val="32"/>
    <w:qFormat/>
    <w:rsid w:val="006A778A"/>
    <w:pPr>
      <w:tabs>
        <w:tab w:val="center" w:pos="851"/>
        <w:tab w:val="center" w:pos="6407"/>
      </w:tabs>
      <w:spacing w:before="720"/>
      <w:jc w:val="left"/>
    </w:pPr>
  </w:style>
  <w:style w:type="paragraph" w:customStyle="1" w:styleId="JuParaLast">
    <w:name w:val="Ju_Para_Last"/>
    <w:basedOn w:val="Navaden"/>
    <w:next w:val="ECHRPara"/>
    <w:uiPriority w:val="30"/>
    <w:qFormat/>
    <w:rsid w:val="006A778A"/>
    <w:pPr>
      <w:keepNext/>
      <w:keepLines/>
      <w:spacing w:before="240"/>
      <w:ind w:firstLine="284"/>
    </w:pPr>
  </w:style>
  <w:style w:type="character" w:customStyle="1" w:styleId="JUNAMES">
    <w:name w:val="JU_NAMES"/>
    <w:uiPriority w:val="17"/>
    <w:qFormat/>
    <w:rsid w:val="006A778A"/>
    <w:rPr>
      <w:caps w:val="0"/>
      <w:smallCaps/>
    </w:rPr>
  </w:style>
  <w:style w:type="character" w:styleId="tevilkastrani">
    <w:name w:val="page number"/>
    <w:semiHidden/>
    <w:rsid w:val="00014566"/>
    <w:rPr>
      <w:sz w:val="18"/>
    </w:rPr>
  </w:style>
  <w:style w:type="paragraph" w:customStyle="1" w:styleId="JuParaSub">
    <w:name w:val="Ju_Para_Sub"/>
    <w:basedOn w:val="ECHRPara"/>
    <w:uiPriority w:val="13"/>
    <w:qFormat/>
    <w:rsid w:val="006A778A"/>
    <w:pPr>
      <w:ind w:left="284"/>
    </w:pPr>
  </w:style>
  <w:style w:type="paragraph" w:customStyle="1" w:styleId="JuTitle">
    <w:name w:val="Ju_Title"/>
    <w:basedOn w:val="Navaden"/>
    <w:next w:val="ECHRPara"/>
    <w:uiPriority w:val="3"/>
    <w:semiHidden/>
    <w:qFormat/>
    <w:rsid w:val="006A778A"/>
    <w:pPr>
      <w:spacing w:before="720" w:after="240"/>
      <w:jc w:val="center"/>
      <w:outlineLvl w:val="0"/>
    </w:pPr>
    <w:rPr>
      <w:rFonts w:asciiTheme="majorHAnsi" w:hAnsiTheme="majorHAnsi"/>
      <w:b/>
      <w:caps/>
    </w:rPr>
  </w:style>
  <w:style w:type="character" w:styleId="Pripombasklic">
    <w:name w:val="annotation reference"/>
    <w:semiHidden/>
    <w:rsid w:val="00014566"/>
    <w:rPr>
      <w:sz w:val="16"/>
    </w:rPr>
  </w:style>
  <w:style w:type="paragraph" w:styleId="Pripombabesedilo">
    <w:name w:val="annotation text"/>
    <w:basedOn w:val="Navaden"/>
    <w:link w:val="PripombabesediloZnak"/>
    <w:semiHidden/>
    <w:rsid w:val="00014566"/>
    <w:rPr>
      <w:sz w:val="20"/>
    </w:rPr>
  </w:style>
  <w:style w:type="character" w:customStyle="1" w:styleId="PripombabesediloZnak">
    <w:name w:val="Pripomba – besedilo Znak"/>
    <w:basedOn w:val="Privzetapisavaodstavka"/>
    <w:link w:val="Pripombabesedilo"/>
    <w:semiHidden/>
    <w:rsid w:val="00014566"/>
    <w:rPr>
      <w:rFonts w:eastAsiaTheme="minorEastAsia"/>
      <w:sz w:val="20"/>
    </w:rPr>
  </w:style>
  <w:style w:type="paragraph" w:styleId="Zadevapripombe">
    <w:name w:val="annotation subject"/>
    <w:basedOn w:val="Pripombabesedilo"/>
    <w:next w:val="Pripombabesedilo"/>
    <w:link w:val="ZadevapripombeZnak"/>
    <w:uiPriority w:val="99"/>
    <w:semiHidden/>
    <w:rsid w:val="00014566"/>
    <w:rPr>
      <w:b/>
      <w:bCs/>
    </w:rPr>
  </w:style>
  <w:style w:type="character" w:customStyle="1" w:styleId="ZadevapripombeZnak">
    <w:name w:val="Zadeva pripombe Znak"/>
    <w:basedOn w:val="PripombabesediloZnak"/>
    <w:link w:val="Zadevapripombe"/>
    <w:uiPriority w:val="99"/>
    <w:semiHidden/>
    <w:rsid w:val="00014566"/>
    <w:rPr>
      <w:rFonts w:eastAsiaTheme="minorEastAsia"/>
      <w:b/>
      <w:bCs/>
      <w:sz w:val="20"/>
    </w:rPr>
  </w:style>
  <w:style w:type="character" w:styleId="Konnaopomba-sklic">
    <w:name w:val="endnote reference"/>
    <w:basedOn w:val="Privzetapisavaodstavka"/>
    <w:uiPriority w:val="99"/>
    <w:semiHidden/>
    <w:rsid w:val="006A778A"/>
    <w:rPr>
      <w:vertAlign w:val="superscript"/>
    </w:rPr>
  </w:style>
  <w:style w:type="paragraph" w:styleId="Konnaopomba-besedilo">
    <w:name w:val="endnote text"/>
    <w:basedOn w:val="Navaden"/>
    <w:link w:val="Konnaopomba-besediloZnak"/>
    <w:uiPriority w:val="99"/>
    <w:semiHidden/>
    <w:rsid w:val="006A778A"/>
    <w:rPr>
      <w:sz w:val="20"/>
      <w:szCs w:val="20"/>
    </w:rPr>
  </w:style>
  <w:style w:type="character" w:customStyle="1" w:styleId="Konnaopomba-besediloZnak">
    <w:name w:val="Končna opomba - besedilo Znak"/>
    <w:basedOn w:val="Privzetapisavaodstavka"/>
    <w:link w:val="Konnaopomba-besedilo"/>
    <w:uiPriority w:val="99"/>
    <w:semiHidden/>
    <w:rsid w:val="006A778A"/>
    <w:rPr>
      <w:rFonts w:eastAsiaTheme="minorEastAsia"/>
      <w:sz w:val="20"/>
      <w:szCs w:val="20"/>
      <w:lang w:val="en-GB"/>
    </w:rPr>
  </w:style>
  <w:style w:type="character" w:styleId="SledenaHiperpovezava">
    <w:name w:val="FollowedHyperlink"/>
    <w:uiPriority w:val="99"/>
    <w:semiHidden/>
    <w:rsid w:val="00014566"/>
    <w:rPr>
      <w:color w:val="800080"/>
      <w:u w:val="single"/>
    </w:rPr>
  </w:style>
  <w:style w:type="paragraph" w:styleId="Zgradbadokumenta">
    <w:name w:val="Document Map"/>
    <w:basedOn w:val="Navaden"/>
    <w:link w:val="ZgradbadokumentaZnak"/>
    <w:uiPriority w:val="99"/>
    <w:semiHidden/>
    <w:rsid w:val="00014566"/>
    <w:pPr>
      <w:shd w:val="clear" w:color="auto" w:fill="000080"/>
    </w:pPr>
    <w:rPr>
      <w:rFonts w:ascii="Tahoma" w:hAnsi="Tahoma" w:cs="Tahoma"/>
      <w:sz w:val="20"/>
    </w:rPr>
  </w:style>
  <w:style w:type="character" w:customStyle="1" w:styleId="ZgradbadokumentaZnak">
    <w:name w:val="Zgradba dokumenta Znak"/>
    <w:basedOn w:val="Privzetapisavaodstavka"/>
    <w:link w:val="Zgradbadokumenta"/>
    <w:uiPriority w:val="99"/>
    <w:semiHidden/>
    <w:rsid w:val="00014566"/>
    <w:rPr>
      <w:rFonts w:ascii="Tahoma" w:eastAsiaTheme="minorEastAsia" w:hAnsi="Tahoma" w:cs="Tahoma"/>
      <w:sz w:val="20"/>
      <w:shd w:val="clear" w:color="auto" w:fill="000080"/>
    </w:rPr>
  </w:style>
  <w:style w:type="paragraph" w:customStyle="1" w:styleId="OpiH1">
    <w:name w:val="Opi_H_1"/>
    <w:basedOn w:val="ECHRHeading2"/>
    <w:uiPriority w:val="42"/>
    <w:qFormat/>
    <w:rsid w:val="006A778A"/>
    <w:pPr>
      <w:ind w:left="635" w:hanging="357"/>
      <w:outlineLvl w:val="2"/>
    </w:pPr>
  </w:style>
  <w:style w:type="paragraph" w:styleId="Oznaenseznam">
    <w:name w:val="List Bullet"/>
    <w:basedOn w:val="Navaden"/>
    <w:uiPriority w:val="99"/>
    <w:semiHidden/>
    <w:rsid w:val="00014566"/>
    <w:pPr>
      <w:numPr>
        <w:numId w:val="1"/>
      </w:numPr>
    </w:pPr>
  </w:style>
  <w:style w:type="paragraph" w:customStyle="1" w:styleId="OpiHa">
    <w:name w:val="Opi_H_a"/>
    <w:basedOn w:val="ECHRHeading3"/>
    <w:uiPriority w:val="43"/>
    <w:qFormat/>
    <w:rsid w:val="006A778A"/>
    <w:pPr>
      <w:ind w:left="833" w:hanging="357"/>
      <w:outlineLvl w:val="3"/>
    </w:pPr>
    <w:rPr>
      <w:b/>
      <w:i w:val="0"/>
      <w:sz w:val="20"/>
    </w:rPr>
  </w:style>
  <w:style w:type="paragraph" w:styleId="Podnaslov">
    <w:name w:val="Subtitle"/>
    <w:basedOn w:val="Navaden"/>
    <w:next w:val="Navaden"/>
    <w:link w:val="PodnaslovZnak"/>
    <w:uiPriority w:val="99"/>
    <w:semiHidden/>
    <w:qFormat/>
    <w:rsid w:val="006A778A"/>
    <w:pPr>
      <w:spacing w:after="600"/>
    </w:pPr>
    <w:rPr>
      <w:rFonts w:asciiTheme="majorHAnsi" w:eastAsiaTheme="majorEastAsia" w:hAnsiTheme="majorHAnsi" w:cstheme="majorBidi"/>
      <w:i/>
      <w:iCs/>
      <w:spacing w:val="13"/>
      <w:szCs w:val="24"/>
      <w:lang w:val="en-US" w:bidi="en-US"/>
    </w:rPr>
  </w:style>
  <w:style w:type="character" w:customStyle="1" w:styleId="PodnaslovZnak">
    <w:name w:val="Podnaslov Znak"/>
    <w:basedOn w:val="Privzetapisavaodstavka"/>
    <w:link w:val="Podnaslov"/>
    <w:uiPriority w:val="99"/>
    <w:semiHidden/>
    <w:rsid w:val="006A778A"/>
    <w:rPr>
      <w:rFonts w:asciiTheme="majorHAnsi" w:eastAsiaTheme="majorEastAsia" w:hAnsiTheme="majorHAnsi" w:cstheme="majorBidi"/>
      <w:i/>
      <w:iCs/>
      <w:spacing w:val="13"/>
      <w:sz w:val="24"/>
      <w:szCs w:val="24"/>
      <w:lang w:bidi="en-US"/>
    </w:rPr>
  </w:style>
  <w:style w:type="numbering" w:styleId="111111">
    <w:name w:val="Outline List 2"/>
    <w:basedOn w:val="Brezseznama"/>
    <w:uiPriority w:val="99"/>
    <w:semiHidden/>
    <w:rsid w:val="00014566"/>
    <w:pPr>
      <w:numPr>
        <w:numId w:val="2"/>
      </w:numPr>
    </w:pPr>
  </w:style>
  <w:style w:type="numbering" w:styleId="1ai">
    <w:name w:val="Outline List 1"/>
    <w:basedOn w:val="Brezseznama"/>
    <w:uiPriority w:val="99"/>
    <w:semiHidden/>
    <w:rsid w:val="00014566"/>
    <w:pPr>
      <w:numPr>
        <w:numId w:val="3"/>
      </w:numPr>
    </w:pPr>
  </w:style>
  <w:style w:type="numbering" w:styleId="lenOdsek">
    <w:name w:val="Outline List 3"/>
    <w:basedOn w:val="Brezseznama"/>
    <w:uiPriority w:val="99"/>
    <w:semiHidden/>
    <w:rsid w:val="00014566"/>
    <w:pPr>
      <w:numPr>
        <w:numId w:val="4"/>
      </w:numPr>
    </w:pPr>
  </w:style>
  <w:style w:type="paragraph" w:styleId="Bibliografija">
    <w:name w:val="Bibliography"/>
    <w:basedOn w:val="Navaden"/>
    <w:next w:val="Navaden"/>
    <w:uiPriority w:val="99"/>
    <w:semiHidden/>
    <w:unhideWhenUsed/>
    <w:rsid w:val="00014566"/>
  </w:style>
  <w:style w:type="paragraph" w:styleId="Blokbesedila">
    <w:name w:val="Block Text"/>
    <w:basedOn w:val="Navaden"/>
    <w:uiPriority w:val="99"/>
    <w:semiHidden/>
    <w:rsid w:val="00014566"/>
    <w:pPr>
      <w:pBdr>
        <w:top w:val="single" w:sz="2" w:space="10" w:color="0072BC" w:themeColor="accent1" w:shadow="1" w:frame="1"/>
        <w:left w:val="single" w:sz="2" w:space="10" w:color="0072BC" w:themeColor="accent1" w:shadow="1" w:frame="1"/>
        <w:bottom w:val="single" w:sz="2" w:space="10" w:color="0072BC" w:themeColor="accent1" w:shadow="1" w:frame="1"/>
        <w:right w:val="single" w:sz="2" w:space="10" w:color="0072BC" w:themeColor="accent1" w:shadow="1" w:frame="1"/>
      </w:pBdr>
      <w:ind w:left="1152" w:right="1152"/>
    </w:pPr>
    <w:rPr>
      <w:i/>
      <w:iCs/>
      <w:color w:val="0072BC" w:themeColor="accent1"/>
    </w:rPr>
  </w:style>
  <w:style w:type="paragraph" w:styleId="Telobesedila">
    <w:name w:val="Body Text"/>
    <w:basedOn w:val="Navaden"/>
    <w:link w:val="TelobesedilaZnak"/>
    <w:uiPriority w:val="99"/>
    <w:semiHidden/>
    <w:rsid w:val="00014566"/>
    <w:pPr>
      <w:spacing w:after="120"/>
    </w:pPr>
  </w:style>
  <w:style w:type="character" w:customStyle="1" w:styleId="TelobesedilaZnak">
    <w:name w:val="Telo besedila Znak"/>
    <w:basedOn w:val="Privzetapisavaodstavka"/>
    <w:link w:val="Telobesedila"/>
    <w:uiPriority w:val="99"/>
    <w:semiHidden/>
    <w:rsid w:val="00014566"/>
    <w:rPr>
      <w:rFonts w:eastAsiaTheme="minorEastAsia"/>
      <w:sz w:val="24"/>
    </w:rPr>
  </w:style>
  <w:style w:type="paragraph" w:styleId="Telobesedila2">
    <w:name w:val="Body Text 2"/>
    <w:basedOn w:val="Navaden"/>
    <w:link w:val="Telobesedila2Znak"/>
    <w:uiPriority w:val="99"/>
    <w:semiHidden/>
    <w:rsid w:val="00014566"/>
    <w:pPr>
      <w:spacing w:after="120" w:line="480" w:lineRule="auto"/>
    </w:pPr>
  </w:style>
  <w:style w:type="character" w:customStyle="1" w:styleId="Telobesedila2Znak">
    <w:name w:val="Telo besedila 2 Znak"/>
    <w:basedOn w:val="Privzetapisavaodstavka"/>
    <w:link w:val="Telobesedila2"/>
    <w:uiPriority w:val="99"/>
    <w:semiHidden/>
    <w:rsid w:val="00014566"/>
    <w:rPr>
      <w:rFonts w:eastAsiaTheme="minorEastAsia"/>
      <w:sz w:val="24"/>
    </w:rPr>
  </w:style>
  <w:style w:type="paragraph" w:styleId="Telobesedila3">
    <w:name w:val="Body Text 3"/>
    <w:basedOn w:val="Navaden"/>
    <w:link w:val="Telobesedila3Znak"/>
    <w:uiPriority w:val="99"/>
    <w:semiHidden/>
    <w:rsid w:val="00014566"/>
    <w:pPr>
      <w:spacing w:after="120"/>
    </w:pPr>
    <w:rPr>
      <w:sz w:val="16"/>
      <w:szCs w:val="16"/>
    </w:rPr>
  </w:style>
  <w:style w:type="character" w:customStyle="1" w:styleId="Telobesedila3Znak">
    <w:name w:val="Telo besedila 3 Znak"/>
    <w:basedOn w:val="Privzetapisavaodstavka"/>
    <w:link w:val="Telobesedila3"/>
    <w:uiPriority w:val="99"/>
    <w:semiHidden/>
    <w:rsid w:val="00014566"/>
    <w:rPr>
      <w:rFonts w:eastAsiaTheme="minorEastAsia"/>
      <w:sz w:val="16"/>
      <w:szCs w:val="16"/>
    </w:rPr>
  </w:style>
  <w:style w:type="paragraph" w:styleId="Telobesedila-prvizamik">
    <w:name w:val="Body Text First Indent"/>
    <w:basedOn w:val="Telobesedila"/>
    <w:link w:val="Telobesedila-prvizamikZnak"/>
    <w:uiPriority w:val="99"/>
    <w:semiHidden/>
    <w:rsid w:val="00014566"/>
    <w:pPr>
      <w:spacing w:after="0"/>
      <w:ind w:firstLine="360"/>
    </w:pPr>
  </w:style>
  <w:style w:type="character" w:customStyle="1" w:styleId="Telobesedila-prvizamikZnak">
    <w:name w:val="Telo besedila - prvi zamik Znak"/>
    <w:basedOn w:val="TelobesedilaZnak"/>
    <w:link w:val="Telobesedila-prvizamik"/>
    <w:uiPriority w:val="99"/>
    <w:semiHidden/>
    <w:rsid w:val="00014566"/>
    <w:rPr>
      <w:rFonts w:eastAsiaTheme="minorEastAsia"/>
      <w:sz w:val="24"/>
    </w:rPr>
  </w:style>
  <w:style w:type="paragraph" w:styleId="Telobesedila-zamik">
    <w:name w:val="Body Text Indent"/>
    <w:basedOn w:val="Navaden"/>
    <w:link w:val="Telobesedila-zamikZnak"/>
    <w:uiPriority w:val="99"/>
    <w:semiHidden/>
    <w:rsid w:val="00014566"/>
    <w:pPr>
      <w:spacing w:after="120"/>
      <w:ind w:left="283"/>
    </w:pPr>
  </w:style>
  <w:style w:type="character" w:customStyle="1" w:styleId="Telobesedila-zamikZnak">
    <w:name w:val="Telo besedila - zamik Znak"/>
    <w:basedOn w:val="Privzetapisavaodstavka"/>
    <w:link w:val="Telobesedila-zamik"/>
    <w:uiPriority w:val="99"/>
    <w:semiHidden/>
    <w:rsid w:val="00014566"/>
    <w:rPr>
      <w:rFonts w:eastAsiaTheme="minorEastAsia"/>
      <w:sz w:val="24"/>
    </w:rPr>
  </w:style>
  <w:style w:type="paragraph" w:styleId="Telobesedila-prvizamik2">
    <w:name w:val="Body Text First Indent 2"/>
    <w:basedOn w:val="Telobesedila-zamik"/>
    <w:link w:val="Telobesedila-prvizamik2Znak"/>
    <w:uiPriority w:val="99"/>
    <w:semiHidden/>
    <w:rsid w:val="00014566"/>
    <w:pPr>
      <w:spacing w:after="0"/>
      <w:ind w:left="360" w:firstLine="360"/>
    </w:pPr>
  </w:style>
  <w:style w:type="character" w:customStyle="1" w:styleId="Telobesedila-prvizamik2Znak">
    <w:name w:val="Telo besedila - prvi zamik 2 Znak"/>
    <w:basedOn w:val="Telobesedila-zamikZnak"/>
    <w:link w:val="Telobesedila-prvizamik2"/>
    <w:uiPriority w:val="99"/>
    <w:semiHidden/>
    <w:rsid w:val="00014566"/>
    <w:rPr>
      <w:rFonts w:eastAsiaTheme="minorEastAsia"/>
      <w:sz w:val="24"/>
    </w:rPr>
  </w:style>
  <w:style w:type="paragraph" w:styleId="Telobesedila-zamik2">
    <w:name w:val="Body Text Indent 2"/>
    <w:basedOn w:val="Navaden"/>
    <w:link w:val="Telobesedila-zamik2Znak"/>
    <w:uiPriority w:val="99"/>
    <w:semiHidden/>
    <w:rsid w:val="00014566"/>
    <w:pPr>
      <w:spacing w:after="120" w:line="480" w:lineRule="auto"/>
      <w:ind w:left="283"/>
    </w:pPr>
  </w:style>
  <w:style w:type="character" w:customStyle="1" w:styleId="Telobesedila-zamik2Znak">
    <w:name w:val="Telo besedila - zamik 2 Znak"/>
    <w:basedOn w:val="Privzetapisavaodstavka"/>
    <w:link w:val="Telobesedila-zamik2"/>
    <w:uiPriority w:val="99"/>
    <w:semiHidden/>
    <w:rsid w:val="00014566"/>
    <w:rPr>
      <w:rFonts w:eastAsiaTheme="minorEastAsia"/>
      <w:sz w:val="24"/>
    </w:rPr>
  </w:style>
  <w:style w:type="paragraph" w:styleId="Telobesedila-zamik3">
    <w:name w:val="Body Text Indent 3"/>
    <w:basedOn w:val="Navaden"/>
    <w:link w:val="Telobesedila-zamik3Znak"/>
    <w:uiPriority w:val="99"/>
    <w:semiHidden/>
    <w:rsid w:val="00014566"/>
    <w:pPr>
      <w:spacing w:after="120"/>
      <w:ind w:left="283"/>
    </w:pPr>
    <w:rPr>
      <w:sz w:val="16"/>
      <w:szCs w:val="16"/>
    </w:rPr>
  </w:style>
  <w:style w:type="character" w:customStyle="1" w:styleId="Telobesedila-zamik3Znak">
    <w:name w:val="Telo besedila - zamik 3 Znak"/>
    <w:basedOn w:val="Privzetapisavaodstavka"/>
    <w:link w:val="Telobesedila-zamik3"/>
    <w:uiPriority w:val="99"/>
    <w:semiHidden/>
    <w:rsid w:val="00014566"/>
    <w:rPr>
      <w:rFonts w:eastAsiaTheme="minorEastAsia"/>
      <w:sz w:val="16"/>
      <w:szCs w:val="16"/>
    </w:rPr>
  </w:style>
  <w:style w:type="paragraph" w:styleId="Napis">
    <w:name w:val="caption"/>
    <w:basedOn w:val="Navaden"/>
    <w:next w:val="Navaden"/>
    <w:uiPriority w:val="99"/>
    <w:semiHidden/>
    <w:qFormat/>
    <w:rsid w:val="00014566"/>
    <w:pPr>
      <w:spacing w:after="200"/>
    </w:pPr>
    <w:rPr>
      <w:b/>
      <w:bCs/>
      <w:color w:val="0072BC" w:themeColor="accent1"/>
      <w:sz w:val="18"/>
      <w:szCs w:val="18"/>
    </w:rPr>
  </w:style>
  <w:style w:type="paragraph" w:styleId="Zakljunipozdrav">
    <w:name w:val="Closing"/>
    <w:basedOn w:val="Navaden"/>
    <w:link w:val="ZakljunipozdravZnak"/>
    <w:uiPriority w:val="99"/>
    <w:semiHidden/>
    <w:rsid w:val="00014566"/>
    <w:pPr>
      <w:ind w:left="4252"/>
    </w:pPr>
  </w:style>
  <w:style w:type="character" w:customStyle="1" w:styleId="ZakljunipozdravZnak">
    <w:name w:val="Zaključni pozdrav Znak"/>
    <w:basedOn w:val="Privzetapisavaodstavka"/>
    <w:link w:val="Zakljunipozdrav"/>
    <w:uiPriority w:val="99"/>
    <w:semiHidden/>
    <w:rsid w:val="00014566"/>
    <w:rPr>
      <w:rFonts w:eastAsiaTheme="minorEastAsia"/>
      <w:sz w:val="24"/>
    </w:rPr>
  </w:style>
  <w:style w:type="table" w:styleId="Barvnamrea">
    <w:name w:val="Colorful Grid"/>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0072BC" w:themeColor="background1"/>
      </w:rPr>
      <w:tblPr/>
      <w:tcPr>
        <w:shd w:val="clear" w:color="auto" w:fill="000000" w:themeFill="text1" w:themeFillShade="BF"/>
      </w:tcPr>
    </w:tblStylePr>
    <w:tblStylePr w:type="lastCol">
      <w:rPr>
        <w:color w:val="0072BC"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Barvnamreapoudarek1">
    <w:name w:val="Colorful Grid Accent 1"/>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BEE5FF" w:themeFill="accent1" w:themeFillTint="33"/>
    </w:tcPr>
    <w:tblStylePr w:type="firstRow">
      <w:rPr>
        <w:b/>
        <w:bCs/>
      </w:rPr>
      <w:tblPr/>
      <w:tcPr>
        <w:shd w:val="clear" w:color="auto" w:fill="7ECBFF" w:themeFill="accent1" w:themeFillTint="66"/>
      </w:tcPr>
    </w:tblStylePr>
    <w:tblStylePr w:type="lastRow">
      <w:rPr>
        <w:b/>
        <w:bCs/>
        <w:color w:val="000000" w:themeColor="text1"/>
      </w:rPr>
      <w:tblPr/>
      <w:tcPr>
        <w:shd w:val="clear" w:color="auto" w:fill="7ECBFF" w:themeFill="accent1" w:themeFillTint="66"/>
      </w:tcPr>
    </w:tblStylePr>
    <w:tblStylePr w:type="firstCol">
      <w:rPr>
        <w:color w:val="0072BC" w:themeColor="background1"/>
      </w:rPr>
      <w:tblPr/>
      <w:tcPr>
        <w:shd w:val="clear" w:color="auto" w:fill="00548C" w:themeFill="accent1" w:themeFillShade="BF"/>
      </w:tcPr>
    </w:tblStylePr>
    <w:tblStylePr w:type="lastCol">
      <w:rPr>
        <w:color w:val="0072BC" w:themeColor="background1"/>
      </w:rPr>
      <w:tblPr/>
      <w:tcPr>
        <w:shd w:val="clear" w:color="auto" w:fill="00548C" w:themeFill="accent1" w:themeFillShade="BF"/>
      </w:tc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Barvnamreapoudarek2">
    <w:name w:val="Colorful Grid Accent 2"/>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FFBFBF" w:themeFill="accent2" w:themeFillTint="33"/>
    </w:tcPr>
    <w:tblStylePr w:type="firstRow">
      <w:rPr>
        <w:b/>
        <w:bCs/>
      </w:rPr>
      <w:tblPr/>
      <w:tcPr>
        <w:shd w:val="clear" w:color="auto" w:fill="FF7F7F" w:themeFill="accent2" w:themeFillTint="66"/>
      </w:tcPr>
    </w:tblStylePr>
    <w:tblStylePr w:type="lastRow">
      <w:rPr>
        <w:b/>
        <w:bCs/>
        <w:color w:val="000000" w:themeColor="text1"/>
      </w:rPr>
      <w:tblPr/>
      <w:tcPr>
        <w:shd w:val="clear" w:color="auto" w:fill="FF7F7F" w:themeFill="accent2" w:themeFillTint="66"/>
      </w:tcPr>
    </w:tblStylePr>
    <w:tblStylePr w:type="firstCol">
      <w:rPr>
        <w:color w:val="0072BC" w:themeColor="background1"/>
      </w:rPr>
      <w:tblPr/>
      <w:tcPr>
        <w:shd w:val="clear" w:color="auto" w:fill="8F0000" w:themeFill="accent2" w:themeFillShade="BF"/>
      </w:tcPr>
    </w:tblStylePr>
    <w:tblStylePr w:type="lastCol">
      <w:rPr>
        <w:color w:val="0072BC" w:themeColor="background1"/>
      </w:rPr>
      <w:tblPr/>
      <w:tcPr>
        <w:shd w:val="clear" w:color="auto" w:fill="8F0000" w:themeFill="accent2" w:themeFillShade="BF"/>
      </w:tc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Barvnamreapoudarek3">
    <w:name w:val="Colorful Grid Accent 3"/>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3" w:themeFillTint="33"/>
    </w:tcPr>
    <w:tblStylePr w:type="firstRow">
      <w:rPr>
        <w:b/>
        <w:bCs/>
      </w:rPr>
      <w:tblPr/>
      <w:tcPr>
        <w:shd w:val="clear" w:color="auto" w:fill="BFBFBF" w:themeFill="accent3" w:themeFillTint="66"/>
      </w:tcPr>
    </w:tblStylePr>
    <w:tblStylePr w:type="lastRow">
      <w:rPr>
        <w:b/>
        <w:bCs/>
        <w:color w:val="000000" w:themeColor="text1"/>
      </w:rPr>
      <w:tblPr/>
      <w:tcPr>
        <w:shd w:val="clear" w:color="auto" w:fill="BFBFBF" w:themeFill="accent3" w:themeFillTint="66"/>
      </w:tcPr>
    </w:tblStylePr>
    <w:tblStylePr w:type="firstCol">
      <w:rPr>
        <w:color w:val="0072BC" w:themeColor="background1"/>
      </w:rPr>
      <w:tblPr/>
      <w:tcPr>
        <w:shd w:val="clear" w:color="auto" w:fill="474747" w:themeFill="accent3" w:themeFillShade="BF"/>
      </w:tcPr>
    </w:tblStylePr>
    <w:tblStylePr w:type="lastCol">
      <w:rPr>
        <w:color w:val="0072BC" w:themeColor="background1"/>
      </w:rPr>
      <w:tblPr/>
      <w:tcPr>
        <w:shd w:val="clear" w:color="auto" w:fill="474747" w:themeFill="accent3" w:themeFillShade="BF"/>
      </w:tc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Barvnamreapoudarek4">
    <w:name w:val="Colorful Grid Accent 4"/>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EAEAEA" w:themeFill="accent4" w:themeFillTint="33"/>
    </w:tcPr>
    <w:tblStylePr w:type="firstRow">
      <w:rPr>
        <w:b/>
        <w:bCs/>
      </w:rPr>
      <w:tblPr/>
      <w:tcPr>
        <w:shd w:val="clear" w:color="auto" w:fill="D5D5D5" w:themeFill="accent4" w:themeFillTint="66"/>
      </w:tcPr>
    </w:tblStylePr>
    <w:tblStylePr w:type="lastRow">
      <w:rPr>
        <w:b/>
        <w:bCs/>
        <w:color w:val="000000" w:themeColor="text1"/>
      </w:rPr>
      <w:tblPr/>
      <w:tcPr>
        <w:shd w:val="clear" w:color="auto" w:fill="D5D5D5" w:themeFill="accent4" w:themeFillTint="66"/>
      </w:tcPr>
    </w:tblStylePr>
    <w:tblStylePr w:type="firstCol">
      <w:rPr>
        <w:color w:val="0072BC" w:themeColor="background1"/>
      </w:rPr>
      <w:tblPr/>
      <w:tcPr>
        <w:shd w:val="clear" w:color="auto" w:fill="707070" w:themeFill="accent4" w:themeFillShade="BF"/>
      </w:tcPr>
    </w:tblStylePr>
    <w:tblStylePr w:type="lastCol">
      <w:rPr>
        <w:color w:val="0072BC" w:themeColor="background1"/>
      </w:rPr>
      <w:tblPr/>
      <w:tcPr>
        <w:shd w:val="clear" w:color="auto" w:fill="707070" w:themeFill="accent4" w:themeFillShade="BF"/>
      </w:tc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Barvnamreapoudarek5">
    <w:name w:val="Colorful Grid Accent 5"/>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FDFDF" w:themeFill="accent5" w:themeFillTint="33"/>
    </w:tcPr>
    <w:tblStylePr w:type="firstRow">
      <w:rPr>
        <w:b/>
        <w:bCs/>
      </w:rPr>
      <w:tblPr/>
      <w:tcPr>
        <w:shd w:val="clear" w:color="auto" w:fill="BFBFBF" w:themeFill="accent5" w:themeFillTint="66"/>
      </w:tcPr>
    </w:tblStylePr>
    <w:tblStylePr w:type="lastRow">
      <w:rPr>
        <w:b/>
        <w:bCs/>
        <w:color w:val="000000" w:themeColor="text1"/>
      </w:rPr>
      <w:tblPr/>
      <w:tcPr>
        <w:shd w:val="clear" w:color="auto" w:fill="BFBFBF" w:themeFill="accent5" w:themeFillTint="66"/>
      </w:tcPr>
    </w:tblStylePr>
    <w:tblStylePr w:type="firstCol">
      <w:rPr>
        <w:color w:val="0072BC" w:themeColor="background1"/>
      </w:rPr>
      <w:tblPr/>
      <w:tcPr>
        <w:shd w:val="clear" w:color="auto" w:fill="474747" w:themeFill="accent5" w:themeFillShade="BF"/>
      </w:tcPr>
    </w:tblStylePr>
    <w:tblStylePr w:type="lastCol">
      <w:rPr>
        <w:color w:val="0072BC" w:themeColor="background1"/>
      </w:rPr>
      <w:tblPr/>
      <w:tcPr>
        <w:shd w:val="clear" w:color="auto" w:fill="474747" w:themeFill="accent5" w:themeFillShade="BF"/>
      </w:tc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Barvnamreapoudarek6">
    <w:name w:val="Colorful Grid Accent 6"/>
    <w:basedOn w:val="Navadnatabela"/>
    <w:uiPriority w:val="99"/>
    <w:semiHidden/>
    <w:rsid w:val="00014566"/>
    <w:rPr>
      <w:color w:val="000000" w:themeColor="text1"/>
      <w:lang w:val="fr-FR" w:eastAsia="fr-FR"/>
    </w:rPr>
    <w:tblPr>
      <w:tblStyleRowBandSize w:val="1"/>
      <w:tblStyleColBandSize w:val="1"/>
      <w:tblBorders>
        <w:insideH w:val="single" w:sz="4" w:space="0" w:color="0072BC" w:themeColor="background1"/>
      </w:tblBorders>
    </w:tblPr>
    <w:tcPr>
      <w:shd w:val="clear" w:color="auto" w:fill="DBDBDB" w:themeFill="accent6" w:themeFillTint="33"/>
    </w:tcPr>
    <w:tblStylePr w:type="firstRow">
      <w:rPr>
        <w:b/>
        <w:bCs/>
      </w:rPr>
      <w:tblPr/>
      <w:tcPr>
        <w:shd w:val="clear" w:color="auto" w:fill="B7B7B7" w:themeFill="accent6" w:themeFillTint="66"/>
      </w:tcPr>
    </w:tblStylePr>
    <w:tblStylePr w:type="lastRow">
      <w:rPr>
        <w:b/>
        <w:bCs/>
        <w:color w:val="000000" w:themeColor="text1"/>
      </w:rPr>
      <w:tblPr/>
      <w:tcPr>
        <w:shd w:val="clear" w:color="auto" w:fill="B7B7B7" w:themeFill="accent6" w:themeFillTint="66"/>
      </w:tcPr>
    </w:tblStylePr>
    <w:tblStylePr w:type="firstCol">
      <w:rPr>
        <w:color w:val="0072BC" w:themeColor="background1"/>
      </w:rPr>
      <w:tblPr/>
      <w:tcPr>
        <w:shd w:val="clear" w:color="auto" w:fill="393939" w:themeFill="accent6" w:themeFillShade="BF"/>
      </w:tcPr>
    </w:tblStylePr>
    <w:tblStylePr w:type="lastCol">
      <w:rPr>
        <w:color w:val="0072BC" w:themeColor="background1"/>
      </w:rPr>
      <w:tblPr/>
      <w:tcPr>
        <w:shd w:val="clear" w:color="auto" w:fill="393939" w:themeFill="accent6" w:themeFillShade="BF"/>
      </w:tc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Barvniseznam">
    <w:name w:val="Colorful List"/>
    <w:basedOn w:val="Navadnatabela"/>
    <w:uiPriority w:val="99"/>
    <w:semiHidden/>
    <w:rsid w:val="00014566"/>
    <w:rPr>
      <w:color w:val="000000" w:themeColor="text1"/>
      <w:lang w:val="fr-FR" w:eastAsia="fr-FR"/>
    </w:rPr>
    <w:tblPr>
      <w:tblStyleRowBandSize w:val="1"/>
      <w:tblStyleColBandSize w:val="1"/>
    </w:tblPr>
    <w:tcPr>
      <w:shd w:val="clear" w:color="auto" w:fill="E6E6E6" w:themeFill="tex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Barvniseznampoudarek1">
    <w:name w:val="Colorful List Accent 1"/>
    <w:basedOn w:val="Navadnatabela"/>
    <w:uiPriority w:val="99"/>
    <w:semiHidden/>
    <w:rsid w:val="00014566"/>
    <w:rPr>
      <w:color w:val="000000" w:themeColor="text1"/>
      <w:lang w:val="fr-FR" w:eastAsia="fr-FR"/>
    </w:rPr>
    <w:tblPr>
      <w:tblStyleRowBandSize w:val="1"/>
      <w:tblStyleColBandSize w:val="1"/>
    </w:tblPr>
    <w:tcPr>
      <w:shd w:val="clear" w:color="auto" w:fill="DFF2FF" w:themeFill="accent1"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AFDFFF" w:themeFill="accent1" w:themeFillTint="3F"/>
      </w:tcPr>
    </w:tblStylePr>
    <w:tblStylePr w:type="band1Horz">
      <w:tblPr/>
      <w:tcPr>
        <w:shd w:val="clear" w:color="auto" w:fill="BEE5FF" w:themeFill="accent1" w:themeFillTint="33"/>
      </w:tcPr>
    </w:tblStylePr>
  </w:style>
  <w:style w:type="table" w:styleId="Barvniseznampoudarek2">
    <w:name w:val="Colorful List Accent 2"/>
    <w:basedOn w:val="Navadnatabela"/>
    <w:uiPriority w:val="99"/>
    <w:semiHidden/>
    <w:rsid w:val="00014566"/>
    <w:rPr>
      <w:color w:val="000000" w:themeColor="text1"/>
      <w:lang w:val="fr-FR" w:eastAsia="fr-FR"/>
    </w:rPr>
    <w:tblPr>
      <w:tblStyleRowBandSize w:val="1"/>
      <w:tblStyleColBandSize w:val="1"/>
    </w:tblPr>
    <w:tcPr>
      <w:shd w:val="clear" w:color="auto" w:fill="FFDFDF" w:themeFill="accent2" w:themeFillTint="19"/>
    </w:tcPr>
    <w:tblStylePr w:type="firstRow">
      <w:rPr>
        <w:b/>
        <w:bCs/>
        <w:color w:val="0072BC" w:themeColor="background1"/>
      </w:rPr>
      <w:tblPr/>
      <w:tcPr>
        <w:tcBorders>
          <w:bottom w:val="single" w:sz="12" w:space="0" w:color="0072BC" w:themeColor="background1"/>
        </w:tcBorders>
        <w:shd w:val="clear" w:color="auto" w:fill="990000" w:themeFill="accent2" w:themeFillShade="CC"/>
      </w:tcPr>
    </w:tblStylePr>
    <w:tblStylePr w:type="lastRow">
      <w:rPr>
        <w:b/>
        <w:bCs/>
        <w:color w:val="990000" w:themeColor="accent2"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B0B0" w:themeFill="accent2" w:themeFillTint="3F"/>
      </w:tcPr>
    </w:tblStylePr>
    <w:tblStylePr w:type="band1Horz">
      <w:tblPr/>
      <w:tcPr>
        <w:shd w:val="clear" w:color="auto" w:fill="FFBFBF" w:themeFill="accent2" w:themeFillTint="33"/>
      </w:tcPr>
    </w:tblStylePr>
  </w:style>
  <w:style w:type="table" w:styleId="Barvenseznampoudarek3">
    <w:name w:val="Colorful List Accent 3"/>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3" w:themeFillTint="19"/>
    </w:tcPr>
    <w:tblStylePr w:type="firstRow">
      <w:rPr>
        <w:b/>
        <w:bCs/>
        <w:color w:val="0072BC" w:themeColor="background1"/>
      </w:rPr>
      <w:tblPr/>
      <w:tcPr>
        <w:tcBorders>
          <w:bottom w:val="single" w:sz="12" w:space="0" w:color="0072BC" w:themeColor="background1"/>
        </w:tcBorders>
        <w:shd w:val="clear" w:color="auto" w:fill="787878" w:themeFill="accent4" w:themeFillShade="CC"/>
      </w:tcPr>
    </w:tblStylePr>
    <w:tblStylePr w:type="lastRow">
      <w:rPr>
        <w:b/>
        <w:bCs/>
        <w:color w:val="787878" w:themeColor="accent4"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3" w:themeFillTint="3F"/>
      </w:tcPr>
    </w:tblStylePr>
    <w:tblStylePr w:type="band1Horz">
      <w:tblPr/>
      <w:tcPr>
        <w:shd w:val="clear" w:color="auto" w:fill="DFDFDF" w:themeFill="accent3" w:themeFillTint="33"/>
      </w:tcPr>
    </w:tblStylePr>
  </w:style>
  <w:style w:type="table" w:styleId="Barvniseznampoudarek4">
    <w:name w:val="Colorful List Accent 4"/>
    <w:basedOn w:val="Navadnatabela"/>
    <w:uiPriority w:val="99"/>
    <w:semiHidden/>
    <w:rsid w:val="00014566"/>
    <w:rPr>
      <w:color w:val="000000" w:themeColor="text1"/>
      <w:lang w:val="fr-FR" w:eastAsia="fr-FR"/>
    </w:rPr>
    <w:tblPr>
      <w:tblStyleRowBandSize w:val="1"/>
      <w:tblStyleColBandSize w:val="1"/>
    </w:tblPr>
    <w:tcPr>
      <w:shd w:val="clear" w:color="auto" w:fill="F4F4F4" w:themeFill="accent4" w:themeFillTint="19"/>
    </w:tcPr>
    <w:tblStylePr w:type="firstRow">
      <w:rPr>
        <w:b/>
        <w:bCs/>
        <w:color w:val="0072BC" w:themeColor="background1"/>
      </w:rPr>
      <w:tblPr/>
      <w:tcPr>
        <w:tcBorders>
          <w:bottom w:val="single" w:sz="12" w:space="0" w:color="0072BC" w:themeColor="background1"/>
        </w:tcBorders>
        <w:shd w:val="clear" w:color="auto" w:fill="4C4C4C" w:themeFill="accent3" w:themeFillShade="CC"/>
      </w:tcPr>
    </w:tblStylePr>
    <w:tblStylePr w:type="lastRow">
      <w:rPr>
        <w:b/>
        <w:bCs/>
        <w:color w:val="4C4C4C" w:themeColor="accent3"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4" w:themeFillTint="3F"/>
      </w:tcPr>
    </w:tblStylePr>
    <w:tblStylePr w:type="band1Horz">
      <w:tblPr/>
      <w:tcPr>
        <w:shd w:val="clear" w:color="auto" w:fill="EAEAEA" w:themeFill="accent4" w:themeFillTint="33"/>
      </w:tcPr>
    </w:tblStylePr>
  </w:style>
  <w:style w:type="table" w:styleId="Barvniseznampoudarek5">
    <w:name w:val="Colorful List Accent 5"/>
    <w:basedOn w:val="Navadnatabela"/>
    <w:uiPriority w:val="99"/>
    <w:semiHidden/>
    <w:rsid w:val="00014566"/>
    <w:rPr>
      <w:color w:val="000000" w:themeColor="text1"/>
      <w:lang w:val="fr-FR" w:eastAsia="fr-FR"/>
    </w:rPr>
    <w:tblPr>
      <w:tblStyleRowBandSize w:val="1"/>
      <w:tblStyleColBandSize w:val="1"/>
    </w:tblPr>
    <w:tcPr>
      <w:shd w:val="clear" w:color="auto" w:fill="EFEFEF" w:themeFill="accent5" w:themeFillTint="19"/>
    </w:tcPr>
    <w:tblStylePr w:type="firstRow">
      <w:rPr>
        <w:b/>
        <w:bCs/>
        <w:color w:val="0072BC" w:themeColor="background1"/>
      </w:rPr>
      <w:tblPr/>
      <w:tcPr>
        <w:tcBorders>
          <w:bottom w:val="single" w:sz="12" w:space="0" w:color="0072BC" w:themeColor="background1"/>
        </w:tcBorders>
        <w:shd w:val="clear" w:color="auto" w:fill="3D3D3D" w:themeFill="accent6" w:themeFillShade="CC"/>
      </w:tcPr>
    </w:tblStylePr>
    <w:tblStylePr w:type="lastRow">
      <w:rPr>
        <w:b/>
        <w:bCs/>
        <w:color w:val="3D3D3D" w:themeColor="accent6"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7D7D7" w:themeFill="accent5" w:themeFillTint="3F"/>
      </w:tcPr>
    </w:tblStylePr>
    <w:tblStylePr w:type="band1Horz">
      <w:tblPr/>
      <w:tcPr>
        <w:shd w:val="clear" w:color="auto" w:fill="DFDFDF" w:themeFill="accent5" w:themeFillTint="33"/>
      </w:tcPr>
    </w:tblStylePr>
  </w:style>
  <w:style w:type="table" w:styleId="Barvniseznampoudarek6">
    <w:name w:val="Colorful List Accent 6"/>
    <w:basedOn w:val="Navadnatabela"/>
    <w:uiPriority w:val="99"/>
    <w:semiHidden/>
    <w:rsid w:val="00014566"/>
    <w:rPr>
      <w:color w:val="000000" w:themeColor="text1"/>
      <w:lang w:val="fr-FR" w:eastAsia="fr-FR"/>
    </w:rPr>
    <w:tblPr>
      <w:tblStyleRowBandSize w:val="1"/>
      <w:tblStyleColBandSize w:val="1"/>
    </w:tblPr>
    <w:tcPr>
      <w:shd w:val="clear" w:color="auto" w:fill="EDEDED" w:themeFill="accent6" w:themeFillTint="19"/>
    </w:tcPr>
    <w:tblStylePr w:type="firstRow">
      <w:rPr>
        <w:b/>
        <w:bCs/>
        <w:color w:val="0072BC" w:themeColor="background1"/>
      </w:rPr>
      <w:tblPr/>
      <w:tcPr>
        <w:tcBorders>
          <w:bottom w:val="single" w:sz="12" w:space="0" w:color="0072BC"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0072BC"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Barvnosenenje">
    <w:name w:val="Colorful Shading"/>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0000" w:themeColor="text1"/>
        <w:bottom w:val="single" w:sz="4" w:space="0" w:color="000000" w:themeColor="text1"/>
        <w:right w:val="single" w:sz="4" w:space="0" w:color="000000" w:themeColor="text1"/>
        <w:insideH w:val="single" w:sz="4" w:space="0" w:color="0072BC" w:themeColor="background1"/>
        <w:insideV w:val="single" w:sz="4" w:space="0" w:color="0072BC" w:themeColor="background1"/>
      </w:tblBorders>
    </w:tblPr>
    <w:tcPr>
      <w:shd w:val="clear" w:color="auto" w:fill="E6E6E6" w:themeFill="tex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0000" w:themeFill="text1" w:themeFillShade="99"/>
      </w:tcPr>
    </w:tblStylePr>
    <w:tblStylePr w:type="firstCol">
      <w:rPr>
        <w:color w:val="0072BC"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0072BC"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Barvnosenenjepoudarek1">
    <w:name w:val="Colorful Shading Accent 1"/>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0072BC" w:themeColor="accent1"/>
        <w:bottom w:val="single" w:sz="4" w:space="0" w:color="0072BC" w:themeColor="accent1"/>
        <w:right w:val="single" w:sz="4" w:space="0" w:color="0072BC" w:themeColor="accent1"/>
        <w:insideH w:val="single" w:sz="4" w:space="0" w:color="0072BC" w:themeColor="background1"/>
        <w:insideV w:val="single" w:sz="4" w:space="0" w:color="0072BC" w:themeColor="background1"/>
      </w:tblBorders>
    </w:tblPr>
    <w:tcPr>
      <w:shd w:val="clear" w:color="auto" w:fill="DFF2FF" w:themeFill="accent1"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004470" w:themeFill="accent1" w:themeFillShade="99"/>
      </w:tcPr>
    </w:tblStylePr>
    <w:tblStylePr w:type="firstCol">
      <w:rPr>
        <w:color w:val="0072BC" w:themeColor="background1"/>
      </w:rPr>
      <w:tblPr/>
      <w:tcPr>
        <w:tcBorders>
          <w:top w:val="nil"/>
          <w:left w:val="nil"/>
          <w:bottom w:val="nil"/>
          <w:right w:val="nil"/>
          <w:insideH w:val="single" w:sz="4" w:space="0" w:color="004470" w:themeColor="accent1" w:themeShade="99"/>
          <w:insideV w:val="nil"/>
        </w:tcBorders>
        <w:shd w:val="clear" w:color="auto" w:fill="004470" w:themeFill="accent1" w:themeFillShade="99"/>
      </w:tcPr>
    </w:tblStylePr>
    <w:tblStylePr w:type="lastCol">
      <w:rPr>
        <w:color w:val="0072BC" w:themeColor="background1"/>
      </w:rPr>
      <w:tblPr/>
      <w:tcPr>
        <w:tcBorders>
          <w:top w:val="nil"/>
          <w:left w:val="nil"/>
          <w:bottom w:val="nil"/>
          <w:right w:val="nil"/>
          <w:insideH w:val="nil"/>
          <w:insideV w:val="nil"/>
        </w:tcBorders>
        <w:shd w:val="clear" w:color="auto" w:fill="004470" w:themeFill="accent1" w:themeFillShade="99"/>
      </w:tcPr>
    </w:tblStylePr>
    <w:tblStylePr w:type="band1Vert">
      <w:tblPr/>
      <w:tcPr>
        <w:shd w:val="clear" w:color="auto" w:fill="7ECBFF" w:themeFill="accent1" w:themeFillTint="66"/>
      </w:tcPr>
    </w:tblStylePr>
    <w:tblStylePr w:type="band1Horz">
      <w:tblPr/>
      <w:tcPr>
        <w:shd w:val="clear" w:color="auto" w:fill="5EBFFF" w:themeFill="accent1" w:themeFillTint="7F"/>
      </w:tcPr>
    </w:tblStylePr>
    <w:tblStylePr w:type="neCell">
      <w:rPr>
        <w:color w:val="000000" w:themeColor="text1"/>
      </w:rPr>
    </w:tblStylePr>
    <w:tblStylePr w:type="nwCell">
      <w:rPr>
        <w:color w:val="000000" w:themeColor="text1"/>
      </w:rPr>
    </w:tblStylePr>
  </w:style>
  <w:style w:type="table" w:styleId="Barvnosenenjepoudarek2">
    <w:name w:val="Colorful Shading Accent 2"/>
    <w:basedOn w:val="Navadnatabela"/>
    <w:uiPriority w:val="99"/>
    <w:semiHidden/>
    <w:rsid w:val="00014566"/>
    <w:rPr>
      <w:color w:val="000000" w:themeColor="text1"/>
      <w:lang w:val="fr-FR" w:eastAsia="fr-FR"/>
    </w:rPr>
    <w:tblPr>
      <w:tblStyleRowBandSize w:val="1"/>
      <w:tblStyleColBandSize w:val="1"/>
      <w:tblBorders>
        <w:top w:val="single" w:sz="24" w:space="0" w:color="C00000" w:themeColor="accent2"/>
        <w:left w:val="single" w:sz="4" w:space="0" w:color="C00000" w:themeColor="accent2"/>
        <w:bottom w:val="single" w:sz="4" w:space="0" w:color="C00000" w:themeColor="accent2"/>
        <w:right w:val="single" w:sz="4" w:space="0" w:color="C00000" w:themeColor="accent2"/>
        <w:insideH w:val="single" w:sz="4" w:space="0" w:color="0072BC" w:themeColor="background1"/>
        <w:insideV w:val="single" w:sz="4" w:space="0" w:color="0072BC" w:themeColor="background1"/>
      </w:tblBorders>
    </w:tblPr>
    <w:tcPr>
      <w:shd w:val="clear" w:color="auto" w:fill="FFDFDF" w:themeFill="accent2" w:themeFillTint="19"/>
    </w:tcPr>
    <w:tblStylePr w:type="firstRow">
      <w:rPr>
        <w:b/>
        <w:bCs/>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730000" w:themeFill="accent2" w:themeFillShade="99"/>
      </w:tcPr>
    </w:tblStylePr>
    <w:tblStylePr w:type="firstCol">
      <w:rPr>
        <w:color w:val="0072BC" w:themeColor="background1"/>
      </w:rPr>
      <w:tblPr/>
      <w:tcPr>
        <w:tcBorders>
          <w:top w:val="nil"/>
          <w:left w:val="nil"/>
          <w:bottom w:val="nil"/>
          <w:right w:val="nil"/>
          <w:insideH w:val="single" w:sz="4" w:space="0" w:color="730000" w:themeColor="accent2" w:themeShade="99"/>
          <w:insideV w:val="nil"/>
        </w:tcBorders>
        <w:shd w:val="clear" w:color="auto" w:fill="730000" w:themeFill="accent2" w:themeFillShade="99"/>
      </w:tcPr>
    </w:tblStylePr>
    <w:tblStylePr w:type="lastCol">
      <w:rPr>
        <w:color w:val="0072BC" w:themeColor="background1"/>
      </w:rPr>
      <w:tblPr/>
      <w:tcPr>
        <w:tcBorders>
          <w:top w:val="nil"/>
          <w:left w:val="nil"/>
          <w:bottom w:val="nil"/>
          <w:right w:val="nil"/>
          <w:insideH w:val="nil"/>
          <w:insideV w:val="nil"/>
        </w:tcBorders>
        <w:shd w:val="clear" w:color="auto" w:fill="730000" w:themeFill="accent2" w:themeFillShade="99"/>
      </w:tcPr>
    </w:tblStylePr>
    <w:tblStylePr w:type="band1Vert">
      <w:tblPr/>
      <w:tcPr>
        <w:shd w:val="clear" w:color="auto" w:fill="FF7F7F" w:themeFill="accent2" w:themeFillTint="66"/>
      </w:tcPr>
    </w:tblStylePr>
    <w:tblStylePr w:type="band1Horz">
      <w:tblPr/>
      <w:tcPr>
        <w:shd w:val="clear" w:color="auto" w:fill="FF6060" w:themeFill="accent2" w:themeFillTint="7F"/>
      </w:tcPr>
    </w:tblStylePr>
    <w:tblStylePr w:type="neCell">
      <w:rPr>
        <w:color w:val="000000" w:themeColor="text1"/>
      </w:rPr>
    </w:tblStylePr>
    <w:tblStylePr w:type="nwCell">
      <w:rPr>
        <w:color w:val="000000" w:themeColor="text1"/>
      </w:rPr>
    </w:tblStylePr>
  </w:style>
  <w:style w:type="table" w:styleId="Barvnosenenjepoudarek3">
    <w:name w:val="Colorful Shading Accent 3"/>
    <w:basedOn w:val="Navadnatabela"/>
    <w:uiPriority w:val="99"/>
    <w:semiHidden/>
    <w:rsid w:val="00014566"/>
    <w:rPr>
      <w:color w:val="000000" w:themeColor="text1"/>
      <w:lang w:val="fr-FR" w:eastAsia="fr-FR"/>
    </w:rPr>
    <w:tblPr>
      <w:tblStyleRowBandSize w:val="1"/>
      <w:tblStyleColBandSize w:val="1"/>
      <w:tblBorders>
        <w:top w:val="single" w:sz="24" w:space="0" w:color="969696" w:themeColor="accent4"/>
        <w:left w:val="single" w:sz="4" w:space="0" w:color="5F5F5F" w:themeColor="accent3"/>
        <w:bottom w:val="single" w:sz="4" w:space="0" w:color="5F5F5F" w:themeColor="accent3"/>
        <w:right w:val="single" w:sz="4" w:space="0" w:color="5F5F5F" w:themeColor="accent3"/>
        <w:insideH w:val="single" w:sz="4" w:space="0" w:color="0072BC" w:themeColor="background1"/>
        <w:insideV w:val="single" w:sz="4" w:space="0" w:color="0072BC" w:themeColor="background1"/>
      </w:tblBorders>
    </w:tblPr>
    <w:tcPr>
      <w:shd w:val="clear" w:color="auto" w:fill="EFEFEF" w:themeFill="accent3" w:themeFillTint="19"/>
    </w:tcPr>
    <w:tblStylePr w:type="firstRow">
      <w:rPr>
        <w:b/>
        <w:bCs/>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3" w:themeFillShade="99"/>
      </w:tcPr>
    </w:tblStylePr>
    <w:tblStylePr w:type="firstCol">
      <w:rPr>
        <w:color w:val="0072BC" w:themeColor="background1"/>
      </w:rPr>
      <w:tblPr/>
      <w:tcPr>
        <w:tcBorders>
          <w:top w:val="nil"/>
          <w:left w:val="nil"/>
          <w:bottom w:val="nil"/>
          <w:right w:val="nil"/>
          <w:insideH w:val="single" w:sz="4" w:space="0" w:color="393939" w:themeColor="accent3" w:themeShade="99"/>
          <w:insideV w:val="nil"/>
        </w:tcBorders>
        <w:shd w:val="clear" w:color="auto" w:fill="393939" w:themeFill="accent3"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3" w:themeFillShade="99"/>
      </w:tcPr>
    </w:tblStylePr>
    <w:tblStylePr w:type="band1Vert">
      <w:tblPr/>
      <w:tcPr>
        <w:shd w:val="clear" w:color="auto" w:fill="BFBFBF" w:themeFill="accent3" w:themeFillTint="66"/>
      </w:tcPr>
    </w:tblStylePr>
    <w:tblStylePr w:type="band1Horz">
      <w:tblPr/>
      <w:tcPr>
        <w:shd w:val="clear" w:color="auto" w:fill="AFAFAF" w:themeFill="accent3" w:themeFillTint="7F"/>
      </w:tcPr>
    </w:tblStylePr>
  </w:style>
  <w:style w:type="table" w:styleId="Barvnosenenjepoudarek4">
    <w:name w:val="Colorful Shading Accent 4"/>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3"/>
        <w:left w:val="single" w:sz="4" w:space="0" w:color="969696" w:themeColor="accent4"/>
        <w:bottom w:val="single" w:sz="4" w:space="0" w:color="969696" w:themeColor="accent4"/>
        <w:right w:val="single" w:sz="4" w:space="0" w:color="969696" w:themeColor="accent4"/>
        <w:insideH w:val="single" w:sz="4" w:space="0" w:color="0072BC" w:themeColor="background1"/>
        <w:insideV w:val="single" w:sz="4" w:space="0" w:color="0072BC" w:themeColor="background1"/>
      </w:tblBorders>
    </w:tblPr>
    <w:tcPr>
      <w:shd w:val="clear" w:color="auto" w:fill="F4F4F4" w:themeFill="accent4" w:themeFillTint="19"/>
    </w:tcPr>
    <w:tblStylePr w:type="firstRow">
      <w:rPr>
        <w:b/>
        <w:bCs/>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5A5A5A" w:themeFill="accent4" w:themeFillShade="99"/>
      </w:tcPr>
    </w:tblStylePr>
    <w:tblStylePr w:type="firstCol">
      <w:rPr>
        <w:color w:val="0072BC" w:themeColor="background1"/>
      </w:rPr>
      <w:tblPr/>
      <w:tcPr>
        <w:tcBorders>
          <w:top w:val="nil"/>
          <w:left w:val="nil"/>
          <w:bottom w:val="nil"/>
          <w:right w:val="nil"/>
          <w:insideH w:val="single" w:sz="4" w:space="0" w:color="5A5A5A" w:themeColor="accent4" w:themeShade="99"/>
          <w:insideV w:val="nil"/>
        </w:tcBorders>
        <w:shd w:val="clear" w:color="auto" w:fill="5A5A5A" w:themeFill="accent4" w:themeFillShade="99"/>
      </w:tcPr>
    </w:tblStylePr>
    <w:tblStylePr w:type="lastCol">
      <w:rPr>
        <w:color w:val="0072BC" w:themeColor="background1"/>
      </w:rPr>
      <w:tblPr/>
      <w:tcPr>
        <w:tcBorders>
          <w:top w:val="nil"/>
          <w:left w:val="nil"/>
          <w:bottom w:val="nil"/>
          <w:right w:val="nil"/>
          <w:insideH w:val="nil"/>
          <w:insideV w:val="nil"/>
        </w:tcBorders>
        <w:shd w:val="clear" w:color="auto" w:fill="5A5A5A" w:themeFill="accent4" w:themeFillShade="99"/>
      </w:tcPr>
    </w:tblStylePr>
    <w:tblStylePr w:type="band1Vert">
      <w:tblPr/>
      <w:tcPr>
        <w:shd w:val="clear" w:color="auto" w:fill="D5D5D5" w:themeFill="accent4" w:themeFillTint="66"/>
      </w:tcPr>
    </w:tblStylePr>
    <w:tblStylePr w:type="band1Horz">
      <w:tblPr/>
      <w:tcPr>
        <w:shd w:val="clear" w:color="auto" w:fill="CACACA" w:themeFill="accent4" w:themeFillTint="7F"/>
      </w:tcPr>
    </w:tblStylePr>
    <w:tblStylePr w:type="neCell">
      <w:rPr>
        <w:color w:val="000000" w:themeColor="text1"/>
      </w:rPr>
    </w:tblStylePr>
    <w:tblStylePr w:type="nwCell">
      <w:rPr>
        <w:color w:val="000000" w:themeColor="text1"/>
      </w:rPr>
    </w:tblStylePr>
  </w:style>
  <w:style w:type="table" w:styleId="Barvnosenenjepoudarek5">
    <w:name w:val="Colorful Shading Accent 5"/>
    <w:basedOn w:val="Navadnatabela"/>
    <w:uiPriority w:val="99"/>
    <w:semiHidden/>
    <w:rsid w:val="00014566"/>
    <w:rPr>
      <w:color w:val="000000" w:themeColor="text1"/>
      <w:lang w:val="fr-FR" w:eastAsia="fr-FR"/>
    </w:rPr>
    <w:tblPr>
      <w:tblStyleRowBandSize w:val="1"/>
      <w:tblStyleColBandSize w:val="1"/>
      <w:tblBorders>
        <w:top w:val="single" w:sz="24" w:space="0" w:color="4D4D4D" w:themeColor="accent6"/>
        <w:left w:val="single" w:sz="4" w:space="0" w:color="5F5F5F" w:themeColor="accent5"/>
        <w:bottom w:val="single" w:sz="4" w:space="0" w:color="5F5F5F" w:themeColor="accent5"/>
        <w:right w:val="single" w:sz="4" w:space="0" w:color="5F5F5F" w:themeColor="accent5"/>
        <w:insideH w:val="single" w:sz="4" w:space="0" w:color="0072BC" w:themeColor="background1"/>
        <w:insideV w:val="single" w:sz="4" w:space="0" w:color="0072BC" w:themeColor="background1"/>
      </w:tblBorders>
    </w:tblPr>
    <w:tcPr>
      <w:shd w:val="clear" w:color="auto" w:fill="EFEFEF" w:themeFill="accent5" w:themeFillTint="19"/>
    </w:tcPr>
    <w:tblStylePr w:type="firstRow">
      <w:rPr>
        <w:b/>
        <w:bCs/>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393939" w:themeFill="accent5" w:themeFillShade="99"/>
      </w:tcPr>
    </w:tblStylePr>
    <w:tblStylePr w:type="firstCol">
      <w:rPr>
        <w:color w:val="0072BC" w:themeColor="background1"/>
      </w:rPr>
      <w:tblPr/>
      <w:tcPr>
        <w:tcBorders>
          <w:top w:val="nil"/>
          <w:left w:val="nil"/>
          <w:bottom w:val="nil"/>
          <w:right w:val="nil"/>
          <w:insideH w:val="single" w:sz="4" w:space="0" w:color="393939" w:themeColor="accent5" w:themeShade="99"/>
          <w:insideV w:val="nil"/>
        </w:tcBorders>
        <w:shd w:val="clear" w:color="auto" w:fill="393939" w:themeFill="accent5" w:themeFillShade="99"/>
      </w:tcPr>
    </w:tblStylePr>
    <w:tblStylePr w:type="lastCol">
      <w:rPr>
        <w:color w:val="0072BC" w:themeColor="background1"/>
      </w:rPr>
      <w:tblPr/>
      <w:tcPr>
        <w:tcBorders>
          <w:top w:val="nil"/>
          <w:left w:val="nil"/>
          <w:bottom w:val="nil"/>
          <w:right w:val="nil"/>
          <w:insideH w:val="nil"/>
          <w:insideV w:val="nil"/>
        </w:tcBorders>
        <w:shd w:val="clear" w:color="auto" w:fill="393939" w:themeFill="accent5" w:themeFillShade="99"/>
      </w:tcPr>
    </w:tblStylePr>
    <w:tblStylePr w:type="band1Vert">
      <w:tblPr/>
      <w:tcPr>
        <w:shd w:val="clear" w:color="auto" w:fill="BFBFBF" w:themeFill="accent5" w:themeFillTint="66"/>
      </w:tcPr>
    </w:tblStylePr>
    <w:tblStylePr w:type="band1Horz">
      <w:tblPr/>
      <w:tcPr>
        <w:shd w:val="clear" w:color="auto" w:fill="AFAFAF" w:themeFill="accent5" w:themeFillTint="7F"/>
      </w:tcPr>
    </w:tblStylePr>
    <w:tblStylePr w:type="neCell">
      <w:rPr>
        <w:color w:val="000000" w:themeColor="text1"/>
      </w:rPr>
    </w:tblStylePr>
    <w:tblStylePr w:type="nwCell">
      <w:rPr>
        <w:color w:val="000000" w:themeColor="text1"/>
      </w:rPr>
    </w:tblStylePr>
  </w:style>
  <w:style w:type="table" w:styleId="Barvnosenenjepoudarek6">
    <w:name w:val="Colorful Shading Accent 6"/>
    <w:basedOn w:val="Navadnatabela"/>
    <w:uiPriority w:val="99"/>
    <w:semiHidden/>
    <w:rsid w:val="00014566"/>
    <w:rPr>
      <w:color w:val="000000" w:themeColor="text1"/>
      <w:lang w:val="fr-FR" w:eastAsia="fr-FR"/>
    </w:rPr>
    <w:tblPr>
      <w:tblStyleRowBandSize w:val="1"/>
      <w:tblStyleColBandSize w:val="1"/>
      <w:tblBorders>
        <w:top w:val="single" w:sz="24" w:space="0" w:color="5F5F5F" w:themeColor="accent5"/>
        <w:left w:val="single" w:sz="4" w:space="0" w:color="4D4D4D" w:themeColor="accent6"/>
        <w:bottom w:val="single" w:sz="4" w:space="0" w:color="4D4D4D" w:themeColor="accent6"/>
        <w:right w:val="single" w:sz="4" w:space="0" w:color="4D4D4D" w:themeColor="accent6"/>
        <w:insideH w:val="single" w:sz="4" w:space="0" w:color="0072BC" w:themeColor="background1"/>
        <w:insideV w:val="single" w:sz="4" w:space="0" w:color="0072BC" w:themeColor="background1"/>
      </w:tblBorders>
    </w:tblPr>
    <w:tcPr>
      <w:shd w:val="clear" w:color="auto" w:fill="EDEDED" w:themeFill="accent6" w:themeFillTint="19"/>
    </w:tcPr>
    <w:tblStylePr w:type="firstRow">
      <w:rPr>
        <w:b/>
        <w:bCs/>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rPr>
        <w:b/>
        <w:bCs/>
        <w:color w:val="0072BC" w:themeColor="background1"/>
      </w:rPr>
      <w:tblPr/>
      <w:tcPr>
        <w:tcBorders>
          <w:top w:val="single" w:sz="6" w:space="0" w:color="0072BC" w:themeColor="background1"/>
        </w:tcBorders>
        <w:shd w:val="clear" w:color="auto" w:fill="2E2E2E" w:themeFill="accent6" w:themeFillShade="99"/>
      </w:tcPr>
    </w:tblStylePr>
    <w:tblStylePr w:type="firstCol">
      <w:rPr>
        <w:color w:val="0072BC" w:themeColor="background1"/>
      </w:rPr>
      <w:tblPr/>
      <w:tcPr>
        <w:tcBorders>
          <w:top w:val="nil"/>
          <w:left w:val="nil"/>
          <w:bottom w:val="nil"/>
          <w:right w:val="nil"/>
          <w:insideH w:val="single" w:sz="4" w:space="0" w:color="2E2E2E" w:themeColor="accent6" w:themeShade="99"/>
          <w:insideV w:val="nil"/>
        </w:tcBorders>
        <w:shd w:val="clear" w:color="auto" w:fill="2E2E2E" w:themeFill="accent6" w:themeFillShade="99"/>
      </w:tcPr>
    </w:tblStylePr>
    <w:tblStylePr w:type="lastCol">
      <w:rPr>
        <w:color w:val="0072BC" w:themeColor="background1"/>
      </w:rPr>
      <w:tblPr/>
      <w:tcPr>
        <w:tcBorders>
          <w:top w:val="nil"/>
          <w:left w:val="nil"/>
          <w:bottom w:val="nil"/>
          <w:right w:val="nil"/>
          <w:insideH w:val="nil"/>
          <w:insideV w:val="nil"/>
        </w:tcBorders>
        <w:shd w:val="clear" w:color="auto" w:fill="2E2E2E" w:themeFill="accent6" w:themeFillShade="99"/>
      </w:tcPr>
    </w:tblStylePr>
    <w:tblStylePr w:type="band1Vert">
      <w:tblPr/>
      <w:tcPr>
        <w:shd w:val="clear" w:color="auto" w:fill="B7B7B7" w:themeFill="accent6" w:themeFillTint="66"/>
      </w:tcPr>
    </w:tblStylePr>
    <w:tblStylePr w:type="band1Horz">
      <w:tblPr/>
      <w:tcPr>
        <w:shd w:val="clear" w:color="auto" w:fill="A6A6A6" w:themeFill="accent6" w:themeFillTint="7F"/>
      </w:tcPr>
    </w:tblStylePr>
    <w:tblStylePr w:type="neCell">
      <w:rPr>
        <w:color w:val="000000" w:themeColor="text1"/>
      </w:rPr>
    </w:tblStylePr>
    <w:tblStylePr w:type="nwCell">
      <w:rPr>
        <w:color w:val="000000" w:themeColor="text1"/>
      </w:rPr>
    </w:tblStylePr>
  </w:style>
  <w:style w:type="table" w:styleId="Temenseznam">
    <w:name w:val="Dark List"/>
    <w:basedOn w:val="Navadnatabela"/>
    <w:uiPriority w:val="99"/>
    <w:semiHidden/>
    <w:rsid w:val="00014566"/>
    <w:rPr>
      <w:color w:val="0072BC" w:themeColor="background1"/>
      <w:lang w:val="fr-FR" w:eastAsia="fr-FR"/>
    </w:rPr>
    <w:tblPr>
      <w:tblStyleRowBandSize w:val="1"/>
      <w:tblStyleColBandSize w:val="1"/>
    </w:tblPr>
    <w:tcPr>
      <w:shd w:val="clear" w:color="auto" w:fill="000000" w:themeFill="tex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0072BC" w:themeColor="background1"/>
          <w:insideH w:val="nil"/>
          <w:insideV w:val="nil"/>
        </w:tcBorders>
        <w:shd w:val="clear" w:color="auto" w:fill="000000" w:themeFill="text1" w:themeFillShade="BF"/>
      </w:tcPr>
    </w:tblStylePr>
    <w:tblStylePr w:type="lastCol">
      <w:tblPr/>
      <w:tcPr>
        <w:tcBorders>
          <w:top w:val="nil"/>
          <w:left w:val="single" w:sz="18" w:space="0" w:color="0072BC"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Temenseznampoudarek1">
    <w:name w:val="Dark List Accent 1"/>
    <w:basedOn w:val="Navadnatabela"/>
    <w:uiPriority w:val="99"/>
    <w:semiHidden/>
    <w:rsid w:val="00014566"/>
    <w:rPr>
      <w:color w:val="0072BC" w:themeColor="background1"/>
      <w:lang w:val="fr-FR" w:eastAsia="fr-FR"/>
    </w:rPr>
    <w:tblPr>
      <w:tblStyleRowBandSize w:val="1"/>
      <w:tblStyleColBandSize w:val="1"/>
    </w:tblPr>
    <w:tcPr>
      <w:shd w:val="clear" w:color="auto" w:fill="0072BC" w:themeFill="accent1"/>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00385D" w:themeFill="accent1" w:themeFillShade="7F"/>
      </w:tcPr>
    </w:tblStylePr>
    <w:tblStylePr w:type="firstCol">
      <w:tblPr/>
      <w:tcPr>
        <w:tcBorders>
          <w:top w:val="nil"/>
          <w:left w:val="nil"/>
          <w:bottom w:val="nil"/>
          <w:right w:val="single" w:sz="18" w:space="0" w:color="0072BC" w:themeColor="background1"/>
          <w:insideH w:val="nil"/>
          <w:insideV w:val="nil"/>
        </w:tcBorders>
        <w:shd w:val="clear" w:color="auto" w:fill="00548C" w:themeFill="accent1" w:themeFillShade="BF"/>
      </w:tcPr>
    </w:tblStylePr>
    <w:tblStylePr w:type="lastCol">
      <w:tblPr/>
      <w:tcPr>
        <w:tcBorders>
          <w:top w:val="nil"/>
          <w:left w:val="single" w:sz="18" w:space="0" w:color="0072BC" w:themeColor="background1"/>
          <w:bottom w:val="nil"/>
          <w:right w:val="nil"/>
          <w:insideH w:val="nil"/>
          <w:insideV w:val="nil"/>
        </w:tcBorders>
        <w:shd w:val="clear" w:color="auto" w:fill="00548C" w:themeFill="accent1" w:themeFillShade="BF"/>
      </w:tcPr>
    </w:tblStylePr>
    <w:tblStylePr w:type="band1Vert">
      <w:tblPr/>
      <w:tcPr>
        <w:tcBorders>
          <w:top w:val="nil"/>
          <w:left w:val="nil"/>
          <w:bottom w:val="nil"/>
          <w:right w:val="nil"/>
          <w:insideH w:val="nil"/>
          <w:insideV w:val="nil"/>
        </w:tcBorders>
        <w:shd w:val="clear" w:color="auto" w:fill="00548C" w:themeFill="accent1" w:themeFillShade="BF"/>
      </w:tcPr>
    </w:tblStylePr>
    <w:tblStylePr w:type="band1Horz">
      <w:tblPr/>
      <w:tcPr>
        <w:tcBorders>
          <w:top w:val="nil"/>
          <w:left w:val="nil"/>
          <w:bottom w:val="nil"/>
          <w:right w:val="nil"/>
          <w:insideH w:val="nil"/>
          <w:insideV w:val="nil"/>
        </w:tcBorders>
        <w:shd w:val="clear" w:color="auto" w:fill="00548C" w:themeFill="accent1" w:themeFillShade="BF"/>
      </w:tcPr>
    </w:tblStylePr>
  </w:style>
  <w:style w:type="table" w:styleId="Temenseznampoudarek2">
    <w:name w:val="Dark List Accent 2"/>
    <w:basedOn w:val="Navadnatabela"/>
    <w:uiPriority w:val="99"/>
    <w:semiHidden/>
    <w:rsid w:val="00014566"/>
    <w:rPr>
      <w:color w:val="0072BC" w:themeColor="background1"/>
      <w:lang w:val="fr-FR" w:eastAsia="fr-FR"/>
    </w:rPr>
    <w:tblPr>
      <w:tblStyleRowBandSize w:val="1"/>
      <w:tblStyleColBandSize w:val="1"/>
    </w:tblPr>
    <w:tcPr>
      <w:shd w:val="clear" w:color="auto" w:fill="C00000" w:themeFill="accent2"/>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5F0000" w:themeFill="accent2" w:themeFillShade="7F"/>
      </w:tcPr>
    </w:tblStylePr>
    <w:tblStylePr w:type="firstCol">
      <w:tblPr/>
      <w:tcPr>
        <w:tcBorders>
          <w:top w:val="nil"/>
          <w:left w:val="nil"/>
          <w:bottom w:val="nil"/>
          <w:right w:val="single" w:sz="18" w:space="0" w:color="0072BC" w:themeColor="background1"/>
          <w:insideH w:val="nil"/>
          <w:insideV w:val="nil"/>
        </w:tcBorders>
        <w:shd w:val="clear" w:color="auto" w:fill="8F0000" w:themeFill="accent2" w:themeFillShade="BF"/>
      </w:tcPr>
    </w:tblStylePr>
    <w:tblStylePr w:type="lastCol">
      <w:tblPr/>
      <w:tcPr>
        <w:tcBorders>
          <w:top w:val="nil"/>
          <w:left w:val="single" w:sz="18" w:space="0" w:color="0072BC" w:themeColor="background1"/>
          <w:bottom w:val="nil"/>
          <w:right w:val="nil"/>
          <w:insideH w:val="nil"/>
          <w:insideV w:val="nil"/>
        </w:tcBorders>
        <w:shd w:val="clear" w:color="auto" w:fill="8F0000" w:themeFill="accent2" w:themeFillShade="BF"/>
      </w:tcPr>
    </w:tblStylePr>
    <w:tblStylePr w:type="band1Vert">
      <w:tblPr/>
      <w:tcPr>
        <w:tcBorders>
          <w:top w:val="nil"/>
          <w:left w:val="nil"/>
          <w:bottom w:val="nil"/>
          <w:right w:val="nil"/>
          <w:insideH w:val="nil"/>
          <w:insideV w:val="nil"/>
        </w:tcBorders>
        <w:shd w:val="clear" w:color="auto" w:fill="8F0000" w:themeFill="accent2" w:themeFillShade="BF"/>
      </w:tcPr>
    </w:tblStylePr>
    <w:tblStylePr w:type="band1Horz">
      <w:tblPr/>
      <w:tcPr>
        <w:tcBorders>
          <w:top w:val="nil"/>
          <w:left w:val="nil"/>
          <w:bottom w:val="nil"/>
          <w:right w:val="nil"/>
          <w:insideH w:val="nil"/>
          <w:insideV w:val="nil"/>
        </w:tcBorders>
        <w:shd w:val="clear" w:color="auto" w:fill="8F0000" w:themeFill="accent2" w:themeFillShade="BF"/>
      </w:tcPr>
    </w:tblStylePr>
  </w:style>
  <w:style w:type="table" w:styleId="Temenseznampoudarek3">
    <w:name w:val="Dark List Accent 3"/>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3"/>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3"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3"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3" w:themeFillShade="BF"/>
      </w:tcPr>
    </w:tblStylePr>
    <w:tblStylePr w:type="band1Vert">
      <w:tblPr/>
      <w:tcPr>
        <w:tcBorders>
          <w:top w:val="nil"/>
          <w:left w:val="nil"/>
          <w:bottom w:val="nil"/>
          <w:right w:val="nil"/>
          <w:insideH w:val="nil"/>
          <w:insideV w:val="nil"/>
        </w:tcBorders>
        <w:shd w:val="clear" w:color="auto" w:fill="474747" w:themeFill="accent3" w:themeFillShade="BF"/>
      </w:tcPr>
    </w:tblStylePr>
    <w:tblStylePr w:type="band1Horz">
      <w:tblPr/>
      <w:tcPr>
        <w:tcBorders>
          <w:top w:val="nil"/>
          <w:left w:val="nil"/>
          <w:bottom w:val="nil"/>
          <w:right w:val="nil"/>
          <w:insideH w:val="nil"/>
          <w:insideV w:val="nil"/>
        </w:tcBorders>
        <w:shd w:val="clear" w:color="auto" w:fill="474747" w:themeFill="accent3" w:themeFillShade="BF"/>
      </w:tcPr>
    </w:tblStylePr>
  </w:style>
  <w:style w:type="table" w:styleId="Temenseznampoudarek4">
    <w:name w:val="Dark List Accent 4"/>
    <w:basedOn w:val="Navadnatabela"/>
    <w:uiPriority w:val="99"/>
    <w:semiHidden/>
    <w:rsid w:val="00014566"/>
    <w:rPr>
      <w:color w:val="0072BC" w:themeColor="background1"/>
      <w:lang w:val="fr-FR" w:eastAsia="fr-FR"/>
    </w:rPr>
    <w:tblPr>
      <w:tblStyleRowBandSize w:val="1"/>
      <w:tblStyleColBandSize w:val="1"/>
    </w:tblPr>
    <w:tcPr>
      <w:shd w:val="clear" w:color="auto" w:fill="969696" w:themeFill="accent4"/>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4A4A4A" w:themeFill="accent4" w:themeFillShade="7F"/>
      </w:tcPr>
    </w:tblStylePr>
    <w:tblStylePr w:type="firstCol">
      <w:tblPr/>
      <w:tcPr>
        <w:tcBorders>
          <w:top w:val="nil"/>
          <w:left w:val="nil"/>
          <w:bottom w:val="nil"/>
          <w:right w:val="single" w:sz="18" w:space="0" w:color="0072BC" w:themeColor="background1"/>
          <w:insideH w:val="nil"/>
          <w:insideV w:val="nil"/>
        </w:tcBorders>
        <w:shd w:val="clear" w:color="auto" w:fill="707070" w:themeFill="accent4" w:themeFillShade="BF"/>
      </w:tcPr>
    </w:tblStylePr>
    <w:tblStylePr w:type="lastCol">
      <w:tblPr/>
      <w:tcPr>
        <w:tcBorders>
          <w:top w:val="nil"/>
          <w:left w:val="single" w:sz="18" w:space="0" w:color="0072BC" w:themeColor="background1"/>
          <w:bottom w:val="nil"/>
          <w:right w:val="nil"/>
          <w:insideH w:val="nil"/>
          <w:insideV w:val="nil"/>
        </w:tcBorders>
        <w:shd w:val="clear" w:color="auto" w:fill="707070" w:themeFill="accent4" w:themeFillShade="BF"/>
      </w:tcPr>
    </w:tblStylePr>
    <w:tblStylePr w:type="band1Vert">
      <w:tblPr/>
      <w:tcPr>
        <w:tcBorders>
          <w:top w:val="nil"/>
          <w:left w:val="nil"/>
          <w:bottom w:val="nil"/>
          <w:right w:val="nil"/>
          <w:insideH w:val="nil"/>
          <w:insideV w:val="nil"/>
        </w:tcBorders>
        <w:shd w:val="clear" w:color="auto" w:fill="707070" w:themeFill="accent4" w:themeFillShade="BF"/>
      </w:tcPr>
    </w:tblStylePr>
    <w:tblStylePr w:type="band1Horz">
      <w:tblPr/>
      <w:tcPr>
        <w:tcBorders>
          <w:top w:val="nil"/>
          <w:left w:val="nil"/>
          <w:bottom w:val="nil"/>
          <w:right w:val="nil"/>
          <w:insideH w:val="nil"/>
          <w:insideV w:val="nil"/>
        </w:tcBorders>
        <w:shd w:val="clear" w:color="auto" w:fill="707070" w:themeFill="accent4" w:themeFillShade="BF"/>
      </w:tcPr>
    </w:tblStylePr>
  </w:style>
  <w:style w:type="table" w:styleId="Temenseznampoudarek5">
    <w:name w:val="Dark List Accent 5"/>
    <w:basedOn w:val="Navadnatabela"/>
    <w:uiPriority w:val="99"/>
    <w:semiHidden/>
    <w:rsid w:val="00014566"/>
    <w:rPr>
      <w:color w:val="0072BC" w:themeColor="background1"/>
      <w:lang w:val="fr-FR" w:eastAsia="fr-FR"/>
    </w:rPr>
    <w:tblPr>
      <w:tblStyleRowBandSize w:val="1"/>
      <w:tblStyleColBandSize w:val="1"/>
    </w:tblPr>
    <w:tcPr>
      <w:shd w:val="clear" w:color="auto" w:fill="5F5F5F" w:themeFill="accent5"/>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F2F2F" w:themeFill="accent5" w:themeFillShade="7F"/>
      </w:tcPr>
    </w:tblStylePr>
    <w:tblStylePr w:type="firstCol">
      <w:tblPr/>
      <w:tcPr>
        <w:tcBorders>
          <w:top w:val="nil"/>
          <w:left w:val="nil"/>
          <w:bottom w:val="nil"/>
          <w:right w:val="single" w:sz="18" w:space="0" w:color="0072BC" w:themeColor="background1"/>
          <w:insideH w:val="nil"/>
          <w:insideV w:val="nil"/>
        </w:tcBorders>
        <w:shd w:val="clear" w:color="auto" w:fill="474747" w:themeFill="accent5" w:themeFillShade="BF"/>
      </w:tcPr>
    </w:tblStylePr>
    <w:tblStylePr w:type="lastCol">
      <w:tblPr/>
      <w:tcPr>
        <w:tcBorders>
          <w:top w:val="nil"/>
          <w:left w:val="single" w:sz="18" w:space="0" w:color="0072BC" w:themeColor="background1"/>
          <w:bottom w:val="nil"/>
          <w:right w:val="nil"/>
          <w:insideH w:val="nil"/>
          <w:insideV w:val="nil"/>
        </w:tcBorders>
        <w:shd w:val="clear" w:color="auto" w:fill="474747" w:themeFill="accent5" w:themeFillShade="BF"/>
      </w:tcPr>
    </w:tblStylePr>
    <w:tblStylePr w:type="band1Vert">
      <w:tblPr/>
      <w:tcPr>
        <w:tcBorders>
          <w:top w:val="nil"/>
          <w:left w:val="nil"/>
          <w:bottom w:val="nil"/>
          <w:right w:val="nil"/>
          <w:insideH w:val="nil"/>
          <w:insideV w:val="nil"/>
        </w:tcBorders>
        <w:shd w:val="clear" w:color="auto" w:fill="474747" w:themeFill="accent5" w:themeFillShade="BF"/>
      </w:tcPr>
    </w:tblStylePr>
    <w:tblStylePr w:type="band1Horz">
      <w:tblPr/>
      <w:tcPr>
        <w:tcBorders>
          <w:top w:val="nil"/>
          <w:left w:val="nil"/>
          <w:bottom w:val="nil"/>
          <w:right w:val="nil"/>
          <w:insideH w:val="nil"/>
          <w:insideV w:val="nil"/>
        </w:tcBorders>
        <w:shd w:val="clear" w:color="auto" w:fill="474747" w:themeFill="accent5" w:themeFillShade="BF"/>
      </w:tcPr>
    </w:tblStylePr>
  </w:style>
  <w:style w:type="table" w:styleId="Temenseznampoudarek6">
    <w:name w:val="Dark List Accent 6"/>
    <w:basedOn w:val="Navadnatabela"/>
    <w:uiPriority w:val="99"/>
    <w:semiHidden/>
    <w:rsid w:val="00014566"/>
    <w:rPr>
      <w:color w:val="0072BC" w:themeColor="background1"/>
      <w:lang w:val="fr-FR" w:eastAsia="fr-FR"/>
    </w:rPr>
    <w:tblPr>
      <w:tblStyleRowBandSize w:val="1"/>
      <w:tblStyleColBandSize w:val="1"/>
    </w:tblPr>
    <w:tcPr>
      <w:shd w:val="clear" w:color="auto" w:fill="4D4D4D" w:themeFill="accent6"/>
    </w:tcPr>
    <w:tblStylePr w:type="firstRow">
      <w:rPr>
        <w:b/>
        <w:bCs/>
      </w:rPr>
      <w:tblPr/>
      <w:tcPr>
        <w:tcBorders>
          <w:top w:val="nil"/>
          <w:left w:val="nil"/>
          <w:bottom w:val="single" w:sz="18" w:space="0" w:color="0072BC" w:themeColor="background1"/>
          <w:right w:val="nil"/>
          <w:insideH w:val="nil"/>
          <w:insideV w:val="nil"/>
        </w:tcBorders>
        <w:shd w:val="clear" w:color="auto" w:fill="000000" w:themeFill="text1"/>
      </w:tcPr>
    </w:tblStylePr>
    <w:tblStylePr w:type="lastRow">
      <w:tblPr/>
      <w:tcPr>
        <w:tcBorders>
          <w:top w:val="single" w:sz="18" w:space="0" w:color="0072BC" w:themeColor="background1"/>
          <w:left w:val="nil"/>
          <w:bottom w:val="nil"/>
          <w:right w:val="nil"/>
          <w:insideH w:val="nil"/>
          <w:insideV w:val="nil"/>
        </w:tcBorders>
        <w:shd w:val="clear" w:color="auto" w:fill="262626" w:themeFill="accent6" w:themeFillShade="7F"/>
      </w:tcPr>
    </w:tblStylePr>
    <w:tblStylePr w:type="firstCol">
      <w:tblPr/>
      <w:tcPr>
        <w:tcBorders>
          <w:top w:val="nil"/>
          <w:left w:val="nil"/>
          <w:bottom w:val="nil"/>
          <w:right w:val="single" w:sz="18" w:space="0" w:color="0072BC" w:themeColor="background1"/>
          <w:insideH w:val="nil"/>
          <w:insideV w:val="nil"/>
        </w:tcBorders>
        <w:shd w:val="clear" w:color="auto" w:fill="393939" w:themeFill="accent6" w:themeFillShade="BF"/>
      </w:tcPr>
    </w:tblStylePr>
    <w:tblStylePr w:type="lastCol">
      <w:tblPr/>
      <w:tcPr>
        <w:tcBorders>
          <w:top w:val="nil"/>
          <w:left w:val="single" w:sz="18" w:space="0" w:color="0072BC" w:themeColor="background1"/>
          <w:bottom w:val="nil"/>
          <w:right w:val="nil"/>
          <w:insideH w:val="nil"/>
          <w:insideV w:val="nil"/>
        </w:tcBorders>
        <w:shd w:val="clear" w:color="auto" w:fill="393939" w:themeFill="accent6" w:themeFillShade="BF"/>
      </w:tcPr>
    </w:tblStylePr>
    <w:tblStylePr w:type="band1Vert">
      <w:tblPr/>
      <w:tcPr>
        <w:tcBorders>
          <w:top w:val="nil"/>
          <w:left w:val="nil"/>
          <w:bottom w:val="nil"/>
          <w:right w:val="nil"/>
          <w:insideH w:val="nil"/>
          <w:insideV w:val="nil"/>
        </w:tcBorders>
        <w:shd w:val="clear" w:color="auto" w:fill="393939" w:themeFill="accent6" w:themeFillShade="BF"/>
      </w:tcPr>
    </w:tblStylePr>
    <w:tblStylePr w:type="band1Horz">
      <w:tblPr/>
      <w:tcPr>
        <w:tcBorders>
          <w:top w:val="nil"/>
          <w:left w:val="nil"/>
          <w:bottom w:val="nil"/>
          <w:right w:val="nil"/>
          <w:insideH w:val="nil"/>
          <w:insideV w:val="nil"/>
        </w:tcBorders>
        <w:shd w:val="clear" w:color="auto" w:fill="393939" w:themeFill="accent6" w:themeFillShade="BF"/>
      </w:tcPr>
    </w:tblStylePr>
  </w:style>
  <w:style w:type="paragraph" w:styleId="Datum">
    <w:name w:val="Date"/>
    <w:basedOn w:val="Navaden"/>
    <w:next w:val="Navaden"/>
    <w:link w:val="DatumZnak"/>
    <w:uiPriority w:val="99"/>
    <w:semiHidden/>
    <w:rsid w:val="00014566"/>
  </w:style>
  <w:style w:type="character" w:customStyle="1" w:styleId="DatumZnak">
    <w:name w:val="Datum Znak"/>
    <w:basedOn w:val="Privzetapisavaodstavka"/>
    <w:link w:val="Datum"/>
    <w:uiPriority w:val="99"/>
    <w:semiHidden/>
    <w:rsid w:val="00014566"/>
    <w:rPr>
      <w:rFonts w:eastAsiaTheme="minorEastAsia"/>
      <w:sz w:val="24"/>
    </w:rPr>
  </w:style>
  <w:style w:type="paragraph" w:styleId="E-potnipodpis">
    <w:name w:val="E-mail Signature"/>
    <w:basedOn w:val="Navaden"/>
    <w:link w:val="E-potnipodpisZnak"/>
    <w:uiPriority w:val="99"/>
    <w:semiHidden/>
    <w:rsid w:val="00014566"/>
  </w:style>
  <w:style w:type="character" w:customStyle="1" w:styleId="E-potnipodpisZnak">
    <w:name w:val="E-poštni podpis Znak"/>
    <w:basedOn w:val="Privzetapisavaodstavka"/>
    <w:link w:val="E-potnipodpis"/>
    <w:uiPriority w:val="99"/>
    <w:semiHidden/>
    <w:rsid w:val="00014566"/>
    <w:rPr>
      <w:rFonts w:eastAsiaTheme="minorEastAsia"/>
      <w:sz w:val="24"/>
    </w:rPr>
  </w:style>
  <w:style w:type="paragraph" w:styleId="Naslovnaslovnika">
    <w:name w:val="envelope address"/>
    <w:basedOn w:val="Navaden"/>
    <w:uiPriority w:val="99"/>
    <w:semiHidden/>
    <w:rsid w:val="00014566"/>
    <w:pPr>
      <w:framePr w:w="7938" w:h="1985" w:hRule="exact" w:hSpace="141" w:wrap="auto" w:hAnchor="page" w:xAlign="center" w:yAlign="bottom"/>
      <w:ind w:left="2835"/>
    </w:pPr>
    <w:rPr>
      <w:rFonts w:asciiTheme="majorHAnsi" w:eastAsiaTheme="majorEastAsia" w:hAnsiTheme="majorHAnsi" w:cstheme="majorBidi"/>
      <w:szCs w:val="24"/>
    </w:rPr>
  </w:style>
  <w:style w:type="paragraph" w:styleId="Naslovpoiljatelja">
    <w:name w:val="envelope return"/>
    <w:basedOn w:val="Navaden"/>
    <w:uiPriority w:val="99"/>
    <w:semiHidden/>
    <w:rsid w:val="00014566"/>
    <w:rPr>
      <w:rFonts w:asciiTheme="majorHAnsi" w:eastAsiaTheme="majorEastAsia" w:hAnsiTheme="majorHAnsi" w:cstheme="majorBidi"/>
      <w:sz w:val="20"/>
      <w:szCs w:val="20"/>
    </w:rPr>
  </w:style>
  <w:style w:type="character" w:styleId="HTML-kratica">
    <w:name w:val="HTML Acronym"/>
    <w:basedOn w:val="Privzetapisavaodstavka"/>
    <w:uiPriority w:val="99"/>
    <w:semiHidden/>
    <w:rsid w:val="00014566"/>
  </w:style>
  <w:style w:type="paragraph" w:styleId="HTMLnaslov">
    <w:name w:val="HTML Address"/>
    <w:basedOn w:val="Navaden"/>
    <w:link w:val="HTMLnaslovZnak"/>
    <w:uiPriority w:val="99"/>
    <w:semiHidden/>
    <w:rsid w:val="00014566"/>
    <w:rPr>
      <w:i/>
      <w:iCs/>
    </w:rPr>
  </w:style>
  <w:style w:type="character" w:customStyle="1" w:styleId="HTMLnaslovZnak">
    <w:name w:val="HTML naslov Znak"/>
    <w:basedOn w:val="Privzetapisavaodstavka"/>
    <w:link w:val="HTMLnaslov"/>
    <w:uiPriority w:val="99"/>
    <w:semiHidden/>
    <w:rsid w:val="00014566"/>
    <w:rPr>
      <w:rFonts w:eastAsiaTheme="minorEastAsia"/>
      <w:i/>
      <w:iCs/>
      <w:sz w:val="24"/>
    </w:rPr>
  </w:style>
  <w:style w:type="character" w:styleId="HTML-citat">
    <w:name w:val="HTML Cite"/>
    <w:basedOn w:val="Privzetapisavaodstavka"/>
    <w:uiPriority w:val="99"/>
    <w:semiHidden/>
    <w:rsid w:val="00014566"/>
    <w:rPr>
      <w:i/>
      <w:iCs/>
    </w:rPr>
  </w:style>
  <w:style w:type="character" w:styleId="KodaHTML">
    <w:name w:val="HTML Code"/>
    <w:basedOn w:val="Privzetapisavaodstavka"/>
    <w:uiPriority w:val="99"/>
    <w:semiHidden/>
    <w:rsid w:val="00014566"/>
    <w:rPr>
      <w:rFonts w:ascii="Consolas" w:hAnsi="Consolas" w:cs="Consolas"/>
      <w:sz w:val="20"/>
      <w:szCs w:val="20"/>
    </w:rPr>
  </w:style>
  <w:style w:type="character" w:styleId="DefinicijaHTML">
    <w:name w:val="HTML Definition"/>
    <w:basedOn w:val="Privzetapisavaodstavka"/>
    <w:uiPriority w:val="99"/>
    <w:semiHidden/>
    <w:rsid w:val="00014566"/>
    <w:rPr>
      <w:i/>
      <w:iCs/>
    </w:rPr>
  </w:style>
  <w:style w:type="character" w:styleId="HTML-tipkovnica">
    <w:name w:val="HTML Keyboard"/>
    <w:basedOn w:val="Privzetapisavaodstavka"/>
    <w:uiPriority w:val="99"/>
    <w:semiHidden/>
    <w:rsid w:val="00014566"/>
    <w:rPr>
      <w:rFonts w:ascii="Consolas" w:hAnsi="Consolas" w:cs="Consolas"/>
      <w:sz w:val="20"/>
      <w:szCs w:val="20"/>
    </w:rPr>
  </w:style>
  <w:style w:type="paragraph" w:styleId="HTML-oblikovano">
    <w:name w:val="HTML Preformatted"/>
    <w:basedOn w:val="Navaden"/>
    <w:link w:val="HTML-oblikovanoZnak"/>
    <w:uiPriority w:val="99"/>
    <w:semiHidden/>
    <w:rsid w:val="00014566"/>
    <w:rPr>
      <w:rFonts w:ascii="Consolas" w:hAnsi="Consolas" w:cs="Consolas"/>
      <w:sz w:val="20"/>
      <w:szCs w:val="20"/>
    </w:rPr>
  </w:style>
  <w:style w:type="character" w:customStyle="1" w:styleId="HTML-oblikovanoZnak">
    <w:name w:val="HTML-oblikovano Znak"/>
    <w:basedOn w:val="Privzetapisavaodstavka"/>
    <w:link w:val="HTML-oblikovano"/>
    <w:uiPriority w:val="99"/>
    <w:semiHidden/>
    <w:rsid w:val="00014566"/>
    <w:rPr>
      <w:rFonts w:ascii="Consolas" w:eastAsiaTheme="minorEastAsia" w:hAnsi="Consolas" w:cs="Consolas"/>
      <w:sz w:val="20"/>
      <w:szCs w:val="20"/>
    </w:rPr>
  </w:style>
  <w:style w:type="character" w:styleId="HTMLvzorec">
    <w:name w:val="HTML Sample"/>
    <w:basedOn w:val="Privzetapisavaodstavka"/>
    <w:uiPriority w:val="99"/>
    <w:semiHidden/>
    <w:rsid w:val="00014566"/>
    <w:rPr>
      <w:rFonts w:ascii="Consolas" w:hAnsi="Consolas" w:cs="Consolas"/>
      <w:sz w:val="24"/>
      <w:szCs w:val="24"/>
    </w:rPr>
  </w:style>
  <w:style w:type="character" w:styleId="HTMLpisalnistroj">
    <w:name w:val="HTML Typewriter"/>
    <w:basedOn w:val="Privzetapisavaodstavka"/>
    <w:uiPriority w:val="99"/>
    <w:semiHidden/>
    <w:rsid w:val="00014566"/>
    <w:rPr>
      <w:rFonts w:ascii="Consolas" w:hAnsi="Consolas" w:cs="Consolas"/>
      <w:sz w:val="20"/>
      <w:szCs w:val="20"/>
    </w:rPr>
  </w:style>
  <w:style w:type="character" w:styleId="HTMLspremenljivka">
    <w:name w:val="HTML Variable"/>
    <w:basedOn w:val="Privzetapisavaodstavka"/>
    <w:uiPriority w:val="99"/>
    <w:semiHidden/>
    <w:rsid w:val="00014566"/>
    <w:rPr>
      <w:i/>
      <w:iCs/>
    </w:rPr>
  </w:style>
  <w:style w:type="paragraph" w:styleId="Stvarnokazalo1">
    <w:name w:val="index 1"/>
    <w:basedOn w:val="Navaden"/>
    <w:next w:val="Navaden"/>
    <w:autoRedefine/>
    <w:uiPriority w:val="99"/>
    <w:semiHidden/>
    <w:rsid w:val="00014566"/>
    <w:pPr>
      <w:ind w:left="240" w:hanging="240"/>
    </w:pPr>
  </w:style>
  <w:style w:type="paragraph" w:styleId="Stvarnokazalo2">
    <w:name w:val="index 2"/>
    <w:basedOn w:val="Navaden"/>
    <w:next w:val="Navaden"/>
    <w:autoRedefine/>
    <w:uiPriority w:val="99"/>
    <w:semiHidden/>
    <w:rsid w:val="00014566"/>
    <w:pPr>
      <w:ind w:left="480" w:hanging="240"/>
    </w:pPr>
  </w:style>
  <w:style w:type="paragraph" w:styleId="Stvarnokazalo3">
    <w:name w:val="index 3"/>
    <w:basedOn w:val="Navaden"/>
    <w:next w:val="Navaden"/>
    <w:autoRedefine/>
    <w:uiPriority w:val="99"/>
    <w:semiHidden/>
    <w:rsid w:val="00014566"/>
    <w:pPr>
      <w:ind w:left="720" w:hanging="240"/>
    </w:pPr>
  </w:style>
  <w:style w:type="paragraph" w:styleId="Stvarnokazalo4">
    <w:name w:val="index 4"/>
    <w:basedOn w:val="Navaden"/>
    <w:next w:val="Navaden"/>
    <w:autoRedefine/>
    <w:uiPriority w:val="99"/>
    <w:semiHidden/>
    <w:rsid w:val="00014566"/>
    <w:pPr>
      <w:ind w:left="960" w:hanging="240"/>
    </w:pPr>
  </w:style>
  <w:style w:type="paragraph" w:styleId="Stvarnokazalo5">
    <w:name w:val="index 5"/>
    <w:basedOn w:val="Navaden"/>
    <w:next w:val="Navaden"/>
    <w:autoRedefine/>
    <w:uiPriority w:val="99"/>
    <w:semiHidden/>
    <w:rsid w:val="00014566"/>
    <w:pPr>
      <w:ind w:left="1200" w:hanging="240"/>
    </w:pPr>
  </w:style>
  <w:style w:type="paragraph" w:styleId="Stvarnokazalo6">
    <w:name w:val="index 6"/>
    <w:basedOn w:val="Navaden"/>
    <w:next w:val="Navaden"/>
    <w:autoRedefine/>
    <w:uiPriority w:val="99"/>
    <w:semiHidden/>
    <w:rsid w:val="00014566"/>
    <w:pPr>
      <w:ind w:left="1440" w:hanging="240"/>
    </w:pPr>
  </w:style>
  <w:style w:type="paragraph" w:styleId="Stvarnokazalo7">
    <w:name w:val="index 7"/>
    <w:basedOn w:val="Navaden"/>
    <w:next w:val="Navaden"/>
    <w:autoRedefine/>
    <w:uiPriority w:val="99"/>
    <w:semiHidden/>
    <w:rsid w:val="00014566"/>
    <w:pPr>
      <w:ind w:left="1680" w:hanging="240"/>
    </w:pPr>
  </w:style>
  <w:style w:type="paragraph" w:styleId="Stvarnokazalo8">
    <w:name w:val="index 8"/>
    <w:basedOn w:val="Navaden"/>
    <w:next w:val="Navaden"/>
    <w:autoRedefine/>
    <w:uiPriority w:val="99"/>
    <w:semiHidden/>
    <w:rsid w:val="00014566"/>
    <w:pPr>
      <w:ind w:left="1920" w:hanging="240"/>
    </w:pPr>
  </w:style>
  <w:style w:type="paragraph" w:styleId="Stvarnokazalo9">
    <w:name w:val="index 9"/>
    <w:basedOn w:val="Navaden"/>
    <w:next w:val="Navaden"/>
    <w:autoRedefine/>
    <w:uiPriority w:val="99"/>
    <w:semiHidden/>
    <w:rsid w:val="00014566"/>
    <w:pPr>
      <w:ind w:left="2160" w:hanging="240"/>
    </w:pPr>
  </w:style>
  <w:style w:type="paragraph" w:styleId="Stvarnokazalo-naslov">
    <w:name w:val="index heading"/>
    <w:basedOn w:val="Navaden"/>
    <w:next w:val="Stvarnokazalo1"/>
    <w:uiPriority w:val="99"/>
    <w:semiHidden/>
    <w:rsid w:val="00014566"/>
    <w:rPr>
      <w:rFonts w:asciiTheme="majorHAnsi" w:eastAsiaTheme="majorEastAsia" w:hAnsiTheme="majorHAnsi" w:cstheme="majorBidi"/>
      <w:b/>
      <w:bCs/>
    </w:rPr>
  </w:style>
  <w:style w:type="table" w:styleId="Svetlamrea">
    <w:name w:val="Light Grid"/>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Svetlamreapoudarek1">
    <w:name w:val="Light Grid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18" w:space="0" w:color="0072BC" w:themeColor="accent1"/>
          <w:right w:val="single" w:sz="8" w:space="0" w:color="0072BC" w:themeColor="accent1"/>
          <w:insideH w:val="nil"/>
          <w:insideV w:val="single" w:sz="8" w:space="0" w:color="0072BC"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insideH w:val="nil"/>
          <w:insideV w:val="single" w:sz="8" w:space="0" w:color="0072BC"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shd w:val="clear" w:color="auto" w:fill="AFDFFF" w:themeFill="accent1" w:themeFillTint="3F"/>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shd w:val="clear" w:color="auto" w:fill="AFDFFF" w:themeFill="accent1" w:themeFillTint="3F"/>
      </w:tcPr>
    </w:tblStylePr>
    <w:tblStylePr w:type="band2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insideV w:val="single" w:sz="8" w:space="0" w:color="0072BC" w:themeColor="accent1"/>
        </w:tcBorders>
      </w:tcPr>
    </w:tblStylePr>
  </w:style>
  <w:style w:type="table" w:styleId="Svetlamreapoudarek2">
    <w:name w:val="Light Grid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18" w:space="0" w:color="C00000" w:themeColor="accent2"/>
          <w:right w:val="single" w:sz="8" w:space="0" w:color="C00000" w:themeColor="accent2"/>
          <w:insideH w:val="nil"/>
          <w:insideV w:val="single" w:sz="8" w:space="0" w:color="C00000"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insideH w:val="nil"/>
          <w:insideV w:val="single" w:sz="8" w:space="0" w:color="C00000"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shd w:val="clear" w:color="auto" w:fill="FFB0B0" w:themeFill="accent2" w:themeFillTint="3F"/>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shd w:val="clear" w:color="auto" w:fill="FFB0B0" w:themeFill="accent2" w:themeFillTint="3F"/>
      </w:tcPr>
    </w:tblStylePr>
    <w:tblStylePr w:type="band2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insideV w:val="single" w:sz="8" w:space="0" w:color="C00000" w:themeColor="accent2"/>
        </w:tcBorders>
      </w:tcPr>
    </w:tblStylePr>
  </w:style>
  <w:style w:type="table" w:styleId="Svetlamreapoudarek3">
    <w:name w:val="Light Grid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18" w:space="0" w:color="5F5F5F" w:themeColor="accent3"/>
          <w:right w:val="single" w:sz="8" w:space="0" w:color="5F5F5F" w:themeColor="accent3"/>
          <w:insideH w:val="nil"/>
          <w:insideV w:val="single" w:sz="8" w:space="0" w:color="5F5F5F"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insideH w:val="nil"/>
          <w:insideV w:val="single" w:sz="8" w:space="0" w:color="5F5F5F"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shd w:val="clear" w:color="auto" w:fill="D7D7D7" w:themeFill="accent3" w:themeFillTint="3F"/>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shd w:val="clear" w:color="auto" w:fill="D7D7D7" w:themeFill="accent3" w:themeFillTint="3F"/>
      </w:tcPr>
    </w:tblStylePr>
    <w:tblStylePr w:type="band2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insideV w:val="single" w:sz="8" w:space="0" w:color="5F5F5F" w:themeColor="accent3"/>
        </w:tcBorders>
      </w:tcPr>
    </w:tblStylePr>
  </w:style>
  <w:style w:type="table" w:styleId="Svetlamreapoudarek4">
    <w:name w:val="Light Grid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18" w:space="0" w:color="969696" w:themeColor="accent4"/>
          <w:right w:val="single" w:sz="8" w:space="0" w:color="969696" w:themeColor="accent4"/>
          <w:insideH w:val="nil"/>
          <w:insideV w:val="single" w:sz="8" w:space="0" w:color="969696"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insideH w:val="nil"/>
          <w:insideV w:val="single" w:sz="8" w:space="0" w:color="969696"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shd w:val="clear" w:color="auto" w:fill="E5E5E5" w:themeFill="accent4" w:themeFillTint="3F"/>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shd w:val="clear" w:color="auto" w:fill="E5E5E5" w:themeFill="accent4" w:themeFillTint="3F"/>
      </w:tcPr>
    </w:tblStylePr>
    <w:tblStylePr w:type="band2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insideV w:val="single" w:sz="8" w:space="0" w:color="969696" w:themeColor="accent4"/>
        </w:tcBorders>
      </w:tcPr>
    </w:tblStylePr>
  </w:style>
  <w:style w:type="table" w:styleId="Svetlamreapoudarek5">
    <w:name w:val="Light Grid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18" w:space="0" w:color="5F5F5F" w:themeColor="accent5"/>
          <w:right w:val="single" w:sz="8" w:space="0" w:color="5F5F5F" w:themeColor="accent5"/>
          <w:insideH w:val="nil"/>
          <w:insideV w:val="single" w:sz="8" w:space="0" w:color="5F5F5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insideH w:val="nil"/>
          <w:insideV w:val="single" w:sz="8" w:space="0" w:color="5F5F5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shd w:val="clear" w:color="auto" w:fill="D7D7D7" w:themeFill="accent5" w:themeFillTint="3F"/>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shd w:val="clear" w:color="auto" w:fill="D7D7D7" w:themeFill="accent5" w:themeFillTint="3F"/>
      </w:tcPr>
    </w:tblStylePr>
    <w:tblStylePr w:type="band2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insideV w:val="single" w:sz="8" w:space="0" w:color="5F5F5F" w:themeColor="accent5"/>
        </w:tcBorders>
      </w:tcPr>
    </w:tblStylePr>
  </w:style>
  <w:style w:type="table" w:styleId="Svetlamreapoudarek6">
    <w:name w:val="Light Grid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18" w:space="0" w:color="4D4D4D" w:themeColor="accent6"/>
          <w:right w:val="single" w:sz="8" w:space="0" w:color="4D4D4D" w:themeColor="accent6"/>
          <w:insideH w:val="nil"/>
          <w:insideV w:val="single" w:sz="8" w:space="0" w:color="4D4D4D"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insideH w:val="nil"/>
          <w:insideV w:val="single" w:sz="8" w:space="0" w:color="4D4D4D"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shd w:val="clear" w:color="auto" w:fill="D3D3D3" w:themeFill="accent6" w:themeFillTint="3F"/>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shd w:val="clear" w:color="auto" w:fill="D3D3D3" w:themeFill="accent6" w:themeFillTint="3F"/>
      </w:tcPr>
    </w:tblStylePr>
    <w:tblStylePr w:type="band2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insideV w:val="single" w:sz="8" w:space="0" w:color="4D4D4D" w:themeColor="accent6"/>
        </w:tcBorders>
      </w:tcPr>
    </w:tblStylePr>
  </w:style>
  <w:style w:type="table" w:styleId="Svetelseznam">
    <w:name w:val="Light List"/>
    <w:basedOn w:val="Navadnatabela"/>
    <w:uiPriority w:val="99"/>
    <w:semiHidden/>
    <w:rsid w:val="00014566"/>
    <w:rPr>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0072BC"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Svetelseznampoudarek1">
    <w:name w:val="Light List Accent 1"/>
    <w:basedOn w:val="Navadnatabela"/>
    <w:uiPriority w:val="99"/>
    <w:semiHidden/>
    <w:rsid w:val="00014566"/>
    <w:rPr>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pPr>
        <w:spacing w:before="0" w:after="0" w:line="240" w:lineRule="auto"/>
      </w:pPr>
      <w:rPr>
        <w:b/>
        <w:bCs/>
        <w:color w:val="0072BC" w:themeColor="background1"/>
      </w:rPr>
      <w:tblPr/>
      <w:tcPr>
        <w:shd w:val="clear" w:color="auto" w:fill="0072BC" w:themeFill="accent1"/>
      </w:tcPr>
    </w:tblStylePr>
    <w:tblStylePr w:type="lastRow">
      <w:pPr>
        <w:spacing w:before="0" w:after="0" w:line="240" w:lineRule="auto"/>
      </w:pPr>
      <w:rPr>
        <w:b/>
        <w:bCs/>
      </w:rPr>
      <w:tblPr/>
      <w:tcPr>
        <w:tcBorders>
          <w:top w:val="double" w:sz="6" w:space="0" w:color="0072BC" w:themeColor="accent1"/>
          <w:left w:val="single" w:sz="8" w:space="0" w:color="0072BC" w:themeColor="accent1"/>
          <w:bottom w:val="single" w:sz="8" w:space="0" w:color="0072BC" w:themeColor="accent1"/>
          <w:right w:val="single" w:sz="8" w:space="0" w:color="0072BC" w:themeColor="accent1"/>
        </w:tcBorders>
      </w:tcPr>
    </w:tblStylePr>
    <w:tblStylePr w:type="firstCol">
      <w:rPr>
        <w:b/>
        <w:bCs/>
      </w:rPr>
    </w:tblStylePr>
    <w:tblStylePr w:type="lastCol">
      <w:rPr>
        <w:b/>
        <w:bCs/>
      </w:rPr>
    </w:tblStylePr>
    <w:tblStylePr w:type="band1Vert">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tblStylePr w:type="band1Horz">
      <w:tblPr/>
      <w:tcPr>
        <w:tcBorders>
          <w:top w:val="single" w:sz="8" w:space="0" w:color="0072BC" w:themeColor="accent1"/>
          <w:left w:val="single" w:sz="8" w:space="0" w:color="0072BC" w:themeColor="accent1"/>
          <w:bottom w:val="single" w:sz="8" w:space="0" w:color="0072BC" w:themeColor="accent1"/>
          <w:right w:val="single" w:sz="8" w:space="0" w:color="0072BC" w:themeColor="accent1"/>
        </w:tcBorders>
      </w:tcPr>
    </w:tblStylePr>
  </w:style>
  <w:style w:type="table" w:styleId="Svetelseznampoudarek2">
    <w:name w:val="Light List Accent 2"/>
    <w:basedOn w:val="Navadnatabela"/>
    <w:uiPriority w:val="99"/>
    <w:semiHidden/>
    <w:rsid w:val="00014566"/>
    <w:rPr>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pPr>
        <w:spacing w:before="0" w:after="0" w:line="240" w:lineRule="auto"/>
      </w:pPr>
      <w:rPr>
        <w:b/>
        <w:bCs/>
        <w:color w:val="0072BC" w:themeColor="background1"/>
      </w:rPr>
      <w:tblPr/>
      <w:tcPr>
        <w:shd w:val="clear" w:color="auto" w:fill="C00000" w:themeFill="accent2"/>
      </w:tcPr>
    </w:tblStylePr>
    <w:tblStylePr w:type="lastRow">
      <w:pPr>
        <w:spacing w:before="0" w:after="0" w:line="240" w:lineRule="auto"/>
      </w:pPr>
      <w:rPr>
        <w:b/>
        <w:bCs/>
      </w:rPr>
      <w:tblPr/>
      <w:tcPr>
        <w:tcBorders>
          <w:top w:val="double" w:sz="6" w:space="0" w:color="C00000" w:themeColor="accent2"/>
          <w:left w:val="single" w:sz="8" w:space="0" w:color="C00000" w:themeColor="accent2"/>
          <w:bottom w:val="single" w:sz="8" w:space="0" w:color="C00000" w:themeColor="accent2"/>
          <w:right w:val="single" w:sz="8" w:space="0" w:color="C00000" w:themeColor="accent2"/>
        </w:tcBorders>
      </w:tcPr>
    </w:tblStylePr>
    <w:tblStylePr w:type="firstCol">
      <w:rPr>
        <w:b/>
        <w:bCs/>
      </w:rPr>
    </w:tblStylePr>
    <w:tblStylePr w:type="lastCol">
      <w:rPr>
        <w:b/>
        <w:bCs/>
      </w:rPr>
    </w:tblStylePr>
    <w:tblStylePr w:type="band1Vert">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tblStylePr w:type="band1Horz">
      <w:tblPr/>
      <w:tcPr>
        <w:tcBorders>
          <w:top w:val="single" w:sz="8" w:space="0" w:color="C00000" w:themeColor="accent2"/>
          <w:left w:val="single" w:sz="8" w:space="0" w:color="C00000" w:themeColor="accent2"/>
          <w:bottom w:val="single" w:sz="8" w:space="0" w:color="C00000" w:themeColor="accent2"/>
          <w:right w:val="single" w:sz="8" w:space="0" w:color="C00000" w:themeColor="accent2"/>
        </w:tcBorders>
      </w:tcPr>
    </w:tblStylePr>
  </w:style>
  <w:style w:type="table" w:styleId="Svetelseznampoudarek3">
    <w:name w:val="Light List Accent 3"/>
    <w:basedOn w:val="Navadnatabela"/>
    <w:uiPriority w:val="99"/>
    <w:semiHidden/>
    <w:rsid w:val="00014566"/>
    <w:rPr>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pPr>
        <w:spacing w:before="0" w:after="0" w:line="240" w:lineRule="auto"/>
      </w:pPr>
      <w:rPr>
        <w:b/>
        <w:bCs/>
        <w:color w:val="0072BC" w:themeColor="background1"/>
      </w:rPr>
      <w:tblPr/>
      <w:tcPr>
        <w:shd w:val="clear" w:color="auto" w:fill="5F5F5F" w:themeFill="accent3"/>
      </w:tcPr>
    </w:tblStylePr>
    <w:tblStylePr w:type="lastRow">
      <w:pPr>
        <w:spacing w:before="0" w:after="0" w:line="240" w:lineRule="auto"/>
      </w:pPr>
      <w:rPr>
        <w:b/>
        <w:bCs/>
      </w:rPr>
      <w:tblPr/>
      <w:tcPr>
        <w:tcBorders>
          <w:top w:val="double" w:sz="6" w:space="0" w:color="5F5F5F" w:themeColor="accent3"/>
          <w:left w:val="single" w:sz="8" w:space="0" w:color="5F5F5F" w:themeColor="accent3"/>
          <w:bottom w:val="single" w:sz="8" w:space="0" w:color="5F5F5F" w:themeColor="accent3"/>
          <w:right w:val="single" w:sz="8" w:space="0" w:color="5F5F5F" w:themeColor="accent3"/>
        </w:tcBorders>
      </w:tcPr>
    </w:tblStylePr>
    <w:tblStylePr w:type="firstCol">
      <w:rPr>
        <w:b/>
        <w:bCs/>
      </w:rPr>
    </w:tblStylePr>
    <w:tblStylePr w:type="lastCol">
      <w:rPr>
        <w:b/>
        <w:bCs/>
      </w:rPr>
    </w:tblStylePr>
    <w:tblStylePr w:type="band1Vert">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tblStylePr w:type="band1Horz">
      <w:tblPr/>
      <w:tcPr>
        <w:tcBorders>
          <w:top w:val="single" w:sz="8" w:space="0" w:color="5F5F5F" w:themeColor="accent3"/>
          <w:left w:val="single" w:sz="8" w:space="0" w:color="5F5F5F" w:themeColor="accent3"/>
          <w:bottom w:val="single" w:sz="8" w:space="0" w:color="5F5F5F" w:themeColor="accent3"/>
          <w:right w:val="single" w:sz="8" w:space="0" w:color="5F5F5F" w:themeColor="accent3"/>
        </w:tcBorders>
      </w:tcPr>
    </w:tblStylePr>
  </w:style>
  <w:style w:type="table" w:styleId="Svetelseznampoudarek4">
    <w:name w:val="Light List Accent 4"/>
    <w:basedOn w:val="Navadnatabela"/>
    <w:uiPriority w:val="99"/>
    <w:semiHidden/>
    <w:rsid w:val="00014566"/>
    <w:rPr>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pPr>
        <w:spacing w:before="0" w:after="0" w:line="240" w:lineRule="auto"/>
      </w:pPr>
      <w:rPr>
        <w:b/>
        <w:bCs/>
        <w:color w:val="0072BC" w:themeColor="background1"/>
      </w:rPr>
      <w:tblPr/>
      <w:tcPr>
        <w:shd w:val="clear" w:color="auto" w:fill="969696" w:themeFill="accent4"/>
      </w:tcPr>
    </w:tblStylePr>
    <w:tblStylePr w:type="lastRow">
      <w:pPr>
        <w:spacing w:before="0" w:after="0" w:line="240" w:lineRule="auto"/>
      </w:pPr>
      <w:rPr>
        <w:b/>
        <w:bCs/>
      </w:rPr>
      <w:tblPr/>
      <w:tcPr>
        <w:tcBorders>
          <w:top w:val="double" w:sz="6" w:space="0" w:color="969696" w:themeColor="accent4"/>
          <w:left w:val="single" w:sz="8" w:space="0" w:color="969696" w:themeColor="accent4"/>
          <w:bottom w:val="single" w:sz="8" w:space="0" w:color="969696" w:themeColor="accent4"/>
          <w:right w:val="single" w:sz="8" w:space="0" w:color="969696" w:themeColor="accent4"/>
        </w:tcBorders>
      </w:tcPr>
    </w:tblStylePr>
    <w:tblStylePr w:type="firstCol">
      <w:rPr>
        <w:b/>
        <w:bCs/>
      </w:rPr>
    </w:tblStylePr>
    <w:tblStylePr w:type="lastCol">
      <w:rPr>
        <w:b/>
        <w:bCs/>
      </w:rPr>
    </w:tblStylePr>
    <w:tblStylePr w:type="band1Vert">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tblStylePr w:type="band1Horz">
      <w:tblPr/>
      <w:tcPr>
        <w:tcBorders>
          <w:top w:val="single" w:sz="8" w:space="0" w:color="969696" w:themeColor="accent4"/>
          <w:left w:val="single" w:sz="8" w:space="0" w:color="969696" w:themeColor="accent4"/>
          <w:bottom w:val="single" w:sz="8" w:space="0" w:color="969696" w:themeColor="accent4"/>
          <w:right w:val="single" w:sz="8" w:space="0" w:color="969696" w:themeColor="accent4"/>
        </w:tcBorders>
      </w:tcPr>
    </w:tblStylePr>
  </w:style>
  <w:style w:type="table" w:styleId="Svetelseznampoudarek5">
    <w:name w:val="Light List Accent 5"/>
    <w:basedOn w:val="Navadnatabela"/>
    <w:uiPriority w:val="99"/>
    <w:semiHidden/>
    <w:rsid w:val="00014566"/>
    <w:rPr>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pPr>
        <w:spacing w:before="0" w:after="0" w:line="240" w:lineRule="auto"/>
      </w:pPr>
      <w:rPr>
        <w:b/>
        <w:bCs/>
        <w:color w:val="0072BC" w:themeColor="background1"/>
      </w:rPr>
      <w:tblPr/>
      <w:tcPr>
        <w:shd w:val="clear" w:color="auto" w:fill="5F5F5F" w:themeFill="accent5"/>
      </w:tcPr>
    </w:tblStylePr>
    <w:tblStylePr w:type="lastRow">
      <w:pPr>
        <w:spacing w:before="0" w:after="0" w:line="240" w:lineRule="auto"/>
      </w:pPr>
      <w:rPr>
        <w:b/>
        <w:bCs/>
      </w:rPr>
      <w:tblPr/>
      <w:tcPr>
        <w:tcBorders>
          <w:top w:val="double" w:sz="6" w:space="0" w:color="5F5F5F" w:themeColor="accent5"/>
          <w:left w:val="single" w:sz="8" w:space="0" w:color="5F5F5F" w:themeColor="accent5"/>
          <w:bottom w:val="single" w:sz="8" w:space="0" w:color="5F5F5F" w:themeColor="accent5"/>
          <w:right w:val="single" w:sz="8" w:space="0" w:color="5F5F5F" w:themeColor="accent5"/>
        </w:tcBorders>
      </w:tcPr>
    </w:tblStylePr>
    <w:tblStylePr w:type="firstCol">
      <w:rPr>
        <w:b/>
        <w:bCs/>
      </w:rPr>
    </w:tblStylePr>
    <w:tblStylePr w:type="lastCol">
      <w:rPr>
        <w:b/>
        <w:bCs/>
      </w:rPr>
    </w:tblStylePr>
    <w:tblStylePr w:type="band1Vert">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tblStylePr w:type="band1Horz">
      <w:tblPr/>
      <w:tcPr>
        <w:tcBorders>
          <w:top w:val="single" w:sz="8" w:space="0" w:color="5F5F5F" w:themeColor="accent5"/>
          <w:left w:val="single" w:sz="8" w:space="0" w:color="5F5F5F" w:themeColor="accent5"/>
          <w:bottom w:val="single" w:sz="8" w:space="0" w:color="5F5F5F" w:themeColor="accent5"/>
          <w:right w:val="single" w:sz="8" w:space="0" w:color="5F5F5F" w:themeColor="accent5"/>
        </w:tcBorders>
      </w:tcPr>
    </w:tblStylePr>
  </w:style>
  <w:style w:type="table" w:styleId="Svetelseznampoudarek6">
    <w:name w:val="Light List Accent 6"/>
    <w:basedOn w:val="Navadnatabela"/>
    <w:uiPriority w:val="99"/>
    <w:semiHidden/>
    <w:rsid w:val="00014566"/>
    <w:rPr>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pPr>
        <w:spacing w:before="0" w:after="0" w:line="240" w:lineRule="auto"/>
      </w:pPr>
      <w:rPr>
        <w:b/>
        <w:bCs/>
        <w:color w:val="0072BC" w:themeColor="background1"/>
      </w:rPr>
      <w:tblPr/>
      <w:tcPr>
        <w:shd w:val="clear" w:color="auto" w:fill="4D4D4D" w:themeFill="accent6"/>
      </w:tcPr>
    </w:tblStylePr>
    <w:tblStylePr w:type="lastRow">
      <w:pPr>
        <w:spacing w:before="0" w:after="0" w:line="240" w:lineRule="auto"/>
      </w:pPr>
      <w:rPr>
        <w:b/>
        <w:bCs/>
      </w:rPr>
      <w:tblPr/>
      <w:tcPr>
        <w:tcBorders>
          <w:top w:val="double" w:sz="6" w:space="0" w:color="4D4D4D" w:themeColor="accent6"/>
          <w:left w:val="single" w:sz="8" w:space="0" w:color="4D4D4D" w:themeColor="accent6"/>
          <w:bottom w:val="single" w:sz="8" w:space="0" w:color="4D4D4D" w:themeColor="accent6"/>
          <w:right w:val="single" w:sz="8" w:space="0" w:color="4D4D4D" w:themeColor="accent6"/>
        </w:tcBorders>
      </w:tcPr>
    </w:tblStylePr>
    <w:tblStylePr w:type="firstCol">
      <w:rPr>
        <w:b/>
        <w:bCs/>
      </w:rPr>
    </w:tblStylePr>
    <w:tblStylePr w:type="lastCol">
      <w:rPr>
        <w:b/>
        <w:bCs/>
      </w:rPr>
    </w:tblStylePr>
    <w:tblStylePr w:type="band1Vert">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tblStylePr w:type="band1Horz">
      <w:tblPr/>
      <w:tcPr>
        <w:tcBorders>
          <w:top w:val="single" w:sz="8" w:space="0" w:color="4D4D4D" w:themeColor="accent6"/>
          <w:left w:val="single" w:sz="8" w:space="0" w:color="4D4D4D" w:themeColor="accent6"/>
          <w:bottom w:val="single" w:sz="8" w:space="0" w:color="4D4D4D" w:themeColor="accent6"/>
          <w:right w:val="single" w:sz="8" w:space="0" w:color="4D4D4D" w:themeColor="accent6"/>
        </w:tcBorders>
      </w:tcPr>
    </w:tblStylePr>
  </w:style>
  <w:style w:type="table" w:styleId="Svetlosenenje">
    <w:name w:val="Light Shading"/>
    <w:basedOn w:val="Navadnatabela"/>
    <w:uiPriority w:val="99"/>
    <w:semiHidden/>
    <w:rsid w:val="00014566"/>
    <w:rPr>
      <w:color w:val="000000" w:themeColor="text1" w:themeShade="BF"/>
      <w:lang w:val="fr-FR" w:eastAsia="fr-FR"/>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vetlosenenjepoudarek1">
    <w:name w:val="Light Shading Accent 1"/>
    <w:basedOn w:val="Navadnatabela"/>
    <w:uiPriority w:val="99"/>
    <w:semiHidden/>
    <w:rsid w:val="00014566"/>
    <w:rPr>
      <w:color w:val="00548C" w:themeColor="accent1" w:themeShade="BF"/>
      <w:lang w:val="fr-FR" w:eastAsia="fr-FR"/>
    </w:rPr>
    <w:tblPr>
      <w:tblStyleRowBandSize w:val="1"/>
      <w:tblStyleColBandSize w:val="1"/>
      <w:tblBorders>
        <w:top w:val="single" w:sz="8" w:space="0" w:color="0072BC" w:themeColor="accent1"/>
        <w:bottom w:val="single" w:sz="8" w:space="0" w:color="0072BC" w:themeColor="accent1"/>
      </w:tblBorders>
    </w:tblPr>
    <w:tblStylePr w:type="fir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lastRow">
      <w:pPr>
        <w:spacing w:before="0" w:after="0" w:line="240" w:lineRule="auto"/>
      </w:pPr>
      <w:rPr>
        <w:b/>
        <w:bCs/>
      </w:rPr>
      <w:tblPr/>
      <w:tcPr>
        <w:tcBorders>
          <w:top w:val="single" w:sz="8" w:space="0" w:color="0072BC" w:themeColor="accent1"/>
          <w:left w:val="nil"/>
          <w:bottom w:val="single" w:sz="8" w:space="0" w:color="0072BC"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left w:val="nil"/>
          <w:right w:val="nil"/>
          <w:insideH w:val="nil"/>
          <w:insideV w:val="nil"/>
        </w:tcBorders>
        <w:shd w:val="clear" w:color="auto" w:fill="AFDFFF" w:themeFill="accent1" w:themeFillTint="3F"/>
      </w:tcPr>
    </w:tblStylePr>
  </w:style>
  <w:style w:type="table" w:styleId="Svetlosenenjepoudarek2">
    <w:name w:val="Light Shading Accent 2"/>
    <w:basedOn w:val="Navadnatabela"/>
    <w:uiPriority w:val="99"/>
    <w:semiHidden/>
    <w:rsid w:val="00014566"/>
    <w:rPr>
      <w:color w:val="8F0000" w:themeColor="accent2" w:themeShade="BF"/>
      <w:lang w:val="fr-FR" w:eastAsia="fr-FR"/>
    </w:rPr>
    <w:tblPr>
      <w:tblStyleRowBandSize w:val="1"/>
      <w:tblStyleColBandSize w:val="1"/>
      <w:tblBorders>
        <w:top w:val="single" w:sz="8" w:space="0" w:color="C00000" w:themeColor="accent2"/>
        <w:bottom w:val="single" w:sz="8" w:space="0" w:color="C00000" w:themeColor="accent2"/>
      </w:tblBorders>
    </w:tblPr>
    <w:tblStylePr w:type="fir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lastRow">
      <w:pPr>
        <w:spacing w:before="0" w:after="0" w:line="240" w:lineRule="auto"/>
      </w:pPr>
      <w:rPr>
        <w:b/>
        <w:bCs/>
      </w:rPr>
      <w:tblPr/>
      <w:tcPr>
        <w:tcBorders>
          <w:top w:val="single" w:sz="8" w:space="0" w:color="C00000" w:themeColor="accent2"/>
          <w:left w:val="nil"/>
          <w:bottom w:val="single" w:sz="8" w:space="0" w:color="C00000"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left w:val="nil"/>
          <w:right w:val="nil"/>
          <w:insideH w:val="nil"/>
          <w:insideV w:val="nil"/>
        </w:tcBorders>
        <w:shd w:val="clear" w:color="auto" w:fill="FFB0B0" w:themeFill="accent2" w:themeFillTint="3F"/>
      </w:tcPr>
    </w:tblStylePr>
  </w:style>
  <w:style w:type="table" w:styleId="Svetlosenenjepoudarek3">
    <w:name w:val="Light Shading Accent 3"/>
    <w:basedOn w:val="Navadnatabela"/>
    <w:uiPriority w:val="99"/>
    <w:semiHidden/>
    <w:rsid w:val="00014566"/>
    <w:rPr>
      <w:color w:val="474747" w:themeColor="accent3" w:themeShade="BF"/>
      <w:lang w:val="fr-FR" w:eastAsia="fr-FR"/>
    </w:rPr>
    <w:tblPr>
      <w:tblStyleRowBandSize w:val="1"/>
      <w:tblStyleColBandSize w:val="1"/>
      <w:tblBorders>
        <w:top w:val="single" w:sz="8" w:space="0" w:color="5F5F5F" w:themeColor="accent3"/>
        <w:bottom w:val="single" w:sz="8" w:space="0" w:color="5F5F5F" w:themeColor="accent3"/>
      </w:tblBorders>
    </w:tblPr>
    <w:tblStylePr w:type="fir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lastRow">
      <w:pPr>
        <w:spacing w:before="0" w:after="0" w:line="240" w:lineRule="auto"/>
      </w:pPr>
      <w:rPr>
        <w:b/>
        <w:bCs/>
      </w:rPr>
      <w:tblPr/>
      <w:tcPr>
        <w:tcBorders>
          <w:top w:val="single" w:sz="8" w:space="0" w:color="5F5F5F" w:themeColor="accent3"/>
          <w:left w:val="nil"/>
          <w:bottom w:val="single" w:sz="8" w:space="0" w:color="5F5F5F"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left w:val="nil"/>
          <w:right w:val="nil"/>
          <w:insideH w:val="nil"/>
          <w:insideV w:val="nil"/>
        </w:tcBorders>
        <w:shd w:val="clear" w:color="auto" w:fill="D7D7D7" w:themeFill="accent3" w:themeFillTint="3F"/>
      </w:tcPr>
    </w:tblStylePr>
  </w:style>
  <w:style w:type="table" w:styleId="Svetlosenenjepoudarek4">
    <w:name w:val="Light Shading Accent 4"/>
    <w:basedOn w:val="Navadnatabela"/>
    <w:uiPriority w:val="99"/>
    <w:semiHidden/>
    <w:rsid w:val="00014566"/>
    <w:rPr>
      <w:color w:val="707070" w:themeColor="accent4" w:themeShade="BF"/>
      <w:lang w:val="fr-FR" w:eastAsia="fr-FR"/>
    </w:rPr>
    <w:tblPr>
      <w:tblStyleRowBandSize w:val="1"/>
      <w:tblStyleColBandSize w:val="1"/>
      <w:tblBorders>
        <w:top w:val="single" w:sz="8" w:space="0" w:color="969696" w:themeColor="accent4"/>
        <w:bottom w:val="single" w:sz="8" w:space="0" w:color="969696" w:themeColor="accent4"/>
      </w:tblBorders>
    </w:tblPr>
    <w:tblStylePr w:type="fir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lastRow">
      <w:pPr>
        <w:spacing w:before="0" w:after="0" w:line="240" w:lineRule="auto"/>
      </w:pPr>
      <w:rPr>
        <w:b/>
        <w:bCs/>
      </w:rPr>
      <w:tblPr/>
      <w:tcPr>
        <w:tcBorders>
          <w:top w:val="single" w:sz="8" w:space="0" w:color="969696" w:themeColor="accent4"/>
          <w:left w:val="nil"/>
          <w:bottom w:val="single" w:sz="8" w:space="0" w:color="969696"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left w:val="nil"/>
          <w:right w:val="nil"/>
          <w:insideH w:val="nil"/>
          <w:insideV w:val="nil"/>
        </w:tcBorders>
        <w:shd w:val="clear" w:color="auto" w:fill="E5E5E5" w:themeFill="accent4" w:themeFillTint="3F"/>
      </w:tcPr>
    </w:tblStylePr>
  </w:style>
  <w:style w:type="table" w:styleId="Svetlosenenjepoudarek5">
    <w:name w:val="Light Shading Accent 5"/>
    <w:basedOn w:val="Navadnatabela"/>
    <w:uiPriority w:val="99"/>
    <w:semiHidden/>
    <w:rsid w:val="00014566"/>
    <w:rPr>
      <w:color w:val="474747" w:themeColor="accent5" w:themeShade="BF"/>
      <w:lang w:val="fr-FR" w:eastAsia="fr-FR"/>
    </w:rPr>
    <w:tblPr>
      <w:tblStyleRowBandSize w:val="1"/>
      <w:tblStyleColBandSize w:val="1"/>
      <w:tblBorders>
        <w:top w:val="single" w:sz="8" w:space="0" w:color="5F5F5F" w:themeColor="accent5"/>
        <w:bottom w:val="single" w:sz="8" w:space="0" w:color="5F5F5F" w:themeColor="accent5"/>
      </w:tblBorders>
    </w:tblPr>
    <w:tblStylePr w:type="fir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lastRow">
      <w:pPr>
        <w:spacing w:before="0" w:after="0" w:line="240" w:lineRule="auto"/>
      </w:pPr>
      <w:rPr>
        <w:b/>
        <w:bCs/>
      </w:rPr>
      <w:tblPr/>
      <w:tcPr>
        <w:tcBorders>
          <w:top w:val="single" w:sz="8" w:space="0" w:color="5F5F5F" w:themeColor="accent5"/>
          <w:left w:val="nil"/>
          <w:bottom w:val="single" w:sz="8" w:space="0" w:color="5F5F5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left w:val="nil"/>
          <w:right w:val="nil"/>
          <w:insideH w:val="nil"/>
          <w:insideV w:val="nil"/>
        </w:tcBorders>
        <w:shd w:val="clear" w:color="auto" w:fill="D7D7D7" w:themeFill="accent5" w:themeFillTint="3F"/>
      </w:tcPr>
    </w:tblStylePr>
  </w:style>
  <w:style w:type="table" w:styleId="Svetlosenenjepoudarek6">
    <w:name w:val="Light Shading Accent 6"/>
    <w:basedOn w:val="Navadnatabela"/>
    <w:uiPriority w:val="99"/>
    <w:semiHidden/>
    <w:rsid w:val="00014566"/>
    <w:rPr>
      <w:color w:val="393939" w:themeColor="accent6" w:themeShade="BF"/>
      <w:lang w:val="fr-FR" w:eastAsia="fr-FR"/>
    </w:rPr>
    <w:tblPr>
      <w:tblStyleRowBandSize w:val="1"/>
      <w:tblStyleColBandSize w:val="1"/>
      <w:tblBorders>
        <w:top w:val="single" w:sz="8" w:space="0" w:color="4D4D4D" w:themeColor="accent6"/>
        <w:bottom w:val="single" w:sz="8" w:space="0" w:color="4D4D4D" w:themeColor="accent6"/>
      </w:tblBorders>
    </w:tblPr>
    <w:tblStylePr w:type="fir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lastRow">
      <w:pPr>
        <w:spacing w:before="0" w:after="0" w:line="240" w:lineRule="auto"/>
      </w:pPr>
      <w:rPr>
        <w:b/>
        <w:bCs/>
      </w:rPr>
      <w:tblPr/>
      <w:tcPr>
        <w:tcBorders>
          <w:top w:val="single" w:sz="8" w:space="0" w:color="4D4D4D" w:themeColor="accent6"/>
          <w:left w:val="nil"/>
          <w:bottom w:val="single" w:sz="8" w:space="0" w:color="4D4D4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left w:val="nil"/>
          <w:right w:val="nil"/>
          <w:insideH w:val="nil"/>
          <w:insideV w:val="nil"/>
        </w:tcBorders>
        <w:shd w:val="clear" w:color="auto" w:fill="D3D3D3" w:themeFill="accent6" w:themeFillTint="3F"/>
      </w:tcPr>
    </w:tblStylePr>
  </w:style>
  <w:style w:type="character" w:styleId="tevilkavrstice">
    <w:name w:val="line number"/>
    <w:basedOn w:val="Privzetapisavaodstavka"/>
    <w:uiPriority w:val="99"/>
    <w:semiHidden/>
    <w:rsid w:val="00014566"/>
  </w:style>
  <w:style w:type="paragraph" w:styleId="Seznam">
    <w:name w:val="List"/>
    <w:basedOn w:val="Navaden"/>
    <w:uiPriority w:val="99"/>
    <w:semiHidden/>
    <w:rsid w:val="00014566"/>
    <w:pPr>
      <w:ind w:left="283" w:hanging="283"/>
      <w:contextualSpacing/>
    </w:pPr>
  </w:style>
  <w:style w:type="paragraph" w:styleId="Seznam2">
    <w:name w:val="List 2"/>
    <w:basedOn w:val="Navaden"/>
    <w:uiPriority w:val="99"/>
    <w:semiHidden/>
    <w:rsid w:val="00014566"/>
    <w:pPr>
      <w:ind w:left="566" w:hanging="283"/>
      <w:contextualSpacing/>
    </w:pPr>
  </w:style>
  <w:style w:type="paragraph" w:styleId="Seznam3">
    <w:name w:val="List 3"/>
    <w:basedOn w:val="Navaden"/>
    <w:uiPriority w:val="99"/>
    <w:semiHidden/>
    <w:rsid w:val="00014566"/>
    <w:pPr>
      <w:ind w:left="849" w:hanging="283"/>
      <w:contextualSpacing/>
    </w:pPr>
  </w:style>
  <w:style w:type="paragraph" w:styleId="Seznam4">
    <w:name w:val="List 4"/>
    <w:basedOn w:val="Navaden"/>
    <w:uiPriority w:val="99"/>
    <w:semiHidden/>
    <w:rsid w:val="00014566"/>
    <w:pPr>
      <w:ind w:left="1132" w:hanging="283"/>
      <w:contextualSpacing/>
    </w:pPr>
  </w:style>
  <w:style w:type="paragraph" w:styleId="Seznam5">
    <w:name w:val="List 5"/>
    <w:basedOn w:val="Navaden"/>
    <w:uiPriority w:val="99"/>
    <w:semiHidden/>
    <w:rsid w:val="00014566"/>
    <w:pPr>
      <w:ind w:left="1415" w:hanging="283"/>
      <w:contextualSpacing/>
    </w:pPr>
  </w:style>
  <w:style w:type="paragraph" w:styleId="Oznaenseznam2">
    <w:name w:val="List Bullet 2"/>
    <w:basedOn w:val="Navaden"/>
    <w:uiPriority w:val="99"/>
    <w:semiHidden/>
    <w:rsid w:val="00014566"/>
    <w:pPr>
      <w:numPr>
        <w:numId w:val="5"/>
      </w:numPr>
      <w:contextualSpacing/>
    </w:pPr>
  </w:style>
  <w:style w:type="paragraph" w:styleId="Oznaenseznam3">
    <w:name w:val="List Bullet 3"/>
    <w:basedOn w:val="Navaden"/>
    <w:uiPriority w:val="99"/>
    <w:semiHidden/>
    <w:rsid w:val="00014566"/>
    <w:pPr>
      <w:numPr>
        <w:numId w:val="6"/>
      </w:numPr>
      <w:contextualSpacing/>
    </w:pPr>
  </w:style>
  <w:style w:type="paragraph" w:styleId="Oznaenseznam4">
    <w:name w:val="List Bullet 4"/>
    <w:basedOn w:val="Navaden"/>
    <w:uiPriority w:val="99"/>
    <w:semiHidden/>
    <w:rsid w:val="00014566"/>
    <w:pPr>
      <w:numPr>
        <w:numId w:val="7"/>
      </w:numPr>
      <w:contextualSpacing/>
    </w:pPr>
  </w:style>
  <w:style w:type="paragraph" w:styleId="Oznaenseznam5">
    <w:name w:val="List Bullet 5"/>
    <w:basedOn w:val="Navaden"/>
    <w:uiPriority w:val="99"/>
    <w:semiHidden/>
    <w:rsid w:val="00014566"/>
    <w:pPr>
      <w:numPr>
        <w:numId w:val="8"/>
      </w:numPr>
      <w:contextualSpacing/>
    </w:pPr>
  </w:style>
  <w:style w:type="paragraph" w:styleId="Seznam-nadaljevanje">
    <w:name w:val="List Continue"/>
    <w:basedOn w:val="Navaden"/>
    <w:uiPriority w:val="99"/>
    <w:semiHidden/>
    <w:rsid w:val="00014566"/>
    <w:pPr>
      <w:spacing w:after="120"/>
      <w:ind w:left="283"/>
      <w:contextualSpacing/>
    </w:pPr>
  </w:style>
  <w:style w:type="paragraph" w:styleId="Seznam-nadaljevanje2">
    <w:name w:val="List Continue 2"/>
    <w:basedOn w:val="Navaden"/>
    <w:uiPriority w:val="99"/>
    <w:semiHidden/>
    <w:rsid w:val="00014566"/>
    <w:pPr>
      <w:spacing w:after="120"/>
      <w:ind w:left="566"/>
      <w:contextualSpacing/>
    </w:pPr>
  </w:style>
  <w:style w:type="paragraph" w:styleId="Seznam-nadaljevanje3">
    <w:name w:val="List Continue 3"/>
    <w:basedOn w:val="Navaden"/>
    <w:uiPriority w:val="99"/>
    <w:semiHidden/>
    <w:rsid w:val="00014566"/>
    <w:pPr>
      <w:spacing w:after="120"/>
      <w:ind w:left="849"/>
      <w:contextualSpacing/>
    </w:pPr>
  </w:style>
  <w:style w:type="paragraph" w:styleId="Seznam-nadaljevanje4">
    <w:name w:val="List Continue 4"/>
    <w:basedOn w:val="Navaden"/>
    <w:uiPriority w:val="99"/>
    <w:semiHidden/>
    <w:rsid w:val="00014566"/>
    <w:pPr>
      <w:spacing w:after="120"/>
      <w:ind w:left="1132"/>
      <w:contextualSpacing/>
    </w:pPr>
  </w:style>
  <w:style w:type="paragraph" w:styleId="Seznam-nadaljevanje5">
    <w:name w:val="List Continue 5"/>
    <w:basedOn w:val="Navaden"/>
    <w:uiPriority w:val="99"/>
    <w:semiHidden/>
    <w:rsid w:val="00014566"/>
    <w:pPr>
      <w:spacing w:after="120"/>
      <w:ind w:left="1415"/>
      <w:contextualSpacing/>
    </w:pPr>
  </w:style>
  <w:style w:type="paragraph" w:styleId="Otevilenseznam">
    <w:name w:val="List Number"/>
    <w:basedOn w:val="Navaden"/>
    <w:uiPriority w:val="99"/>
    <w:semiHidden/>
    <w:rsid w:val="00014566"/>
    <w:pPr>
      <w:numPr>
        <w:numId w:val="9"/>
      </w:numPr>
      <w:contextualSpacing/>
    </w:pPr>
  </w:style>
  <w:style w:type="paragraph" w:styleId="Otevilenseznam2">
    <w:name w:val="List Number 2"/>
    <w:basedOn w:val="Navaden"/>
    <w:uiPriority w:val="99"/>
    <w:semiHidden/>
    <w:rsid w:val="00014566"/>
    <w:pPr>
      <w:numPr>
        <w:numId w:val="10"/>
      </w:numPr>
      <w:contextualSpacing/>
    </w:pPr>
  </w:style>
  <w:style w:type="paragraph" w:styleId="Otevilenseznam3">
    <w:name w:val="List Number 3"/>
    <w:basedOn w:val="Navaden"/>
    <w:uiPriority w:val="99"/>
    <w:semiHidden/>
    <w:rsid w:val="00014566"/>
    <w:pPr>
      <w:numPr>
        <w:numId w:val="11"/>
      </w:numPr>
      <w:contextualSpacing/>
    </w:pPr>
  </w:style>
  <w:style w:type="paragraph" w:styleId="Otevilenseznam4">
    <w:name w:val="List Number 4"/>
    <w:basedOn w:val="Navaden"/>
    <w:uiPriority w:val="99"/>
    <w:semiHidden/>
    <w:rsid w:val="00014566"/>
    <w:pPr>
      <w:numPr>
        <w:numId w:val="12"/>
      </w:numPr>
      <w:contextualSpacing/>
    </w:pPr>
  </w:style>
  <w:style w:type="paragraph" w:styleId="Otevilenseznam5">
    <w:name w:val="List Number 5"/>
    <w:basedOn w:val="Navaden"/>
    <w:uiPriority w:val="99"/>
    <w:semiHidden/>
    <w:rsid w:val="00014566"/>
    <w:pPr>
      <w:numPr>
        <w:numId w:val="13"/>
      </w:numPr>
      <w:contextualSpacing/>
    </w:pPr>
  </w:style>
  <w:style w:type="paragraph" w:styleId="Makrobesedilo">
    <w:name w:val="macro"/>
    <w:link w:val="MakrobesediloZnak"/>
    <w:uiPriority w:val="99"/>
    <w:semiHidden/>
    <w:rsid w:val="00014566"/>
    <w:pPr>
      <w:tabs>
        <w:tab w:val="left" w:pos="480"/>
        <w:tab w:val="left" w:pos="960"/>
        <w:tab w:val="left" w:pos="1440"/>
        <w:tab w:val="left" w:pos="1920"/>
        <w:tab w:val="left" w:pos="2400"/>
        <w:tab w:val="left" w:pos="2880"/>
        <w:tab w:val="left" w:pos="3360"/>
        <w:tab w:val="left" w:pos="3840"/>
        <w:tab w:val="left" w:pos="4320"/>
      </w:tabs>
      <w:suppressAutoHyphens/>
    </w:pPr>
    <w:rPr>
      <w:rFonts w:ascii="Consolas" w:hAnsi="Consolas" w:cs="Consolas"/>
      <w:sz w:val="20"/>
      <w:szCs w:val="20"/>
      <w:lang w:val="en-GB" w:eastAsia="fr-FR"/>
    </w:rPr>
  </w:style>
  <w:style w:type="character" w:customStyle="1" w:styleId="MakrobesediloZnak">
    <w:name w:val="Makro besedilo Znak"/>
    <w:basedOn w:val="Privzetapisavaodstavka"/>
    <w:link w:val="Makrobesedilo"/>
    <w:uiPriority w:val="99"/>
    <w:semiHidden/>
    <w:rsid w:val="00014566"/>
    <w:rPr>
      <w:rFonts w:ascii="Consolas" w:hAnsi="Consolas" w:cs="Consolas"/>
      <w:sz w:val="20"/>
      <w:szCs w:val="20"/>
      <w:lang w:val="en-GB" w:eastAsia="fr-FR"/>
    </w:rPr>
  </w:style>
  <w:style w:type="table" w:styleId="Srednjamrea1">
    <w:name w:val="Medium Grid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Srednjamrea1poudarek1">
    <w:name w:val="Medium Grid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insideV w:val="single" w:sz="8" w:space="0" w:color="0D9FFF" w:themeColor="accent1" w:themeTint="BF"/>
      </w:tblBorders>
    </w:tblPr>
    <w:tcPr>
      <w:shd w:val="clear" w:color="auto" w:fill="AFDFFF" w:themeFill="accent1" w:themeFillTint="3F"/>
    </w:tcPr>
    <w:tblStylePr w:type="firstRow">
      <w:rPr>
        <w:b/>
        <w:bCs/>
      </w:rPr>
    </w:tblStylePr>
    <w:tblStylePr w:type="lastRow">
      <w:rPr>
        <w:b/>
        <w:bCs/>
      </w:rPr>
      <w:tblPr/>
      <w:tcPr>
        <w:tcBorders>
          <w:top w:val="single" w:sz="18" w:space="0" w:color="0D9FFF" w:themeColor="accent1" w:themeTint="BF"/>
        </w:tcBorders>
      </w:tcPr>
    </w:tblStylePr>
    <w:tblStylePr w:type="firstCol">
      <w:rPr>
        <w:b/>
        <w:bCs/>
      </w:rPr>
    </w:tblStylePr>
    <w:tblStylePr w:type="lastCol">
      <w:rPr>
        <w:b/>
        <w:bCs/>
      </w:rPr>
    </w:tblStylePr>
    <w:tblStylePr w:type="band1Vert">
      <w:tblPr/>
      <w:tcPr>
        <w:shd w:val="clear" w:color="auto" w:fill="5EBFFF" w:themeFill="accent1" w:themeFillTint="7F"/>
      </w:tcPr>
    </w:tblStylePr>
    <w:tblStylePr w:type="band1Horz">
      <w:tblPr/>
      <w:tcPr>
        <w:shd w:val="clear" w:color="auto" w:fill="5EBFFF" w:themeFill="accent1" w:themeFillTint="7F"/>
      </w:tcPr>
    </w:tblStylePr>
  </w:style>
  <w:style w:type="table" w:styleId="Srednjamrea1poudarek2">
    <w:name w:val="Medium Grid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insideV w:val="single" w:sz="8" w:space="0" w:color="FF1010" w:themeColor="accent2" w:themeTint="BF"/>
      </w:tblBorders>
    </w:tblPr>
    <w:tcPr>
      <w:shd w:val="clear" w:color="auto" w:fill="FFB0B0" w:themeFill="accent2" w:themeFillTint="3F"/>
    </w:tcPr>
    <w:tblStylePr w:type="firstRow">
      <w:rPr>
        <w:b/>
        <w:bCs/>
      </w:rPr>
    </w:tblStylePr>
    <w:tblStylePr w:type="lastRow">
      <w:rPr>
        <w:b/>
        <w:bCs/>
      </w:rPr>
      <w:tblPr/>
      <w:tcPr>
        <w:tcBorders>
          <w:top w:val="single" w:sz="18" w:space="0" w:color="FF1010" w:themeColor="accent2" w:themeTint="BF"/>
        </w:tcBorders>
      </w:tcPr>
    </w:tblStylePr>
    <w:tblStylePr w:type="firstCol">
      <w:rPr>
        <w:b/>
        <w:bCs/>
      </w:rPr>
    </w:tblStylePr>
    <w:tblStylePr w:type="lastCol">
      <w:rPr>
        <w:b/>
        <w:bCs/>
      </w:rPr>
    </w:tblStylePr>
    <w:tblStylePr w:type="band1Vert">
      <w:tblPr/>
      <w:tcPr>
        <w:shd w:val="clear" w:color="auto" w:fill="FF6060" w:themeFill="accent2" w:themeFillTint="7F"/>
      </w:tcPr>
    </w:tblStylePr>
    <w:tblStylePr w:type="band1Horz">
      <w:tblPr/>
      <w:tcPr>
        <w:shd w:val="clear" w:color="auto" w:fill="FF6060" w:themeFill="accent2" w:themeFillTint="7F"/>
      </w:tcPr>
    </w:tblStylePr>
  </w:style>
  <w:style w:type="table" w:styleId="Srednjamrea1poudarek3">
    <w:name w:val="Medium Grid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insideV w:val="single" w:sz="8" w:space="0" w:color="878787" w:themeColor="accent3" w:themeTint="BF"/>
      </w:tblBorders>
    </w:tblPr>
    <w:tcPr>
      <w:shd w:val="clear" w:color="auto" w:fill="D7D7D7" w:themeFill="accent3" w:themeFillTint="3F"/>
    </w:tcPr>
    <w:tblStylePr w:type="firstRow">
      <w:rPr>
        <w:b/>
        <w:bCs/>
      </w:rPr>
    </w:tblStylePr>
    <w:tblStylePr w:type="lastRow">
      <w:rPr>
        <w:b/>
        <w:bCs/>
      </w:rPr>
      <w:tblPr/>
      <w:tcPr>
        <w:tcBorders>
          <w:top w:val="single" w:sz="18" w:space="0" w:color="878787" w:themeColor="accent3" w:themeTint="BF"/>
        </w:tcBorders>
      </w:tcPr>
    </w:tblStylePr>
    <w:tblStylePr w:type="firstCol">
      <w:rPr>
        <w:b/>
        <w:bCs/>
      </w:rPr>
    </w:tblStylePr>
    <w:tblStylePr w:type="lastCol">
      <w:rPr>
        <w:b/>
        <w:bCs/>
      </w:rPr>
    </w:tblStylePr>
    <w:tblStylePr w:type="band1Vert">
      <w:tblPr/>
      <w:tcPr>
        <w:shd w:val="clear" w:color="auto" w:fill="AFAFAF" w:themeFill="accent3" w:themeFillTint="7F"/>
      </w:tcPr>
    </w:tblStylePr>
    <w:tblStylePr w:type="band1Horz">
      <w:tblPr/>
      <w:tcPr>
        <w:shd w:val="clear" w:color="auto" w:fill="AFAFAF" w:themeFill="accent3" w:themeFillTint="7F"/>
      </w:tcPr>
    </w:tblStylePr>
  </w:style>
  <w:style w:type="table" w:styleId="Srednjamrea1poudarek4">
    <w:name w:val="Medium Grid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insideV w:val="single" w:sz="8" w:space="0" w:color="B0B0B0" w:themeColor="accent4" w:themeTint="BF"/>
      </w:tblBorders>
    </w:tblPr>
    <w:tcPr>
      <w:shd w:val="clear" w:color="auto" w:fill="E5E5E5" w:themeFill="accent4" w:themeFillTint="3F"/>
    </w:tcPr>
    <w:tblStylePr w:type="firstRow">
      <w:rPr>
        <w:b/>
        <w:bCs/>
      </w:rPr>
    </w:tblStylePr>
    <w:tblStylePr w:type="lastRow">
      <w:rPr>
        <w:b/>
        <w:bCs/>
      </w:rPr>
      <w:tblPr/>
      <w:tcPr>
        <w:tcBorders>
          <w:top w:val="single" w:sz="18" w:space="0" w:color="B0B0B0" w:themeColor="accent4" w:themeTint="BF"/>
        </w:tcBorders>
      </w:tcPr>
    </w:tblStylePr>
    <w:tblStylePr w:type="firstCol">
      <w:rPr>
        <w:b/>
        <w:bCs/>
      </w:rPr>
    </w:tblStylePr>
    <w:tblStylePr w:type="lastCol">
      <w:rPr>
        <w:b/>
        <w:bCs/>
      </w:rPr>
    </w:tblStylePr>
    <w:tblStylePr w:type="band1Vert">
      <w:tblPr/>
      <w:tcPr>
        <w:shd w:val="clear" w:color="auto" w:fill="CACACA" w:themeFill="accent4" w:themeFillTint="7F"/>
      </w:tcPr>
    </w:tblStylePr>
    <w:tblStylePr w:type="band1Horz">
      <w:tblPr/>
      <w:tcPr>
        <w:shd w:val="clear" w:color="auto" w:fill="CACACA" w:themeFill="accent4" w:themeFillTint="7F"/>
      </w:tcPr>
    </w:tblStylePr>
  </w:style>
  <w:style w:type="table" w:styleId="Srednjamrea1poudarek5">
    <w:name w:val="Medium Grid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insideV w:val="single" w:sz="8" w:space="0" w:color="878787" w:themeColor="accent5" w:themeTint="BF"/>
      </w:tblBorders>
    </w:tblPr>
    <w:tcPr>
      <w:shd w:val="clear" w:color="auto" w:fill="D7D7D7" w:themeFill="accent5" w:themeFillTint="3F"/>
    </w:tcPr>
    <w:tblStylePr w:type="firstRow">
      <w:rPr>
        <w:b/>
        <w:bCs/>
      </w:rPr>
    </w:tblStylePr>
    <w:tblStylePr w:type="lastRow">
      <w:rPr>
        <w:b/>
        <w:bCs/>
      </w:rPr>
      <w:tblPr/>
      <w:tcPr>
        <w:tcBorders>
          <w:top w:val="single" w:sz="18" w:space="0" w:color="878787" w:themeColor="accent5" w:themeTint="BF"/>
        </w:tcBorders>
      </w:tcPr>
    </w:tblStylePr>
    <w:tblStylePr w:type="firstCol">
      <w:rPr>
        <w:b/>
        <w:bCs/>
      </w:rPr>
    </w:tblStylePr>
    <w:tblStylePr w:type="lastCol">
      <w:rPr>
        <w:b/>
        <w:bCs/>
      </w:rPr>
    </w:tblStylePr>
    <w:tblStylePr w:type="band1Vert">
      <w:tblPr/>
      <w:tcPr>
        <w:shd w:val="clear" w:color="auto" w:fill="AFAFAF" w:themeFill="accent5" w:themeFillTint="7F"/>
      </w:tcPr>
    </w:tblStylePr>
    <w:tblStylePr w:type="band1Horz">
      <w:tblPr/>
      <w:tcPr>
        <w:shd w:val="clear" w:color="auto" w:fill="AFAFAF" w:themeFill="accent5" w:themeFillTint="7F"/>
      </w:tcPr>
    </w:tblStylePr>
  </w:style>
  <w:style w:type="table" w:styleId="Srednjamrea1poudarek6">
    <w:name w:val="Medium Grid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insideV w:val="single" w:sz="8" w:space="0" w:color="797979" w:themeColor="accent6" w:themeTint="BF"/>
      </w:tblBorders>
    </w:tblPr>
    <w:tcPr>
      <w:shd w:val="clear" w:color="auto" w:fill="D3D3D3" w:themeFill="accent6" w:themeFillTint="3F"/>
    </w:tcPr>
    <w:tblStylePr w:type="firstRow">
      <w:rPr>
        <w:b/>
        <w:bCs/>
      </w:rPr>
    </w:tblStylePr>
    <w:tblStylePr w:type="lastRow">
      <w:rPr>
        <w:b/>
        <w:bCs/>
      </w:rPr>
      <w:tblPr/>
      <w:tcPr>
        <w:tcBorders>
          <w:top w:val="single" w:sz="18" w:space="0" w:color="797979" w:themeColor="accent6" w:themeTint="BF"/>
        </w:tcBorders>
      </w:tcPr>
    </w:tblStylePr>
    <w:tblStylePr w:type="firstCol">
      <w:rPr>
        <w:b/>
        <w:bCs/>
      </w:rPr>
    </w:tblStylePr>
    <w:tblStylePr w:type="lastCol">
      <w:rPr>
        <w:b/>
        <w:bCs/>
      </w:rPr>
    </w:tblStylePr>
    <w:tblStylePr w:type="band1Vert">
      <w:tblPr/>
      <w:tcPr>
        <w:shd w:val="clear" w:color="auto" w:fill="A6A6A6" w:themeFill="accent6" w:themeFillTint="7F"/>
      </w:tcPr>
    </w:tblStylePr>
    <w:tblStylePr w:type="band1Horz">
      <w:tblPr/>
      <w:tcPr>
        <w:shd w:val="clear" w:color="auto" w:fill="A6A6A6" w:themeFill="accent6" w:themeFillTint="7F"/>
      </w:tcPr>
    </w:tblStylePr>
  </w:style>
  <w:style w:type="table" w:styleId="Srednjamrea2">
    <w:name w:val="Medium Grid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0072BC" w:themeFill="background1"/>
      </w:tcPr>
    </w:tblStylePr>
  </w:style>
  <w:style w:type="table" w:styleId="Srednjamrea2poudarek1">
    <w:name w:val="Medium Grid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insideH w:val="single" w:sz="8" w:space="0" w:color="0072BC" w:themeColor="accent1"/>
        <w:insideV w:val="single" w:sz="8" w:space="0" w:color="0072BC" w:themeColor="accent1"/>
      </w:tblBorders>
    </w:tblPr>
    <w:tcPr>
      <w:shd w:val="clear" w:color="auto" w:fill="AFDFFF" w:themeFill="accent1" w:themeFillTint="3F"/>
    </w:tcPr>
    <w:tblStylePr w:type="firstRow">
      <w:rPr>
        <w:b/>
        <w:bCs/>
        <w:color w:val="000000" w:themeColor="text1"/>
      </w:rPr>
      <w:tblPr/>
      <w:tcPr>
        <w:shd w:val="clear" w:color="auto" w:fill="DFF2FF"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BEE5FF" w:themeFill="accent1" w:themeFillTint="33"/>
      </w:tcPr>
    </w:tblStylePr>
    <w:tblStylePr w:type="band1Vert">
      <w:tblPr/>
      <w:tcPr>
        <w:shd w:val="clear" w:color="auto" w:fill="5EBFFF" w:themeFill="accent1" w:themeFillTint="7F"/>
      </w:tcPr>
    </w:tblStylePr>
    <w:tblStylePr w:type="band1Horz">
      <w:tblPr/>
      <w:tcPr>
        <w:tcBorders>
          <w:insideH w:val="single" w:sz="6" w:space="0" w:color="0072BC" w:themeColor="accent1"/>
          <w:insideV w:val="single" w:sz="6" w:space="0" w:color="0072BC" w:themeColor="accent1"/>
        </w:tcBorders>
        <w:shd w:val="clear" w:color="auto" w:fill="5EBFFF" w:themeFill="accent1" w:themeFillTint="7F"/>
      </w:tcPr>
    </w:tblStylePr>
    <w:tblStylePr w:type="nwCell">
      <w:tblPr/>
      <w:tcPr>
        <w:shd w:val="clear" w:color="auto" w:fill="0072BC" w:themeFill="background1"/>
      </w:tcPr>
    </w:tblStylePr>
  </w:style>
  <w:style w:type="table" w:styleId="Srednjamrea2poudarek2">
    <w:name w:val="Medium Grid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insideH w:val="single" w:sz="8" w:space="0" w:color="C00000" w:themeColor="accent2"/>
        <w:insideV w:val="single" w:sz="8" w:space="0" w:color="C00000" w:themeColor="accent2"/>
      </w:tblBorders>
    </w:tblPr>
    <w:tcPr>
      <w:shd w:val="clear" w:color="auto" w:fill="FFB0B0" w:themeFill="accent2" w:themeFillTint="3F"/>
    </w:tcPr>
    <w:tblStylePr w:type="firstRow">
      <w:rPr>
        <w:b/>
        <w:bCs/>
        <w:color w:val="000000" w:themeColor="text1"/>
      </w:rPr>
      <w:tblPr/>
      <w:tcPr>
        <w:shd w:val="clear" w:color="auto" w:fill="FFDFD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BFBF" w:themeFill="accent2" w:themeFillTint="33"/>
      </w:tcPr>
    </w:tblStylePr>
    <w:tblStylePr w:type="band1Vert">
      <w:tblPr/>
      <w:tcPr>
        <w:shd w:val="clear" w:color="auto" w:fill="FF6060" w:themeFill="accent2" w:themeFillTint="7F"/>
      </w:tcPr>
    </w:tblStylePr>
    <w:tblStylePr w:type="band1Horz">
      <w:tblPr/>
      <w:tcPr>
        <w:tcBorders>
          <w:insideH w:val="single" w:sz="6" w:space="0" w:color="C00000" w:themeColor="accent2"/>
          <w:insideV w:val="single" w:sz="6" w:space="0" w:color="C00000" w:themeColor="accent2"/>
        </w:tcBorders>
        <w:shd w:val="clear" w:color="auto" w:fill="FF6060" w:themeFill="accent2" w:themeFillTint="7F"/>
      </w:tcPr>
    </w:tblStylePr>
    <w:tblStylePr w:type="nwCell">
      <w:tblPr/>
      <w:tcPr>
        <w:shd w:val="clear" w:color="auto" w:fill="0072BC" w:themeFill="background1"/>
      </w:tcPr>
    </w:tblStylePr>
  </w:style>
  <w:style w:type="table" w:styleId="Srednjamrea2poudarek3">
    <w:name w:val="Medium Grid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insideH w:val="single" w:sz="8" w:space="0" w:color="5F5F5F" w:themeColor="accent3"/>
        <w:insideV w:val="single" w:sz="8" w:space="0" w:color="5F5F5F" w:themeColor="accent3"/>
      </w:tblBorders>
    </w:tblPr>
    <w:tcPr>
      <w:shd w:val="clear" w:color="auto" w:fill="D7D7D7" w:themeFill="accent3" w:themeFillTint="3F"/>
    </w:tcPr>
    <w:tblStylePr w:type="firstRow">
      <w:rPr>
        <w:b/>
        <w:bCs/>
        <w:color w:val="000000" w:themeColor="text1"/>
      </w:rPr>
      <w:tblPr/>
      <w:tcPr>
        <w:shd w:val="clear" w:color="auto" w:fill="EFEFEF"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3" w:themeFillTint="33"/>
      </w:tcPr>
    </w:tblStylePr>
    <w:tblStylePr w:type="band1Vert">
      <w:tblPr/>
      <w:tcPr>
        <w:shd w:val="clear" w:color="auto" w:fill="AFAFAF" w:themeFill="accent3" w:themeFillTint="7F"/>
      </w:tcPr>
    </w:tblStylePr>
    <w:tblStylePr w:type="band1Horz">
      <w:tblPr/>
      <w:tcPr>
        <w:tcBorders>
          <w:insideH w:val="single" w:sz="6" w:space="0" w:color="5F5F5F" w:themeColor="accent3"/>
          <w:insideV w:val="single" w:sz="6" w:space="0" w:color="5F5F5F" w:themeColor="accent3"/>
        </w:tcBorders>
        <w:shd w:val="clear" w:color="auto" w:fill="AFAFAF" w:themeFill="accent3" w:themeFillTint="7F"/>
      </w:tcPr>
    </w:tblStylePr>
    <w:tblStylePr w:type="nwCell">
      <w:tblPr/>
      <w:tcPr>
        <w:shd w:val="clear" w:color="auto" w:fill="0072BC" w:themeFill="background1"/>
      </w:tcPr>
    </w:tblStylePr>
  </w:style>
  <w:style w:type="table" w:styleId="Srednjamrea2poudarek4">
    <w:name w:val="Medium Grid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insideH w:val="single" w:sz="8" w:space="0" w:color="969696" w:themeColor="accent4"/>
        <w:insideV w:val="single" w:sz="8" w:space="0" w:color="969696" w:themeColor="accent4"/>
      </w:tblBorders>
    </w:tblPr>
    <w:tcPr>
      <w:shd w:val="clear" w:color="auto" w:fill="E5E5E5" w:themeFill="accent4" w:themeFillTint="3F"/>
    </w:tcPr>
    <w:tblStylePr w:type="firstRow">
      <w:rPr>
        <w:b/>
        <w:bCs/>
        <w:color w:val="000000" w:themeColor="text1"/>
      </w:rPr>
      <w:tblPr/>
      <w:tcPr>
        <w:shd w:val="clear" w:color="auto" w:fill="F4F4F4"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4" w:themeFillTint="33"/>
      </w:tcPr>
    </w:tblStylePr>
    <w:tblStylePr w:type="band1Vert">
      <w:tblPr/>
      <w:tcPr>
        <w:shd w:val="clear" w:color="auto" w:fill="CACACA" w:themeFill="accent4" w:themeFillTint="7F"/>
      </w:tcPr>
    </w:tblStylePr>
    <w:tblStylePr w:type="band1Horz">
      <w:tblPr/>
      <w:tcPr>
        <w:tcBorders>
          <w:insideH w:val="single" w:sz="6" w:space="0" w:color="969696" w:themeColor="accent4"/>
          <w:insideV w:val="single" w:sz="6" w:space="0" w:color="969696" w:themeColor="accent4"/>
        </w:tcBorders>
        <w:shd w:val="clear" w:color="auto" w:fill="CACACA" w:themeFill="accent4" w:themeFillTint="7F"/>
      </w:tcPr>
    </w:tblStylePr>
    <w:tblStylePr w:type="nwCell">
      <w:tblPr/>
      <w:tcPr>
        <w:shd w:val="clear" w:color="auto" w:fill="0072BC" w:themeFill="background1"/>
      </w:tcPr>
    </w:tblStylePr>
  </w:style>
  <w:style w:type="table" w:styleId="Srednjamrea2poudarek5">
    <w:name w:val="Medium Grid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insideH w:val="single" w:sz="8" w:space="0" w:color="5F5F5F" w:themeColor="accent5"/>
        <w:insideV w:val="single" w:sz="8" w:space="0" w:color="5F5F5F" w:themeColor="accent5"/>
      </w:tblBorders>
    </w:tblPr>
    <w:tcPr>
      <w:shd w:val="clear" w:color="auto" w:fill="D7D7D7" w:themeFill="accent5" w:themeFillTint="3F"/>
    </w:tcPr>
    <w:tblStylePr w:type="firstRow">
      <w:rPr>
        <w:b/>
        <w:bCs/>
        <w:color w:val="000000" w:themeColor="text1"/>
      </w:rPr>
      <w:tblPr/>
      <w:tcPr>
        <w:shd w:val="clear" w:color="auto" w:fill="EFEFE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FDFDF" w:themeFill="accent5" w:themeFillTint="33"/>
      </w:tcPr>
    </w:tblStylePr>
    <w:tblStylePr w:type="band1Vert">
      <w:tblPr/>
      <w:tcPr>
        <w:shd w:val="clear" w:color="auto" w:fill="AFAFAF" w:themeFill="accent5" w:themeFillTint="7F"/>
      </w:tcPr>
    </w:tblStylePr>
    <w:tblStylePr w:type="band1Horz">
      <w:tblPr/>
      <w:tcPr>
        <w:tcBorders>
          <w:insideH w:val="single" w:sz="6" w:space="0" w:color="5F5F5F" w:themeColor="accent5"/>
          <w:insideV w:val="single" w:sz="6" w:space="0" w:color="5F5F5F" w:themeColor="accent5"/>
        </w:tcBorders>
        <w:shd w:val="clear" w:color="auto" w:fill="AFAFAF" w:themeFill="accent5" w:themeFillTint="7F"/>
      </w:tcPr>
    </w:tblStylePr>
    <w:tblStylePr w:type="nwCell">
      <w:tblPr/>
      <w:tcPr>
        <w:shd w:val="clear" w:color="auto" w:fill="0072BC" w:themeFill="background1"/>
      </w:tcPr>
    </w:tblStylePr>
  </w:style>
  <w:style w:type="table" w:styleId="Srednjamrea2poudarek6">
    <w:name w:val="Medium Grid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insideH w:val="single" w:sz="8" w:space="0" w:color="4D4D4D" w:themeColor="accent6"/>
        <w:insideV w:val="single" w:sz="8" w:space="0" w:color="4D4D4D" w:themeColor="accent6"/>
      </w:tblBorders>
    </w:tblPr>
    <w:tcPr>
      <w:shd w:val="clear" w:color="auto" w:fill="D3D3D3" w:themeFill="accent6" w:themeFillTint="3F"/>
    </w:tcPr>
    <w:tblStylePr w:type="firstRow">
      <w:rPr>
        <w:b/>
        <w:bCs/>
        <w:color w:val="000000" w:themeColor="text1"/>
      </w:rPr>
      <w:tblPr/>
      <w:tcPr>
        <w:shd w:val="clear" w:color="auto" w:fill="EDEDED"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0072BC" w:themeFill="background1"/>
      </w:tcPr>
    </w:tblStylePr>
    <w:tblStylePr w:type="firstCol">
      <w:rPr>
        <w:b/>
        <w:bCs/>
        <w:color w:val="000000" w:themeColor="text1"/>
      </w:rPr>
      <w:tblPr/>
      <w:tcPr>
        <w:tcBorders>
          <w:top w:val="nil"/>
          <w:left w:val="nil"/>
          <w:bottom w:val="nil"/>
          <w:right w:val="nil"/>
          <w:insideH w:val="nil"/>
          <w:insideV w:val="nil"/>
        </w:tcBorders>
        <w:shd w:val="clear" w:color="auto" w:fill="0072BC"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BDB" w:themeFill="accent6" w:themeFillTint="33"/>
      </w:tcPr>
    </w:tblStylePr>
    <w:tblStylePr w:type="band1Vert">
      <w:tblPr/>
      <w:tcPr>
        <w:shd w:val="clear" w:color="auto" w:fill="A6A6A6" w:themeFill="accent6" w:themeFillTint="7F"/>
      </w:tcPr>
    </w:tblStylePr>
    <w:tblStylePr w:type="band1Horz">
      <w:tblPr/>
      <w:tcPr>
        <w:tcBorders>
          <w:insideH w:val="single" w:sz="6" w:space="0" w:color="4D4D4D" w:themeColor="accent6"/>
          <w:insideV w:val="single" w:sz="6" w:space="0" w:color="4D4D4D" w:themeColor="accent6"/>
        </w:tcBorders>
        <w:shd w:val="clear" w:color="auto" w:fill="A6A6A6" w:themeFill="accent6" w:themeFillTint="7F"/>
      </w:tcPr>
    </w:tblStylePr>
    <w:tblStylePr w:type="nwCell">
      <w:tblPr/>
      <w:tcPr>
        <w:shd w:val="clear" w:color="auto" w:fill="0072BC" w:themeFill="background1"/>
      </w:tcPr>
    </w:tblStylePr>
  </w:style>
  <w:style w:type="table" w:styleId="Srednjamrea3">
    <w:name w:val="Medium Grid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C0C0C0" w:themeFill="tex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0000" w:themeFill="tex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0000" w:themeFill="tex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0000" w:themeFill="tex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808080" w:themeFill="tex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808080" w:themeFill="text1" w:themeFillTint="7F"/>
      </w:tcPr>
    </w:tblStylePr>
  </w:style>
  <w:style w:type="table" w:styleId="Srednjamrea3poudarek1">
    <w:name w:val="Medium Grid 3 Accent 1"/>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AFDFFF" w:themeFill="accent1"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0072BC" w:themeFill="accent1"/>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0072BC" w:themeFill="accent1"/>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0072BC" w:themeFill="accent1"/>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5EBFFF" w:themeFill="accent1"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5EBFFF" w:themeFill="accent1" w:themeFillTint="7F"/>
      </w:tcPr>
    </w:tblStylePr>
  </w:style>
  <w:style w:type="table" w:styleId="Srednjamrea3poudarek2">
    <w:name w:val="Medium Grid 3 Accent 2"/>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FFB0B0" w:themeFill="accent2"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C00000" w:themeFill="accent2"/>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C00000" w:themeFill="accent2"/>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C00000" w:themeFill="accent2"/>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FF6060" w:themeFill="accent2"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FF6060" w:themeFill="accent2" w:themeFillTint="7F"/>
      </w:tcPr>
    </w:tblStylePr>
  </w:style>
  <w:style w:type="table" w:styleId="Srednjamrea3poudarek3">
    <w:name w:val="Medium Grid 3 Accent 3"/>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3"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3"/>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3"/>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3"/>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3"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3" w:themeFillTint="7F"/>
      </w:tcPr>
    </w:tblStylePr>
  </w:style>
  <w:style w:type="table" w:styleId="Srednjamrea3poudarek4">
    <w:name w:val="Medium Grid 3 Accent 4"/>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E5E5E5" w:themeFill="accent4"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969696" w:themeFill="accent4"/>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969696" w:themeFill="accent4"/>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969696" w:themeFill="accent4"/>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CACACA" w:themeFill="accent4"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CACACA" w:themeFill="accent4" w:themeFillTint="7F"/>
      </w:tcPr>
    </w:tblStylePr>
  </w:style>
  <w:style w:type="table" w:styleId="Srednjamrea3poudarek5">
    <w:name w:val="Medium Grid 3 Accent 5"/>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7D7D7" w:themeFill="accent5"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5F5F5F" w:themeFill="accent5"/>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5F5F5F" w:themeFill="accent5"/>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5F5F5F" w:themeFill="accent5"/>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FAFAF" w:themeFill="accent5"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FAFAF" w:themeFill="accent5" w:themeFillTint="7F"/>
      </w:tcPr>
    </w:tblStylePr>
  </w:style>
  <w:style w:type="table" w:styleId="Srednjamrea3poudarek6">
    <w:name w:val="Medium Grid 3 Accent 6"/>
    <w:basedOn w:val="Navadnatabela"/>
    <w:uiPriority w:val="99"/>
    <w:semiHidden/>
    <w:rsid w:val="00014566"/>
    <w:rPr>
      <w:lang w:val="fr-FR" w:eastAsia="fr-FR"/>
    </w:rPr>
    <w:tblPr>
      <w:tblStyleRowBandSize w:val="1"/>
      <w:tblStyleColBandSize w:val="1"/>
      <w:tbl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6" w:space="0" w:color="0072BC" w:themeColor="background1"/>
        <w:insideV w:val="single" w:sz="6" w:space="0" w:color="0072BC" w:themeColor="background1"/>
      </w:tblBorders>
    </w:tblPr>
    <w:tcPr>
      <w:shd w:val="clear" w:color="auto" w:fill="D3D3D3" w:themeFill="accent6" w:themeFillTint="3F"/>
    </w:tcPr>
    <w:tblStylePr w:type="firstRow">
      <w:rPr>
        <w:b/>
        <w:bCs/>
        <w:i w:val="0"/>
        <w:iCs w:val="0"/>
        <w:color w:val="0072BC" w:themeColor="background1"/>
      </w:rPr>
      <w:tblPr/>
      <w:tcPr>
        <w:tcBorders>
          <w:top w:val="single" w:sz="8" w:space="0" w:color="0072BC" w:themeColor="background1"/>
          <w:left w:val="single" w:sz="8" w:space="0" w:color="0072BC" w:themeColor="background1"/>
          <w:bottom w:val="single" w:sz="24"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lastRow">
      <w:rPr>
        <w:b/>
        <w:bCs/>
        <w:i w:val="0"/>
        <w:iCs w:val="0"/>
        <w:color w:val="0072BC" w:themeColor="background1"/>
      </w:rPr>
      <w:tblPr/>
      <w:tcPr>
        <w:tcBorders>
          <w:top w:val="single" w:sz="24" w:space="0" w:color="0072BC" w:themeColor="background1"/>
          <w:left w:val="single" w:sz="8" w:space="0" w:color="0072BC" w:themeColor="background1"/>
          <w:bottom w:val="single" w:sz="8" w:space="0" w:color="0072BC" w:themeColor="background1"/>
          <w:right w:val="single" w:sz="8" w:space="0" w:color="0072BC" w:themeColor="background1"/>
          <w:insideH w:val="nil"/>
          <w:insideV w:val="single" w:sz="8" w:space="0" w:color="0072BC" w:themeColor="background1"/>
        </w:tcBorders>
        <w:shd w:val="clear" w:color="auto" w:fill="4D4D4D" w:themeFill="accent6"/>
      </w:tcPr>
    </w:tblStylePr>
    <w:tblStylePr w:type="firstCol">
      <w:rPr>
        <w:b/>
        <w:bCs/>
        <w:i w:val="0"/>
        <w:iCs w:val="0"/>
        <w:color w:val="0072BC" w:themeColor="background1"/>
      </w:rPr>
      <w:tblPr/>
      <w:tcPr>
        <w:tcBorders>
          <w:left w:val="single" w:sz="8" w:space="0" w:color="0072BC" w:themeColor="background1"/>
          <w:right w:val="single" w:sz="24" w:space="0" w:color="0072BC" w:themeColor="background1"/>
          <w:insideH w:val="nil"/>
          <w:insideV w:val="nil"/>
        </w:tcBorders>
        <w:shd w:val="clear" w:color="auto" w:fill="4D4D4D" w:themeFill="accent6"/>
      </w:tcPr>
    </w:tblStylePr>
    <w:tblStylePr w:type="lastCol">
      <w:rPr>
        <w:b/>
        <w:bCs/>
        <w:i w:val="0"/>
        <w:iCs w:val="0"/>
        <w:color w:val="0072BC" w:themeColor="background1"/>
      </w:rPr>
      <w:tblPr/>
      <w:tcPr>
        <w:tcBorders>
          <w:top w:val="nil"/>
          <w:left w:val="single" w:sz="24" w:space="0" w:color="0072BC" w:themeColor="background1"/>
          <w:bottom w:val="nil"/>
          <w:right w:val="nil"/>
          <w:insideH w:val="nil"/>
          <w:insideV w:val="nil"/>
        </w:tcBorders>
        <w:shd w:val="clear" w:color="auto" w:fill="4D4D4D" w:themeFill="accent6"/>
      </w:tcPr>
    </w:tblStylePr>
    <w:tblStylePr w:type="band1Vert">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nil"/>
          <w:insideV w:val="nil"/>
        </w:tcBorders>
        <w:shd w:val="clear" w:color="auto" w:fill="A6A6A6" w:themeFill="accent6" w:themeFillTint="7F"/>
      </w:tcPr>
    </w:tblStylePr>
    <w:tblStylePr w:type="band1Horz">
      <w:tblPr/>
      <w:tcPr>
        <w:tcBorders>
          <w:top w:val="single" w:sz="8" w:space="0" w:color="0072BC" w:themeColor="background1"/>
          <w:left w:val="single" w:sz="8" w:space="0" w:color="0072BC" w:themeColor="background1"/>
          <w:bottom w:val="single" w:sz="8" w:space="0" w:color="0072BC" w:themeColor="background1"/>
          <w:right w:val="single" w:sz="8" w:space="0" w:color="0072BC" w:themeColor="background1"/>
          <w:insideH w:val="single" w:sz="8" w:space="0" w:color="0072BC" w:themeColor="background1"/>
          <w:insideV w:val="single" w:sz="8" w:space="0" w:color="0072BC" w:themeColor="background1"/>
        </w:tcBorders>
        <w:shd w:val="clear" w:color="auto" w:fill="A6A6A6" w:themeFill="accent6" w:themeFillTint="7F"/>
      </w:tcPr>
    </w:tblStylePr>
  </w:style>
  <w:style w:type="table" w:styleId="Srednjiseznam1">
    <w:name w:val="Medium List 1"/>
    <w:basedOn w:val="Navadnatabela"/>
    <w:uiPriority w:val="99"/>
    <w:semiHidden/>
    <w:rsid w:val="00014566"/>
    <w:rPr>
      <w:color w:val="000000" w:themeColor="text1"/>
      <w:lang w:val="fr-FR" w:eastAsia="fr-FR"/>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C6C6C6"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Srednjiseznam1poudarek1">
    <w:name w:val="Medium List 1 Accent 1"/>
    <w:basedOn w:val="Navadnatabela"/>
    <w:uiPriority w:val="99"/>
    <w:semiHidden/>
    <w:rsid w:val="00014566"/>
    <w:rPr>
      <w:color w:val="000000" w:themeColor="text1"/>
      <w:lang w:val="fr-FR" w:eastAsia="fr-FR"/>
    </w:rPr>
    <w:tblPr>
      <w:tblStyleRowBandSize w:val="1"/>
      <w:tblStyleColBandSize w:val="1"/>
      <w:tblBorders>
        <w:top w:val="single" w:sz="8" w:space="0" w:color="0072BC" w:themeColor="accent1"/>
        <w:bottom w:val="single" w:sz="8" w:space="0" w:color="0072BC" w:themeColor="accent1"/>
      </w:tblBorders>
    </w:tblPr>
    <w:tblStylePr w:type="firstRow">
      <w:rPr>
        <w:rFonts w:asciiTheme="majorHAnsi" w:eastAsiaTheme="majorEastAsia" w:hAnsiTheme="majorHAnsi" w:cstheme="majorBidi"/>
      </w:rPr>
      <w:tblPr/>
      <w:tcPr>
        <w:tcBorders>
          <w:top w:val="nil"/>
          <w:bottom w:val="single" w:sz="8" w:space="0" w:color="0072BC" w:themeColor="accent1"/>
        </w:tcBorders>
      </w:tcPr>
    </w:tblStylePr>
    <w:tblStylePr w:type="lastRow">
      <w:rPr>
        <w:b/>
        <w:bCs/>
        <w:color w:val="C6C6C6" w:themeColor="text2"/>
      </w:rPr>
      <w:tblPr/>
      <w:tcPr>
        <w:tcBorders>
          <w:top w:val="single" w:sz="8" w:space="0" w:color="0072BC" w:themeColor="accent1"/>
          <w:bottom w:val="single" w:sz="8" w:space="0" w:color="0072BC" w:themeColor="accent1"/>
        </w:tcBorders>
      </w:tcPr>
    </w:tblStylePr>
    <w:tblStylePr w:type="firstCol">
      <w:rPr>
        <w:b/>
        <w:bCs/>
      </w:rPr>
    </w:tblStylePr>
    <w:tblStylePr w:type="lastCol">
      <w:rPr>
        <w:b/>
        <w:bCs/>
      </w:rPr>
      <w:tblPr/>
      <w:tcPr>
        <w:tcBorders>
          <w:top w:val="single" w:sz="8" w:space="0" w:color="0072BC" w:themeColor="accent1"/>
          <w:bottom w:val="single" w:sz="8" w:space="0" w:color="0072BC" w:themeColor="accent1"/>
        </w:tcBorders>
      </w:tcPr>
    </w:tblStylePr>
    <w:tblStylePr w:type="band1Vert">
      <w:tblPr/>
      <w:tcPr>
        <w:shd w:val="clear" w:color="auto" w:fill="AFDFFF" w:themeFill="accent1" w:themeFillTint="3F"/>
      </w:tcPr>
    </w:tblStylePr>
    <w:tblStylePr w:type="band1Horz">
      <w:tblPr/>
      <w:tcPr>
        <w:shd w:val="clear" w:color="auto" w:fill="AFDFFF" w:themeFill="accent1" w:themeFillTint="3F"/>
      </w:tcPr>
    </w:tblStylePr>
  </w:style>
  <w:style w:type="table" w:styleId="Srednjiseznam1poudarek2">
    <w:name w:val="Medium List 1 Accent 2"/>
    <w:basedOn w:val="Navadnatabela"/>
    <w:uiPriority w:val="99"/>
    <w:semiHidden/>
    <w:rsid w:val="00014566"/>
    <w:rPr>
      <w:color w:val="000000" w:themeColor="text1"/>
      <w:lang w:val="fr-FR" w:eastAsia="fr-FR"/>
    </w:rPr>
    <w:tblPr>
      <w:tblStyleRowBandSize w:val="1"/>
      <w:tblStyleColBandSize w:val="1"/>
      <w:tblBorders>
        <w:top w:val="single" w:sz="8" w:space="0" w:color="C00000" w:themeColor="accent2"/>
        <w:bottom w:val="single" w:sz="8" w:space="0" w:color="C00000" w:themeColor="accent2"/>
      </w:tblBorders>
    </w:tblPr>
    <w:tblStylePr w:type="firstRow">
      <w:rPr>
        <w:rFonts w:asciiTheme="majorHAnsi" w:eastAsiaTheme="majorEastAsia" w:hAnsiTheme="majorHAnsi" w:cstheme="majorBidi"/>
      </w:rPr>
      <w:tblPr/>
      <w:tcPr>
        <w:tcBorders>
          <w:top w:val="nil"/>
          <w:bottom w:val="single" w:sz="8" w:space="0" w:color="C00000" w:themeColor="accent2"/>
        </w:tcBorders>
      </w:tcPr>
    </w:tblStylePr>
    <w:tblStylePr w:type="lastRow">
      <w:rPr>
        <w:b/>
        <w:bCs/>
        <w:color w:val="C6C6C6" w:themeColor="text2"/>
      </w:rPr>
      <w:tblPr/>
      <w:tcPr>
        <w:tcBorders>
          <w:top w:val="single" w:sz="8" w:space="0" w:color="C00000" w:themeColor="accent2"/>
          <w:bottom w:val="single" w:sz="8" w:space="0" w:color="C00000" w:themeColor="accent2"/>
        </w:tcBorders>
      </w:tcPr>
    </w:tblStylePr>
    <w:tblStylePr w:type="firstCol">
      <w:rPr>
        <w:b/>
        <w:bCs/>
      </w:rPr>
    </w:tblStylePr>
    <w:tblStylePr w:type="lastCol">
      <w:rPr>
        <w:b/>
        <w:bCs/>
      </w:rPr>
      <w:tblPr/>
      <w:tcPr>
        <w:tcBorders>
          <w:top w:val="single" w:sz="8" w:space="0" w:color="C00000" w:themeColor="accent2"/>
          <w:bottom w:val="single" w:sz="8" w:space="0" w:color="C00000" w:themeColor="accent2"/>
        </w:tcBorders>
      </w:tcPr>
    </w:tblStylePr>
    <w:tblStylePr w:type="band1Vert">
      <w:tblPr/>
      <w:tcPr>
        <w:shd w:val="clear" w:color="auto" w:fill="FFB0B0" w:themeFill="accent2" w:themeFillTint="3F"/>
      </w:tcPr>
    </w:tblStylePr>
    <w:tblStylePr w:type="band1Horz">
      <w:tblPr/>
      <w:tcPr>
        <w:shd w:val="clear" w:color="auto" w:fill="FFB0B0" w:themeFill="accent2" w:themeFillTint="3F"/>
      </w:tcPr>
    </w:tblStylePr>
  </w:style>
  <w:style w:type="table" w:styleId="Srednjiseznam1poudarek3">
    <w:name w:val="Medium List 1 Accent 3"/>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3"/>
        <w:bottom w:val="single" w:sz="8" w:space="0" w:color="5F5F5F" w:themeColor="accent3"/>
      </w:tblBorders>
    </w:tblPr>
    <w:tblStylePr w:type="firstRow">
      <w:rPr>
        <w:rFonts w:asciiTheme="majorHAnsi" w:eastAsiaTheme="majorEastAsia" w:hAnsiTheme="majorHAnsi" w:cstheme="majorBidi"/>
      </w:rPr>
      <w:tblPr/>
      <w:tcPr>
        <w:tcBorders>
          <w:top w:val="nil"/>
          <w:bottom w:val="single" w:sz="8" w:space="0" w:color="5F5F5F" w:themeColor="accent3"/>
        </w:tcBorders>
      </w:tcPr>
    </w:tblStylePr>
    <w:tblStylePr w:type="lastRow">
      <w:rPr>
        <w:b/>
        <w:bCs/>
        <w:color w:val="C6C6C6" w:themeColor="text2"/>
      </w:rPr>
      <w:tblPr/>
      <w:tcPr>
        <w:tcBorders>
          <w:top w:val="single" w:sz="8" w:space="0" w:color="5F5F5F" w:themeColor="accent3"/>
          <w:bottom w:val="single" w:sz="8" w:space="0" w:color="5F5F5F" w:themeColor="accent3"/>
        </w:tcBorders>
      </w:tcPr>
    </w:tblStylePr>
    <w:tblStylePr w:type="firstCol">
      <w:rPr>
        <w:b/>
        <w:bCs/>
      </w:rPr>
    </w:tblStylePr>
    <w:tblStylePr w:type="lastCol">
      <w:rPr>
        <w:b/>
        <w:bCs/>
      </w:rPr>
      <w:tblPr/>
      <w:tcPr>
        <w:tcBorders>
          <w:top w:val="single" w:sz="8" w:space="0" w:color="5F5F5F" w:themeColor="accent3"/>
          <w:bottom w:val="single" w:sz="8" w:space="0" w:color="5F5F5F" w:themeColor="accent3"/>
        </w:tcBorders>
      </w:tcPr>
    </w:tblStylePr>
    <w:tblStylePr w:type="band1Vert">
      <w:tblPr/>
      <w:tcPr>
        <w:shd w:val="clear" w:color="auto" w:fill="D7D7D7" w:themeFill="accent3" w:themeFillTint="3F"/>
      </w:tcPr>
    </w:tblStylePr>
    <w:tblStylePr w:type="band1Horz">
      <w:tblPr/>
      <w:tcPr>
        <w:shd w:val="clear" w:color="auto" w:fill="D7D7D7" w:themeFill="accent3" w:themeFillTint="3F"/>
      </w:tcPr>
    </w:tblStylePr>
  </w:style>
  <w:style w:type="table" w:styleId="Srednjiseznam1poudarek4">
    <w:name w:val="Medium List 1 Accent 4"/>
    <w:basedOn w:val="Navadnatabela"/>
    <w:uiPriority w:val="99"/>
    <w:semiHidden/>
    <w:rsid w:val="00014566"/>
    <w:rPr>
      <w:color w:val="000000" w:themeColor="text1"/>
      <w:lang w:val="fr-FR" w:eastAsia="fr-FR"/>
    </w:rPr>
    <w:tblPr>
      <w:tblStyleRowBandSize w:val="1"/>
      <w:tblStyleColBandSize w:val="1"/>
      <w:tblBorders>
        <w:top w:val="single" w:sz="8" w:space="0" w:color="969696" w:themeColor="accent4"/>
        <w:bottom w:val="single" w:sz="8" w:space="0" w:color="969696" w:themeColor="accent4"/>
      </w:tblBorders>
    </w:tblPr>
    <w:tblStylePr w:type="firstRow">
      <w:rPr>
        <w:rFonts w:asciiTheme="majorHAnsi" w:eastAsiaTheme="majorEastAsia" w:hAnsiTheme="majorHAnsi" w:cstheme="majorBidi"/>
      </w:rPr>
      <w:tblPr/>
      <w:tcPr>
        <w:tcBorders>
          <w:top w:val="nil"/>
          <w:bottom w:val="single" w:sz="8" w:space="0" w:color="969696" w:themeColor="accent4"/>
        </w:tcBorders>
      </w:tcPr>
    </w:tblStylePr>
    <w:tblStylePr w:type="lastRow">
      <w:rPr>
        <w:b/>
        <w:bCs/>
        <w:color w:val="C6C6C6" w:themeColor="text2"/>
      </w:rPr>
      <w:tblPr/>
      <w:tcPr>
        <w:tcBorders>
          <w:top w:val="single" w:sz="8" w:space="0" w:color="969696" w:themeColor="accent4"/>
          <w:bottom w:val="single" w:sz="8" w:space="0" w:color="969696" w:themeColor="accent4"/>
        </w:tcBorders>
      </w:tcPr>
    </w:tblStylePr>
    <w:tblStylePr w:type="firstCol">
      <w:rPr>
        <w:b/>
        <w:bCs/>
      </w:rPr>
    </w:tblStylePr>
    <w:tblStylePr w:type="lastCol">
      <w:rPr>
        <w:b/>
        <w:bCs/>
      </w:rPr>
      <w:tblPr/>
      <w:tcPr>
        <w:tcBorders>
          <w:top w:val="single" w:sz="8" w:space="0" w:color="969696" w:themeColor="accent4"/>
          <w:bottom w:val="single" w:sz="8" w:space="0" w:color="969696" w:themeColor="accent4"/>
        </w:tcBorders>
      </w:tcPr>
    </w:tblStylePr>
    <w:tblStylePr w:type="band1Vert">
      <w:tblPr/>
      <w:tcPr>
        <w:shd w:val="clear" w:color="auto" w:fill="E5E5E5" w:themeFill="accent4" w:themeFillTint="3F"/>
      </w:tcPr>
    </w:tblStylePr>
    <w:tblStylePr w:type="band1Horz">
      <w:tblPr/>
      <w:tcPr>
        <w:shd w:val="clear" w:color="auto" w:fill="E5E5E5" w:themeFill="accent4" w:themeFillTint="3F"/>
      </w:tcPr>
    </w:tblStylePr>
  </w:style>
  <w:style w:type="table" w:styleId="Srednjiseznam1poudarek5">
    <w:name w:val="Medium List 1 Accent 5"/>
    <w:basedOn w:val="Navadnatabela"/>
    <w:uiPriority w:val="99"/>
    <w:semiHidden/>
    <w:rsid w:val="00014566"/>
    <w:rPr>
      <w:color w:val="000000" w:themeColor="text1"/>
      <w:lang w:val="fr-FR" w:eastAsia="fr-FR"/>
    </w:rPr>
    <w:tblPr>
      <w:tblStyleRowBandSize w:val="1"/>
      <w:tblStyleColBandSize w:val="1"/>
      <w:tblBorders>
        <w:top w:val="single" w:sz="8" w:space="0" w:color="5F5F5F" w:themeColor="accent5"/>
        <w:bottom w:val="single" w:sz="8" w:space="0" w:color="5F5F5F" w:themeColor="accent5"/>
      </w:tblBorders>
    </w:tblPr>
    <w:tblStylePr w:type="firstRow">
      <w:rPr>
        <w:rFonts w:asciiTheme="majorHAnsi" w:eastAsiaTheme="majorEastAsia" w:hAnsiTheme="majorHAnsi" w:cstheme="majorBidi"/>
      </w:rPr>
      <w:tblPr/>
      <w:tcPr>
        <w:tcBorders>
          <w:top w:val="nil"/>
          <w:bottom w:val="single" w:sz="8" w:space="0" w:color="5F5F5F" w:themeColor="accent5"/>
        </w:tcBorders>
      </w:tcPr>
    </w:tblStylePr>
    <w:tblStylePr w:type="lastRow">
      <w:rPr>
        <w:b/>
        <w:bCs/>
        <w:color w:val="C6C6C6" w:themeColor="text2"/>
      </w:rPr>
      <w:tblPr/>
      <w:tcPr>
        <w:tcBorders>
          <w:top w:val="single" w:sz="8" w:space="0" w:color="5F5F5F" w:themeColor="accent5"/>
          <w:bottom w:val="single" w:sz="8" w:space="0" w:color="5F5F5F" w:themeColor="accent5"/>
        </w:tcBorders>
      </w:tcPr>
    </w:tblStylePr>
    <w:tblStylePr w:type="firstCol">
      <w:rPr>
        <w:b/>
        <w:bCs/>
      </w:rPr>
    </w:tblStylePr>
    <w:tblStylePr w:type="lastCol">
      <w:rPr>
        <w:b/>
        <w:bCs/>
      </w:rPr>
      <w:tblPr/>
      <w:tcPr>
        <w:tcBorders>
          <w:top w:val="single" w:sz="8" w:space="0" w:color="5F5F5F" w:themeColor="accent5"/>
          <w:bottom w:val="single" w:sz="8" w:space="0" w:color="5F5F5F" w:themeColor="accent5"/>
        </w:tcBorders>
      </w:tcPr>
    </w:tblStylePr>
    <w:tblStylePr w:type="band1Vert">
      <w:tblPr/>
      <w:tcPr>
        <w:shd w:val="clear" w:color="auto" w:fill="D7D7D7" w:themeFill="accent5" w:themeFillTint="3F"/>
      </w:tcPr>
    </w:tblStylePr>
    <w:tblStylePr w:type="band1Horz">
      <w:tblPr/>
      <w:tcPr>
        <w:shd w:val="clear" w:color="auto" w:fill="D7D7D7" w:themeFill="accent5" w:themeFillTint="3F"/>
      </w:tcPr>
    </w:tblStylePr>
  </w:style>
  <w:style w:type="table" w:styleId="Srednjiseznam1poudarek6">
    <w:name w:val="Medium List 1 Accent 6"/>
    <w:basedOn w:val="Navadnatabela"/>
    <w:uiPriority w:val="99"/>
    <w:semiHidden/>
    <w:rsid w:val="00014566"/>
    <w:rPr>
      <w:color w:val="000000" w:themeColor="text1"/>
      <w:lang w:val="fr-FR" w:eastAsia="fr-FR"/>
    </w:rPr>
    <w:tblPr>
      <w:tblStyleRowBandSize w:val="1"/>
      <w:tblStyleColBandSize w:val="1"/>
      <w:tblBorders>
        <w:top w:val="single" w:sz="8" w:space="0" w:color="4D4D4D" w:themeColor="accent6"/>
        <w:bottom w:val="single" w:sz="8" w:space="0" w:color="4D4D4D" w:themeColor="accent6"/>
      </w:tblBorders>
    </w:tblPr>
    <w:tblStylePr w:type="firstRow">
      <w:rPr>
        <w:rFonts w:asciiTheme="majorHAnsi" w:eastAsiaTheme="majorEastAsia" w:hAnsiTheme="majorHAnsi" w:cstheme="majorBidi"/>
      </w:rPr>
      <w:tblPr/>
      <w:tcPr>
        <w:tcBorders>
          <w:top w:val="nil"/>
          <w:bottom w:val="single" w:sz="8" w:space="0" w:color="4D4D4D" w:themeColor="accent6"/>
        </w:tcBorders>
      </w:tcPr>
    </w:tblStylePr>
    <w:tblStylePr w:type="lastRow">
      <w:rPr>
        <w:b/>
        <w:bCs/>
        <w:color w:val="C6C6C6" w:themeColor="text2"/>
      </w:rPr>
      <w:tblPr/>
      <w:tcPr>
        <w:tcBorders>
          <w:top w:val="single" w:sz="8" w:space="0" w:color="4D4D4D" w:themeColor="accent6"/>
          <w:bottom w:val="single" w:sz="8" w:space="0" w:color="4D4D4D" w:themeColor="accent6"/>
        </w:tcBorders>
      </w:tcPr>
    </w:tblStylePr>
    <w:tblStylePr w:type="firstCol">
      <w:rPr>
        <w:b/>
        <w:bCs/>
      </w:rPr>
    </w:tblStylePr>
    <w:tblStylePr w:type="lastCol">
      <w:rPr>
        <w:b/>
        <w:bCs/>
      </w:rPr>
      <w:tblPr/>
      <w:tcPr>
        <w:tcBorders>
          <w:top w:val="single" w:sz="8" w:space="0" w:color="4D4D4D" w:themeColor="accent6"/>
          <w:bottom w:val="single" w:sz="8" w:space="0" w:color="4D4D4D" w:themeColor="accent6"/>
        </w:tcBorders>
      </w:tcPr>
    </w:tblStylePr>
    <w:tblStylePr w:type="band1Vert">
      <w:tblPr/>
      <w:tcPr>
        <w:shd w:val="clear" w:color="auto" w:fill="D3D3D3" w:themeFill="accent6" w:themeFillTint="3F"/>
      </w:tcPr>
    </w:tblStylePr>
    <w:tblStylePr w:type="band1Horz">
      <w:tblPr/>
      <w:tcPr>
        <w:shd w:val="clear" w:color="auto" w:fill="D3D3D3" w:themeFill="accent6" w:themeFillTint="3F"/>
      </w:tcPr>
    </w:tblStylePr>
  </w:style>
  <w:style w:type="table" w:styleId="Srednjiseznam2">
    <w:name w:val="Medium Lis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0072BC" w:themeFill="background1"/>
      </w:tcPr>
    </w:tblStylePr>
    <w:tblStylePr w:type="lastRow">
      <w:tblPr/>
      <w:tcPr>
        <w:tcBorders>
          <w:top w:val="single" w:sz="8" w:space="0" w:color="000000" w:themeColor="tex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0000" w:themeColor="text1"/>
          <w:insideH w:val="nil"/>
          <w:insideV w:val="nil"/>
        </w:tcBorders>
        <w:shd w:val="clear" w:color="auto" w:fill="0072BC" w:themeFill="background1"/>
      </w:tcPr>
    </w:tblStylePr>
    <w:tblStylePr w:type="lastCol">
      <w:tblPr/>
      <w:tcPr>
        <w:tcBorders>
          <w:top w:val="nil"/>
          <w:left w:val="single" w:sz="8" w:space="0" w:color="000000" w:themeColor="tex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1">
    <w:name w:val="Medium List 2 Accent 1"/>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0072BC" w:themeColor="accent1"/>
        <w:left w:val="single" w:sz="8" w:space="0" w:color="0072BC" w:themeColor="accent1"/>
        <w:bottom w:val="single" w:sz="8" w:space="0" w:color="0072BC" w:themeColor="accent1"/>
        <w:right w:val="single" w:sz="8" w:space="0" w:color="0072BC" w:themeColor="accent1"/>
      </w:tblBorders>
    </w:tblPr>
    <w:tblStylePr w:type="firstRow">
      <w:rPr>
        <w:sz w:val="24"/>
        <w:szCs w:val="24"/>
      </w:rPr>
      <w:tblPr/>
      <w:tcPr>
        <w:tcBorders>
          <w:top w:val="nil"/>
          <w:left w:val="nil"/>
          <w:bottom w:val="single" w:sz="24" w:space="0" w:color="0072BC" w:themeColor="accent1"/>
          <w:right w:val="nil"/>
          <w:insideH w:val="nil"/>
          <w:insideV w:val="nil"/>
        </w:tcBorders>
        <w:shd w:val="clear" w:color="auto" w:fill="0072BC" w:themeFill="background1"/>
      </w:tcPr>
    </w:tblStylePr>
    <w:tblStylePr w:type="lastRow">
      <w:tblPr/>
      <w:tcPr>
        <w:tcBorders>
          <w:top w:val="single" w:sz="8" w:space="0" w:color="0072BC" w:themeColor="accent1"/>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0072BC" w:themeColor="accent1"/>
          <w:insideH w:val="nil"/>
          <w:insideV w:val="nil"/>
        </w:tcBorders>
        <w:shd w:val="clear" w:color="auto" w:fill="0072BC" w:themeFill="background1"/>
      </w:tcPr>
    </w:tblStylePr>
    <w:tblStylePr w:type="lastCol">
      <w:tblPr/>
      <w:tcPr>
        <w:tcBorders>
          <w:top w:val="nil"/>
          <w:left w:val="single" w:sz="8" w:space="0" w:color="0072BC" w:themeColor="accent1"/>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AFDFFF" w:themeFill="accent1" w:themeFillTint="3F"/>
      </w:tcPr>
    </w:tblStylePr>
    <w:tblStylePr w:type="band1Horz">
      <w:tblPr/>
      <w:tcPr>
        <w:tcBorders>
          <w:top w:val="nil"/>
          <w:bottom w:val="nil"/>
          <w:insideH w:val="nil"/>
          <w:insideV w:val="nil"/>
        </w:tcBorders>
        <w:shd w:val="clear" w:color="auto" w:fill="AFDFFF" w:themeFill="accent1"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2">
    <w:name w:val="Medium List 2 Accent 2"/>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C00000" w:themeColor="accent2"/>
        <w:left w:val="single" w:sz="8" w:space="0" w:color="C00000" w:themeColor="accent2"/>
        <w:bottom w:val="single" w:sz="8" w:space="0" w:color="C00000" w:themeColor="accent2"/>
        <w:right w:val="single" w:sz="8" w:space="0" w:color="C00000" w:themeColor="accent2"/>
      </w:tblBorders>
    </w:tblPr>
    <w:tblStylePr w:type="firstRow">
      <w:rPr>
        <w:sz w:val="24"/>
        <w:szCs w:val="24"/>
      </w:rPr>
      <w:tblPr/>
      <w:tcPr>
        <w:tcBorders>
          <w:top w:val="nil"/>
          <w:left w:val="nil"/>
          <w:bottom w:val="single" w:sz="24" w:space="0" w:color="C00000" w:themeColor="accent2"/>
          <w:right w:val="nil"/>
          <w:insideH w:val="nil"/>
          <w:insideV w:val="nil"/>
        </w:tcBorders>
        <w:shd w:val="clear" w:color="auto" w:fill="0072BC" w:themeFill="background1"/>
      </w:tcPr>
    </w:tblStylePr>
    <w:tblStylePr w:type="lastRow">
      <w:tblPr/>
      <w:tcPr>
        <w:tcBorders>
          <w:top w:val="single" w:sz="8" w:space="0" w:color="C00000" w:themeColor="accent2"/>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C00000" w:themeColor="accent2"/>
          <w:insideH w:val="nil"/>
          <w:insideV w:val="nil"/>
        </w:tcBorders>
        <w:shd w:val="clear" w:color="auto" w:fill="0072BC" w:themeFill="background1"/>
      </w:tcPr>
    </w:tblStylePr>
    <w:tblStylePr w:type="lastCol">
      <w:tblPr/>
      <w:tcPr>
        <w:tcBorders>
          <w:top w:val="nil"/>
          <w:left w:val="single" w:sz="8" w:space="0" w:color="C00000" w:themeColor="accent2"/>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FFB0B0" w:themeFill="accent2" w:themeFillTint="3F"/>
      </w:tcPr>
    </w:tblStylePr>
    <w:tblStylePr w:type="band1Horz">
      <w:tblPr/>
      <w:tcPr>
        <w:tcBorders>
          <w:top w:val="nil"/>
          <w:bottom w:val="nil"/>
          <w:insideH w:val="nil"/>
          <w:insideV w:val="nil"/>
        </w:tcBorders>
        <w:shd w:val="clear" w:color="auto" w:fill="FFB0B0" w:themeFill="accent2"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3">
    <w:name w:val="Medium List 2 Accent 3"/>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3"/>
        <w:left w:val="single" w:sz="8" w:space="0" w:color="5F5F5F" w:themeColor="accent3"/>
        <w:bottom w:val="single" w:sz="8" w:space="0" w:color="5F5F5F" w:themeColor="accent3"/>
        <w:right w:val="single" w:sz="8" w:space="0" w:color="5F5F5F" w:themeColor="accent3"/>
      </w:tblBorders>
    </w:tblPr>
    <w:tblStylePr w:type="firstRow">
      <w:rPr>
        <w:sz w:val="24"/>
        <w:szCs w:val="24"/>
      </w:rPr>
      <w:tblPr/>
      <w:tcPr>
        <w:tcBorders>
          <w:top w:val="nil"/>
          <w:left w:val="nil"/>
          <w:bottom w:val="single" w:sz="24" w:space="0" w:color="5F5F5F" w:themeColor="accent3"/>
          <w:right w:val="nil"/>
          <w:insideH w:val="nil"/>
          <w:insideV w:val="nil"/>
        </w:tcBorders>
        <w:shd w:val="clear" w:color="auto" w:fill="0072BC" w:themeFill="background1"/>
      </w:tcPr>
    </w:tblStylePr>
    <w:tblStylePr w:type="lastRow">
      <w:tblPr/>
      <w:tcPr>
        <w:tcBorders>
          <w:top w:val="single" w:sz="8" w:space="0" w:color="5F5F5F" w:themeColor="accent3"/>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3"/>
          <w:insideH w:val="nil"/>
          <w:insideV w:val="nil"/>
        </w:tcBorders>
        <w:shd w:val="clear" w:color="auto" w:fill="0072BC" w:themeFill="background1"/>
      </w:tcPr>
    </w:tblStylePr>
    <w:tblStylePr w:type="lastCol">
      <w:tblPr/>
      <w:tcPr>
        <w:tcBorders>
          <w:top w:val="nil"/>
          <w:left w:val="single" w:sz="8" w:space="0" w:color="5F5F5F" w:themeColor="accent3"/>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3" w:themeFillTint="3F"/>
      </w:tcPr>
    </w:tblStylePr>
    <w:tblStylePr w:type="band1Horz">
      <w:tblPr/>
      <w:tcPr>
        <w:tcBorders>
          <w:top w:val="nil"/>
          <w:bottom w:val="nil"/>
          <w:insideH w:val="nil"/>
          <w:insideV w:val="nil"/>
        </w:tcBorders>
        <w:shd w:val="clear" w:color="auto" w:fill="D7D7D7" w:themeFill="accent3"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4">
    <w:name w:val="Medium List 2 Accent 4"/>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969696" w:themeColor="accent4"/>
        <w:left w:val="single" w:sz="8" w:space="0" w:color="969696" w:themeColor="accent4"/>
        <w:bottom w:val="single" w:sz="8" w:space="0" w:color="969696" w:themeColor="accent4"/>
        <w:right w:val="single" w:sz="8" w:space="0" w:color="969696" w:themeColor="accent4"/>
      </w:tblBorders>
    </w:tblPr>
    <w:tblStylePr w:type="firstRow">
      <w:rPr>
        <w:sz w:val="24"/>
        <w:szCs w:val="24"/>
      </w:rPr>
      <w:tblPr/>
      <w:tcPr>
        <w:tcBorders>
          <w:top w:val="nil"/>
          <w:left w:val="nil"/>
          <w:bottom w:val="single" w:sz="24" w:space="0" w:color="969696" w:themeColor="accent4"/>
          <w:right w:val="nil"/>
          <w:insideH w:val="nil"/>
          <w:insideV w:val="nil"/>
        </w:tcBorders>
        <w:shd w:val="clear" w:color="auto" w:fill="0072BC" w:themeFill="background1"/>
      </w:tcPr>
    </w:tblStylePr>
    <w:tblStylePr w:type="lastRow">
      <w:tblPr/>
      <w:tcPr>
        <w:tcBorders>
          <w:top w:val="single" w:sz="8" w:space="0" w:color="969696" w:themeColor="accent4"/>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969696" w:themeColor="accent4"/>
          <w:insideH w:val="nil"/>
          <w:insideV w:val="nil"/>
        </w:tcBorders>
        <w:shd w:val="clear" w:color="auto" w:fill="0072BC" w:themeFill="background1"/>
      </w:tcPr>
    </w:tblStylePr>
    <w:tblStylePr w:type="lastCol">
      <w:tblPr/>
      <w:tcPr>
        <w:tcBorders>
          <w:top w:val="nil"/>
          <w:left w:val="single" w:sz="8" w:space="0" w:color="969696" w:themeColor="accent4"/>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E5E5E5" w:themeFill="accent4" w:themeFillTint="3F"/>
      </w:tcPr>
    </w:tblStylePr>
    <w:tblStylePr w:type="band1Horz">
      <w:tblPr/>
      <w:tcPr>
        <w:tcBorders>
          <w:top w:val="nil"/>
          <w:bottom w:val="nil"/>
          <w:insideH w:val="nil"/>
          <w:insideV w:val="nil"/>
        </w:tcBorders>
        <w:shd w:val="clear" w:color="auto" w:fill="E5E5E5" w:themeFill="accent4"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5">
    <w:name w:val="Medium List 2 Accent 5"/>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5F5F5F" w:themeColor="accent5"/>
        <w:left w:val="single" w:sz="8" w:space="0" w:color="5F5F5F" w:themeColor="accent5"/>
        <w:bottom w:val="single" w:sz="8" w:space="0" w:color="5F5F5F" w:themeColor="accent5"/>
        <w:right w:val="single" w:sz="8" w:space="0" w:color="5F5F5F" w:themeColor="accent5"/>
      </w:tblBorders>
    </w:tblPr>
    <w:tblStylePr w:type="firstRow">
      <w:rPr>
        <w:sz w:val="24"/>
        <w:szCs w:val="24"/>
      </w:rPr>
      <w:tblPr/>
      <w:tcPr>
        <w:tcBorders>
          <w:top w:val="nil"/>
          <w:left w:val="nil"/>
          <w:bottom w:val="single" w:sz="24" w:space="0" w:color="5F5F5F" w:themeColor="accent5"/>
          <w:right w:val="nil"/>
          <w:insideH w:val="nil"/>
          <w:insideV w:val="nil"/>
        </w:tcBorders>
        <w:shd w:val="clear" w:color="auto" w:fill="0072BC" w:themeFill="background1"/>
      </w:tcPr>
    </w:tblStylePr>
    <w:tblStylePr w:type="lastRow">
      <w:tblPr/>
      <w:tcPr>
        <w:tcBorders>
          <w:top w:val="single" w:sz="8" w:space="0" w:color="5F5F5F" w:themeColor="accent5"/>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5F5F5F" w:themeColor="accent5"/>
          <w:insideH w:val="nil"/>
          <w:insideV w:val="nil"/>
        </w:tcBorders>
        <w:shd w:val="clear" w:color="auto" w:fill="0072BC" w:themeFill="background1"/>
      </w:tcPr>
    </w:tblStylePr>
    <w:tblStylePr w:type="lastCol">
      <w:tblPr/>
      <w:tcPr>
        <w:tcBorders>
          <w:top w:val="nil"/>
          <w:left w:val="single" w:sz="8" w:space="0" w:color="5F5F5F" w:themeColor="accent5"/>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7D7D7" w:themeFill="accent5" w:themeFillTint="3F"/>
      </w:tcPr>
    </w:tblStylePr>
    <w:tblStylePr w:type="band1Horz">
      <w:tblPr/>
      <w:tcPr>
        <w:tcBorders>
          <w:top w:val="nil"/>
          <w:bottom w:val="nil"/>
          <w:insideH w:val="nil"/>
          <w:insideV w:val="nil"/>
        </w:tcBorders>
        <w:shd w:val="clear" w:color="auto" w:fill="D7D7D7" w:themeFill="accent5"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iseznam2poudarek6">
    <w:name w:val="Medium List 2 Accent 6"/>
    <w:basedOn w:val="Navadnatabela"/>
    <w:uiPriority w:val="99"/>
    <w:semiHidden/>
    <w:rsid w:val="00014566"/>
    <w:rPr>
      <w:rFonts w:asciiTheme="majorHAnsi" w:eastAsiaTheme="majorEastAsia" w:hAnsiTheme="majorHAnsi" w:cstheme="majorBidi"/>
      <w:color w:val="000000" w:themeColor="text1"/>
      <w:lang w:val="fr-FR" w:eastAsia="fr-FR"/>
    </w:rPr>
    <w:tblPr>
      <w:tblStyleRowBandSize w:val="1"/>
      <w:tblStyleColBandSize w:val="1"/>
      <w:tblBorders>
        <w:top w:val="single" w:sz="8" w:space="0" w:color="4D4D4D" w:themeColor="accent6"/>
        <w:left w:val="single" w:sz="8" w:space="0" w:color="4D4D4D" w:themeColor="accent6"/>
        <w:bottom w:val="single" w:sz="8" w:space="0" w:color="4D4D4D" w:themeColor="accent6"/>
        <w:right w:val="single" w:sz="8" w:space="0" w:color="4D4D4D" w:themeColor="accent6"/>
      </w:tblBorders>
    </w:tblPr>
    <w:tblStylePr w:type="firstRow">
      <w:rPr>
        <w:sz w:val="24"/>
        <w:szCs w:val="24"/>
      </w:rPr>
      <w:tblPr/>
      <w:tcPr>
        <w:tcBorders>
          <w:top w:val="nil"/>
          <w:left w:val="nil"/>
          <w:bottom w:val="single" w:sz="24" w:space="0" w:color="4D4D4D" w:themeColor="accent6"/>
          <w:right w:val="nil"/>
          <w:insideH w:val="nil"/>
          <w:insideV w:val="nil"/>
        </w:tcBorders>
        <w:shd w:val="clear" w:color="auto" w:fill="0072BC" w:themeFill="background1"/>
      </w:tcPr>
    </w:tblStylePr>
    <w:tblStylePr w:type="lastRow">
      <w:tblPr/>
      <w:tcPr>
        <w:tcBorders>
          <w:top w:val="single" w:sz="8" w:space="0" w:color="4D4D4D" w:themeColor="accent6"/>
          <w:left w:val="nil"/>
          <w:bottom w:val="nil"/>
          <w:right w:val="nil"/>
          <w:insideH w:val="nil"/>
          <w:insideV w:val="nil"/>
        </w:tcBorders>
        <w:shd w:val="clear" w:color="auto" w:fill="0072BC" w:themeFill="background1"/>
      </w:tcPr>
    </w:tblStylePr>
    <w:tblStylePr w:type="firstCol">
      <w:tblPr/>
      <w:tcPr>
        <w:tcBorders>
          <w:top w:val="nil"/>
          <w:left w:val="nil"/>
          <w:bottom w:val="nil"/>
          <w:right w:val="single" w:sz="8" w:space="0" w:color="4D4D4D" w:themeColor="accent6"/>
          <w:insideH w:val="nil"/>
          <w:insideV w:val="nil"/>
        </w:tcBorders>
        <w:shd w:val="clear" w:color="auto" w:fill="0072BC" w:themeFill="background1"/>
      </w:tcPr>
    </w:tblStylePr>
    <w:tblStylePr w:type="lastCol">
      <w:tblPr/>
      <w:tcPr>
        <w:tcBorders>
          <w:top w:val="nil"/>
          <w:left w:val="single" w:sz="8" w:space="0" w:color="4D4D4D" w:themeColor="accent6"/>
          <w:bottom w:val="nil"/>
          <w:right w:val="nil"/>
          <w:insideH w:val="nil"/>
          <w:insideV w:val="nil"/>
        </w:tcBorders>
        <w:shd w:val="clear" w:color="auto" w:fill="0072BC" w:themeFill="background1"/>
      </w:tcPr>
    </w:tblStylePr>
    <w:tblStylePr w:type="band1Vert">
      <w:tblPr/>
      <w:tcPr>
        <w:tcBorders>
          <w:left w:val="nil"/>
          <w:right w:val="nil"/>
          <w:insideH w:val="nil"/>
          <w:insideV w:val="nil"/>
        </w:tcBorders>
        <w:shd w:val="clear" w:color="auto" w:fill="D3D3D3" w:themeFill="accent6" w:themeFillTint="3F"/>
      </w:tcPr>
    </w:tblStylePr>
    <w:tblStylePr w:type="band1Horz">
      <w:tblPr/>
      <w:tcPr>
        <w:tcBorders>
          <w:top w:val="nil"/>
          <w:bottom w:val="nil"/>
          <w:insideH w:val="nil"/>
          <w:insideV w:val="nil"/>
        </w:tcBorders>
        <w:shd w:val="clear" w:color="auto" w:fill="D3D3D3" w:themeFill="accent6" w:themeFillTint="3F"/>
      </w:tcPr>
    </w:tblStylePr>
    <w:tblStylePr w:type="nwCell">
      <w:tblPr/>
      <w:tcPr>
        <w:shd w:val="clear" w:color="auto" w:fill="0072BC" w:themeFill="background1"/>
      </w:tcPr>
    </w:tblStylePr>
    <w:tblStylePr w:type="swCell">
      <w:tblPr/>
      <w:tcPr>
        <w:tcBorders>
          <w:top w:val="nil"/>
        </w:tcBorders>
      </w:tcPr>
    </w:tblStylePr>
  </w:style>
  <w:style w:type="table" w:styleId="Srednjesenenje1">
    <w:name w:val="Medium Shading 1"/>
    <w:basedOn w:val="Navadnatabela"/>
    <w:uiPriority w:val="99"/>
    <w:semiHidden/>
    <w:rsid w:val="00014566"/>
    <w:rPr>
      <w:lang w:val="fr-FR" w:eastAsia="fr-FR"/>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0072BC"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rednjesenenje1poudarek1">
    <w:name w:val="Medium Shading 1 Accent 1"/>
    <w:basedOn w:val="Navadnatabela"/>
    <w:uiPriority w:val="99"/>
    <w:semiHidden/>
    <w:rsid w:val="00014566"/>
    <w:rPr>
      <w:lang w:val="fr-FR" w:eastAsia="fr-FR"/>
    </w:rPr>
    <w:tblPr>
      <w:tblStyleRowBandSize w:val="1"/>
      <w:tblStyleColBandSize w:val="1"/>
      <w:tbl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single" w:sz="8" w:space="0" w:color="0D9FFF" w:themeColor="accent1" w:themeTint="BF"/>
      </w:tblBorders>
    </w:tblPr>
    <w:tblStylePr w:type="firstRow">
      <w:pPr>
        <w:spacing w:before="0" w:after="0" w:line="240" w:lineRule="auto"/>
      </w:pPr>
      <w:rPr>
        <w:b/>
        <w:bCs/>
        <w:color w:val="0072BC" w:themeColor="background1"/>
      </w:rPr>
      <w:tblPr/>
      <w:tcPr>
        <w:tcBorders>
          <w:top w:val="single" w:sz="8"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shd w:val="clear" w:color="auto" w:fill="0072BC" w:themeFill="accent1"/>
      </w:tcPr>
    </w:tblStylePr>
    <w:tblStylePr w:type="lastRow">
      <w:pPr>
        <w:spacing w:before="0" w:after="0" w:line="240" w:lineRule="auto"/>
      </w:pPr>
      <w:rPr>
        <w:b/>
        <w:bCs/>
      </w:rPr>
      <w:tblPr/>
      <w:tcPr>
        <w:tcBorders>
          <w:top w:val="double" w:sz="6" w:space="0" w:color="0D9FFF" w:themeColor="accent1" w:themeTint="BF"/>
          <w:left w:val="single" w:sz="8" w:space="0" w:color="0D9FFF" w:themeColor="accent1" w:themeTint="BF"/>
          <w:bottom w:val="single" w:sz="8" w:space="0" w:color="0D9FFF" w:themeColor="accent1" w:themeTint="BF"/>
          <w:right w:val="single" w:sz="8" w:space="0" w:color="0D9FFF" w:themeColor="accent1" w:themeTint="BF"/>
          <w:insideH w:val="nil"/>
          <w:insideV w:val="nil"/>
        </w:tcBorders>
      </w:tcPr>
    </w:tblStylePr>
    <w:tblStylePr w:type="firstCol">
      <w:rPr>
        <w:b/>
        <w:bCs/>
      </w:rPr>
    </w:tblStylePr>
    <w:tblStylePr w:type="lastCol">
      <w:rPr>
        <w:b/>
        <w:bCs/>
      </w:rPr>
    </w:tblStylePr>
    <w:tblStylePr w:type="band1Vert">
      <w:tblPr/>
      <w:tcPr>
        <w:shd w:val="clear" w:color="auto" w:fill="AFDFFF" w:themeFill="accent1" w:themeFillTint="3F"/>
      </w:tcPr>
    </w:tblStylePr>
    <w:tblStylePr w:type="band1Horz">
      <w:tblPr/>
      <w:tcPr>
        <w:tcBorders>
          <w:insideH w:val="nil"/>
          <w:insideV w:val="nil"/>
        </w:tcBorders>
        <w:shd w:val="clear" w:color="auto" w:fill="AFDFFF" w:themeFill="accent1" w:themeFillTint="3F"/>
      </w:tcPr>
    </w:tblStylePr>
    <w:tblStylePr w:type="band2Horz">
      <w:tblPr/>
      <w:tcPr>
        <w:tcBorders>
          <w:insideH w:val="nil"/>
          <w:insideV w:val="nil"/>
        </w:tcBorders>
      </w:tcPr>
    </w:tblStylePr>
  </w:style>
  <w:style w:type="table" w:styleId="Srednjesenenje1poudarek2">
    <w:name w:val="Medium Shading 1 Accent 2"/>
    <w:basedOn w:val="Navadnatabela"/>
    <w:uiPriority w:val="99"/>
    <w:semiHidden/>
    <w:rsid w:val="00014566"/>
    <w:rPr>
      <w:lang w:val="fr-FR" w:eastAsia="fr-FR"/>
    </w:rPr>
    <w:tblPr>
      <w:tblStyleRowBandSize w:val="1"/>
      <w:tblStyleColBandSize w:val="1"/>
      <w:tbl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single" w:sz="8" w:space="0" w:color="FF1010" w:themeColor="accent2" w:themeTint="BF"/>
      </w:tblBorders>
    </w:tblPr>
    <w:tblStylePr w:type="firstRow">
      <w:pPr>
        <w:spacing w:before="0" w:after="0" w:line="240" w:lineRule="auto"/>
      </w:pPr>
      <w:rPr>
        <w:b/>
        <w:bCs/>
        <w:color w:val="0072BC" w:themeColor="background1"/>
      </w:rPr>
      <w:tblPr/>
      <w:tcPr>
        <w:tcBorders>
          <w:top w:val="single" w:sz="8"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shd w:val="clear" w:color="auto" w:fill="C00000" w:themeFill="accent2"/>
      </w:tcPr>
    </w:tblStylePr>
    <w:tblStylePr w:type="lastRow">
      <w:pPr>
        <w:spacing w:before="0" w:after="0" w:line="240" w:lineRule="auto"/>
      </w:pPr>
      <w:rPr>
        <w:b/>
        <w:bCs/>
      </w:rPr>
      <w:tblPr/>
      <w:tcPr>
        <w:tcBorders>
          <w:top w:val="double" w:sz="6" w:space="0" w:color="FF1010" w:themeColor="accent2" w:themeTint="BF"/>
          <w:left w:val="single" w:sz="8" w:space="0" w:color="FF1010" w:themeColor="accent2" w:themeTint="BF"/>
          <w:bottom w:val="single" w:sz="8" w:space="0" w:color="FF1010" w:themeColor="accent2" w:themeTint="BF"/>
          <w:right w:val="single" w:sz="8" w:space="0" w:color="FF1010"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B0B0" w:themeFill="accent2" w:themeFillTint="3F"/>
      </w:tcPr>
    </w:tblStylePr>
    <w:tblStylePr w:type="band1Horz">
      <w:tblPr/>
      <w:tcPr>
        <w:tcBorders>
          <w:insideH w:val="nil"/>
          <w:insideV w:val="nil"/>
        </w:tcBorders>
        <w:shd w:val="clear" w:color="auto" w:fill="FFB0B0" w:themeFill="accent2" w:themeFillTint="3F"/>
      </w:tcPr>
    </w:tblStylePr>
    <w:tblStylePr w:type="band2Horz">
      <w:tblPr/>
      <w:tcPr>
        <w:tcBorders>
          <w:insideH w:val="nil"/>
          <w:insideV w:val="nil"/>
        </w:tcBorders>
      </w:tcPr>
    </w:tblStylePr>
  </w:style>
  <w:style w:type="table" w:styleId="Srednjesenenje1poudarek3">
    <w:name w:val="Medium Shading 1 Accent 3"/>
    <w:basedOn w:val="Navadnatabela"/>
    <w:uiPriority w:val="99"/>
    <w:semiHidden/>
    <w:rsid w:val="00014566"/>
    <w:rPr>
      <w:lang w:val="fr-FR" w:eastAsia="fr-FR"/>
    </w:rPr>
    <w:tblPr>
      <w:tblStyleRowBandSize w:val="1"/>
      <w:tblStyleColBandSize w:val="1"/>
      <w:tbl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single" w:sz="8" w:space="0" w:color="878787" w:themeColor="accent3" w:themeTint="BF"/>
      </w:tblBorders>
    </w:tblPr>
    <w:tblStylePr w:type="firstRow">
      <w:pPr>
        <w:spacing w:before="0" w:after="0" w:line="240" w:lineRule="auto"/>
      </w:pPr>
      <w:rPr>
        <w:b/>
        <w:bCs/>
        <w:color w:val="0072BC" w:themeColor="background1"/>
      </w:rPr>
      <w:tblPr/>
      <w:tcPr>
        <w:tcBorders>
          <w:top w:val="single" w:sz="8"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shd w:val="clear" w:color="auto" w:fill="5F5F5F" w:themeFill="accent3"/>
      </w:tcPr>
    </w:tblStylePr>
    <w:tblStylePr w:type="lastRow">
      <w:pPr>
        <w:spacing w:before="0" w:after="0" w:line="240" w:lineRule="auto"/>
      </w:pPr>
      <w:rPr>
        <w:b/>
        <w:bCs/>
      </w:rPr>
      <w:tblPr/>
      <w:tcPr>
        <w:tcBorders>
          <w:top w:val="double" w:sz="6" w:space="0" w:color="878787" w:themeColor="accent3" w:themeTint="BF"/>
          <w:left w:val="single" w:sz="8" w:space="0" w:color="878787" w:themeColor="accent3" w:themeTint="BF"/>
          <w:bottom w:val="single" w:sz="8" w:space="0" w:color="878787" w:themeColor="accent3" w:themeTint="BF"/>
          <w:right w:val="single" w:sz="8" w:space="0" w:color="878787" w:themeColor="accent3"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3" w:themeFillTint="3F"/>
      </w:tcPr>
    </w:tblStylePr>
    <w:tblStylePr w:type="band1Horz">
      <w:tblPr/>
      <w:tcPr>
        <w:tcBorders>
          <w:insideH w:val="nil"/>
          <w:insideV w:val="nil"/>
        </w:tcBorders>
        <w:shd w:val="clear" w:color="auto" w:fill="D7D7D7" w:themeFill="accent3" w:themeFillTint="3F"/>
      </w:tcPr>
    </w:tblStylePr>
    <w:tblStylePr w:type="band2Horz">
      <w:tblPr/>
      <w:tcPr>
        <w:tcBorders>
          <w:insideH w:val="nil"/>
          <w:insideV w:val="nil"/>
        </w:tcBorders>
      </w:tcPr>
    </w:tblStylePr>
  </w:style>
  <w:style w:type="table" w:styleId="Srednjesenenje1poudarek4">
    <w:name w:val="Medium Shading 1 Accent 4"/>
    <w:basedOn w:val="Navadnatabela"/>
    <w:uiPriority w:val="99"/>
    <w:semiHidden/>
    <w:rsid w:val="00014566"/>
    <w:rPr>
      <w:lang w:val="fr-FR" w:eastAsia="fr-FR"/>
    </w:rPr>
    <w:tblPr>
      <w:tblStyleRowBandSize w:val="1"/>
      <w:tblStyleColBandSize w:val="1"/>
      <w:tbl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single" w:sz="8" w:space="0" w:color="B0B0B0" w:themeColor="accent4" w:themeTint="BF"/>
      </w:tblBorders>
    </w:tblPr>
    <w:tblStylePr w:type="firstRow">
      <w:pPr>
        <w:spacing w:before="0" w:after="0" w:line="240" w:lineRule="auto"/>
      </w:pPr>
      <w:rPr>
        <w:b/>
        <w:bCs/>
        <w:color w:val="0072BC" w:themeColor="background1"/>
      </w:rPr>
      <w:tblPr/>
      <w:tcPr>
        <w:tcBorders>
          <w:top w:val="single" w:sz="8"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shd w:val="clear" w:color="auto" w:fill="969696" w:themeFill="accent4"/>
      </w:tcPr>
    </w:tblStylePr>
    <w:tblStylePr w:type="lastRow">
      <w:pPr>
        <w:spacing w:before="0" w:after="0" w:line="240" w:lineRule="auto"/>
      </w:pPr>
      <w:rPr>
        <w:b/>
        <w:bCs/>
      </w:rPr>
      <w:tblPr/>
      <w:tcPr>
        <w:tcBorders>
          <w:top w:val="double" w:sz="6" w:space="0" w:color="B0B0B0" w:themeColor="accent4" w:themeTint="BF"/>
          <w:left w:val="single" w:sz="8" w:space="0" w:color="B0B0B0" w:themeColor="accent4" w:themeTint="BF"/>
          <w:bottom w:val="single" w:sz="8" w:space="0" w:color="B0B0B0" w:themeColor="accent4" w:themeTint="BF"/>
          <w:right w:val="single" w:sz="8" w:space="0" w:color="B0B0B0" w:themeColor="accent4" w:themeTint="BF"/>
          <w:insideH w:val="nil"/>
          <w:insideV w:val="nil"/>
        </w:tcBorders>
      </w:tcPr>
    </w:tblStylePr>
    <w:tblStylePr w:type="firstCol">
      <w:rPr>
        <w:b/>
        <w:bCs/>
      </w:rPr>
    </w:tblStylePr>
    <w:tblStylePr w:type="lastCol">
      <w:rPr>
        <w:b/>
        <w:bCs/>
      </w:rPr>
    </w:tblStylePr>
    <w:tblStylePr w:type="band1Vert">
      <w:tblPr/>
      <w:tcPr>
        <w:shd w:val="clear" w:color="auto" w:fill="E5E5E5" w:themeFill="accent4" w:themeFillTint="3F"/>
      </w:tcPr>
    </w:tblStylePr>
    <w:tblStylePr w:type="band1Horz">
      <w:tblPr/>
      <w:tcPr>
        <w:tcBorders>
          <w:insideH w:val="nil"/>
          <w:insideV w:val="nil"/>
        </w:tcBorders>
        <w:shd w:val="clear" w:color="auto" w:fill="E5E5E5" w:themeFill="accent4" w:themeFillTint="3F"/>
      </w:tcPr>
    </w:tblStylePr>
    <w:tblStylePr w:type="band2Horz">
      <w:tblPr/>
      <w:tcPr>
        <w:tcBorders>
          <w:insideH w:val="nil"/>
          <w:insideV w:val="nil"/>
        </w:tcBorders>
      </w:tcPr>
    </w:tblStylePr>
  </w:style>
  <w:style w:type="table" w:styleId="Srednjesenenje1poudarek5">
    <w:name w:val="Medium Shading 1 Accent 5"/>
    <w:basedOn w:val="Navadnatabela"/>
    <w:uiPriority w:val="99"/>
    <w:semiHidden/>
    <w:rsid w:val="00014566"/>
    <w:rPr>
      <w:lang w:val="fr-FR" w:eastAsia="fr-FR"/>
    </w:rPr>
    <w:tblPr>
      <w:tblStyleRowBandSize w:val="1"/>
      <w:tblStyleColBandSize w:val="1"/>
      <w:tbl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single" w:sz="8" w:space="0" w:color="878787" w:themeColor="accent5" w:themeTint="BF"/>
      </w:tblBorders>
    </w:tblPr>
    <w:tblStylePr w:type="firstRow">
      <w:pPr>
        <w:spacing w:before="0" w:after="0" w:line="240" w:lineRule="auto"/>
      </w:pPr>
      <w:rPr>
        <w:b/>
        <w:bCs/>
        <w:color w:val="0072BC" w:themeColor="background1"/>
      </w:rPr>
      <w:tblPr/>
      <w:tcPr>
        <w:tcBorders>
          <w:top w:val="single" w:sz="8"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shd w:val="clear" w:color="auto" w:fill="5F5F5F" w:themeFill="accent5"/>
      </w:tcPr>
    </w:tblStylePr>
    <w:tblStylePr w:type="lastRow">
      <w:pPr>
        <w:spacing w:before="0" w:after="0" w:line="240" w:lineRule="auto"/>
      </w:pPr>
      <w:rPr>
        <w:b/>
        <w:bCs/>
      </w:rPr>
      <w:tblPr/>
      <w:tcPr>
        <w:tcBorders>
          <w:top w:val="double" w:sz="6" w:space="0" w:color="878787" w:themeColor="accent5" w:themeTint="BF"/>
          <w:left w:val="single" w:sz="8" w:space="0" w:color="878787" w:themeColor="accent5" w:themeTint="BF"/>
          <w:bottom w:val="single" w:sz="8" w:space="0" w:color="878787" w:themeColor="accent5" w:themeTint="BF"/>
          <w:right w:val="single" w:sz="8" w:space="0" w:color="878787" w:themeColor="accent5" w:themeTint="BF"/>
          <w:insideH w:val="nil"/>
          <w:insideV w:val="nil"/>
        </w:tcBorders>
      </w:tcPr>
    </w:tblStylePr>
    <w:tblStylePr w:type="firstCol">
      <w:rPr>
        <w:b/>
        <w:bCs/>
      </w:rPr>
    </w:tblStylePr>
    <w:tblStylePr w:type="lastCol">
      <w:rPr>
        <w:b/>
        <w:bCs/>
      </w:rPr>
    </w:tblStylePr>
    <w:tblStylePr w:type="band1Vert">
      <w:tblPr/>
      <w:tcPr>
        <w:shd w:val="clear" w:color="auto" w:fill="D7D7D7" w:themeFill="accent5" w:themeFillTint="3F"/>
      </w:tcPr>
    </w:tblStylePr>
    <w:tblStylePr w:type="band1Horz">
      <w:tblPr/>
      <w:tcPr>
        <w:tcBorders>
          <w:insideH w:val="nil"/>
          <w:insideV w:val="nil"/>
        </w:tcBorders>
        <w:shd w:val="clear" w:color="auto" w:fill="D7D7D7" w:themeFill="accent5" w:themeFillTint="3F"/>
      </w:tcPr>
    </w:tblStylePr>
    <w:tblStylePr w:type="band2Horz">
      <w:tblPr/>
      <w:tcPr>
        <w:tcBorders>
          <w:insideH w:val="nil"/>
          <w:insideV w:val="nil"/>
        </w:tcBorders>
      </w:tcPr>
    </w:tblStylePr>
  </w:style>
  <w:style w:type="table" w:styleId="Srednjesenenje1poudarek6">
    <w:name w:val="Medium Shading 1 Accent 6"/>
    <w:basedOn w:val="Navadnatabela"/>
    <w:uiPriority w:val="99"/>
    <w:semiHidden/>
    <w:rsid w:val="00014566"/>
    <w:rPr>
      <w:lang w:val="fr-FR" w:eastAsia="fr-FR"/>
    </w:rPr>
    <w:tblPr>
      <w:tblStyleRowBandSize w:val="1"/>
      <w:tblStyleColBandSize w:val="1"/>
      <w:tbl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single" w:sz="8" w:space="0" w:color="797979" w:themeColor="accent6" w:themeTint="BF"/>
      </w:tblBorders>
    </w:tblPr>
    <w:tblStylePr w:type="firstRow">
      <w:pPr>
        <w:spacing w:before="0" w:after="0" w:line="240" w:lineRule="auto"/>
      </w:pPr>
      <w:rPr>
        <w:b/>
        <w:bCs/>
        <w:color w:val="0072BC" w:themeColor="background1"/>
      </w:rPr>
      <w:tblPr/>
      <w:tcPr>
        <w:tcBorders>
          <w:top w:val="single" w:sz="8"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shd w:val="clear" w:color="auto" w:fill="4D4D4D" w:themeFill="accent6"/>
      </w:tcPr>
    </w:tblStylePr>
    <w:tblStylePr w:type="lastRow">
      <w:pPr>
        <w:spacing w:before="0" w:after="0" w:line="240" w:lineRule="auto"/>
      </w:pPr>
      <w:rPr>
        <w:b/>
        <w:bCs/>
      </w:rPr>
      <w:tblPr/>
      <w:tcPr>
        <w:tcBorders>
          <w:top w:val="double" w:sz="6" w:space="0" w:color="797979" w:themeColor="accent6" w:themeTint="BF"/>
          <w:left w:val="single" w:sz="8" w:space="0" w:color="797979" w:themeColor="accent6" w:themeTint="BF"/>
          <w:bottom w:val="single" w:sz="8" w:space="0" w:color="797979" w:themeColor="accent6" w:themeTint="BF"/>
          <w:right w:val="single" w:sz="8" w:space="0" w:color="797979" w:themeColor="accent6" w:themeTint="BF"/>
          <w:insideH w:val="nil"/>
          <w:insideV w:val="nil"/>
        </w:tcBorders>
      </w:tcPr>
    </w:tblStylePr>
    <w:tblStylePr w:type="firstCol">
      <w:rPr>
        <w:b/>
        <w:bCs/>
      </w:rPr>
    </w:tblStylePr>
    <w:tblStylePr w:type="lastCol">
      <w:rPr>
        <w:b/>
        <w:bCs/>
      </w:rPr>
    </w:tblStylePr>
    <w:tblStylePr w:type="band1Vert">
      <w:tblPr/>
      <w:tcPr>
        <w:shd w:val="clear" w:color="auto" w:fill="D3D3D3" w:themeFill="accent6" w:themeFillTint="3F"/>
      </w:tcPr>
    </w:tblStylePr>
    <w:tblStylePr w:type="band1Horz">
      <w:tblPr/>
      <w:tcPr>
        <w:tcBorders>
          <w:insideH w:val="nil"/>
          <w:insideV w:val="nil"/>
        </w:tcBorders>
        <w:shd w:val="clear" w:color="auto" w:fill="D3D3D3" w:themeFill="accent6" w:themeFillTint="3F"/>
      </w:tcPr>
    </w:tblStylePr>
    <w:tblStylePr w:type="band2Horz">
      <w:tblPr/>
      <w:tcPr>
        <w:tcBorders>
          <w:insideH w:val="nil"/>
          <w:insideV w:val="nil"/>
        </w:tcBorders>
      </w:tcPr>
    </w:tblStylePr>
  </w:style>
  <w:style w:type="table" w:styleId="Srednjesenenje2">
    <w:name w:val="Medium Shading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0072BC"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1">
    <w:name w:val="Medium Shading 2 Accent 1"/>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0072BC"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0072BC" w:themeFill="accent1"/>
      </w:tcPr>
    </w:tblStylePr>
    <w:tblStylePr w:type="lastCol">
      <w:rPr>
        <w:b/>
        <w:bCs/>
        <w:color w:val="0072BC" w:themeColor="background1"/>
      </w:rPr>
      <w:tblPr/>
      <w:tcPr>
        <w:tcBorders>
          <w:left w:val="nil"/>
          <w:right w:val="nil"/>
          <w:insideH w:val="nil"/>
          <w:insideV w:val="nil"/>
        </w:tcBorders>
        <w:shd w:val="clear" w:color="auto" w:fill="0072BC" w:themeFill="accent1"/>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2">
    <w:name w:val="Medium Shading 2 Accent 2"/>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C00000"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C00000" w:themeFill="accent2"/>
      </w:tcPr>
    </w:tblStylePr>
    <w:tblStylePr w:type="lastCol">
      <w:rPr>
        <w:b/>
        <w:bCs/>
        <w:color w:val="0072BC" w:themeColor="background1"/>
      </w:rPr>
      <w:tblPr/>
      <w:tcPr>
        <w:tcBorders>
          <w:left w:val="nil"/>
          <w:right w:val="nil"/>
          <w:insideH w:val="nil"/>
          <w:insideV w:val="nil"/>
        </w:tcBorders>
        <w:shd w:val="clear" w:color="auto" w:fill="C00000" w:themeFill="accent2"/>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3">
    <w:name w:val="Medium Shading 2 Accent 3"/>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3"/>
      </w:tcPr>
    </w:tblStylePr>
    <w:tblStylePr w:type="lastCol">
      <w:rPr>
        <w:b/>
        <w:bCs/>
        <w:color w:val="0072BC" w:themeColor="background1"/>
      </w:rPr>
      <w:tblPr/>
      <w:tcPr>
        <w:tcBorders>
          <w:left w:val="nil"/>
          <w:right w:val="nil"/>
          <w:insideH w:val="nil"/>
          <w:insideV w:val="nil"/>
        </w:tcBorders>
        <w:shd w:val="clear" w:color="auto" w:fill="5F5F5F" w:themeFill="accent3"/>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4">
    <w:name w:val="Medium Shading 2 Accent 4"/>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969696"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969696" w:themeFill="accent4"/>
      </w:tcPr>
    </w:tblStylePr>
    <w:tblStylePr w:type="lastCol">
      <w:rPr>
        <w:b/>
        <w:bCs/>
        <w:color w:val="0072BC" w:themeColor="background1"/>
      </w:rPr>
      <w:tblPr/>
      <w:tcPr>
        <w:tcBorders>
          <w:left w:val="nil"/>
          <w:right w:val="nil"/>
          <w:insideH w:val="nil"/>
          <w:insideV w:val="nil"/>
        </w:tcBorders>
        <w:shd w:val="clear" w:color="auto" w:fill="969696" w:themeFill="accent4"/>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5">
    <w:name w:val="Medium Shading 2 Accent 5"/>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5F5F5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5F5F5F" w:themeFill="accent5"/>
      </w:tcPr>
    </w:tblStylePr>
    <w:tblStylePr w:type="lastCol">
      <w:rPr>
        <w:b/>
        <w:bCs/>
        <w:color w:val="0072BC" w:themeColor="background1"/>
      </w:rPr>
      <w:tblPr/>
      <w:tcPr>
        <w:tcBorders>
          <w:left w:val="nil"/>
          <w:right w:val="nil"/>
          <w:insideH w:val="nil"/>
          <w:insideV w:val="nil"/>
        </w:tcBorders>
        <w:shd w:val="clear" w:color="auto" w:fill="5F5F5F" w:themeFill="accent5"/>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table" w:styleId="Srednjesenenje2poudarek6">
    <w:name w:val="Medium Shading 2 Accent 6"/>
    <w:basedOn w:val="Navadnatabela"/>
    <w:uiPriority w:val="99"/>
    <w:semiHidden/>
    <w:rsid w:val="00014566"/>
    <w:rPr>
      <w:lang w:val="fr-FR" w:eastAsia="fr-FR"/>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0072BC" w:themeColor="background1"/>
      </w:rPr>
      <w:tblPr/>
      <w:tcPr>
        <w:tcBorders>
          <w:top w:val="single" w:sz="18" w:space="0" w:color="auto"/>
          <w:left w:val="nil"/>
          <w:bottom w:val="single" w:sz="18" w:space="0" w:color="auto"/>
          <w:right w:val="nil"/>
          <w:insideH w:val="nil"/>
          <w:insideV w:val="nil"/>
        </w:tcBorders>
        <w:shd w:val="clear" w:color="auto" w:fill="4D4D4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0072BC" w:themeFill="background1"/>
      </w:tcPr>
    </w:tblStylePr>
    <w:tblStylePr w:type="firstCol">
      <w:rPr>
        <w:b/>
        <w:bCs/>
        <w:color w:val="0072BC" w:themeColor="background1"/>
      </w:rPr>
      <w:tblPr/>
      <w:tcPr>
        <w:tcBorders>
          <w:top w:val="nil"/>
          <w:left w:val="nil"/>
          <w:bottom w:val="single" w:sz="18" w:space="0" w:color="auto"/>
          <w:right w:val="nil"/>
          <w:insideH w:val="nil"/>
          <w:insideV w:val="nil"/>
        </w:tcBorders>
        <w:shd w:val="clear" w:color="auto" w:fill="4D4D4D" w:themeFill="accent6"/>
      </w:tcPr>
    </w:tblStylePr>
    <w:tblStylePr w:type="lastCol">
      <w:rPr>
        <w:b/>
        <w:bCs/>
        <w:color w:val="0072BC" w:themeColor="background1"/>
      </w:rPr>
      <w:tblPr/>
      <w:tcPr>
        <w:tcBorders>
          <w:left w:val="nil"/>
          <w:right w:val="nil"/>
          <w:insideH w:val="nil"/>
          <w:insideV w:val="nil"/>
        </w:tcBorders>
        <w:shd w:val="clear" w:color="auto" w:fill="4D4D4D" w:themeFill="accent6"/>
      </w:tcPr>
    </w:tblStylePr>
    <w:tblStylePr w:type="band1Vert">
      <w:tblPr/>
      <w:tcPr>
        <w:tcBorders>
          <w:left w:val="nil"/>
          <w:right w:val="nil"/>
          <w:insideH w:val="nil"/>
          <w:insideV w:val="nil"/>
        </w:tcBorders>
        <w:shd w:val="clear" w:color="auto" w:fill="00609F" w:themeFill="background1" w:themeFillShade="D8"/>
      </w:tcPr>
    </w:tblStylePr>
    <w:tblStylePr w:type="band1Horz">
      <w:tblPr/>
      <w:tcPr>
        <w:shd w:val="clear" w:color="auto" w:fill="00609F"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0072BC" w:themeColor="background1"/>
      </w:rPr>
      <w:tblPr/>
      <w:tcPr>
        <w:tcBorders>
          <w:top w:val="single" w:sz="18" w:space="0" w:color="auto"/>
          <w:left w:val="nil"/>
          <w:bottom w:val="single" w:sz="18" w:space="0" w:color="auto"/>
          <w:right w:val="nil"/>
          <w:insideH w:val="nil"/>
          <w:insideV w:val="nil"/>
        </w:tcBorders>
      </w:tcPr>
    </w:tblStylePr>
  </w:style>
  <w:style w:type="paragraph" w:styleId="Glavasporoila">
    <w:name w:val="Message Header"/>
    <w:basedOn w:val="Navaden"/>
    <w:link w:val="GlavasporoilaZnak"/>
    <w:uiPriority w:val="99"/>
    <w:semiHidden/>
    <w:rsid w:val="00014566"/>
    <w:pPr>
      <w:pBdr>
        <w:top w:val="single" w:sz="6" w:space="1" w:color="auto"/>
        <w:left w:val="single" w:sz="6" w:space="1" w:color="auto"/>
        <w:bottom w:val="single" w:sz="6" w:space="1" w:color="auto"/>
        <w:right w:val="single" w:sz="6" w:space="1" w:color="auto"/>
      </w:pBdr>
      <w:shd w:val="pct20" w:color="auto" w:fill="auto"/>
      <w:ind w:left="1134" w:hanging="1134"/>
    </w:pPr>
    <w:rPr>
      <w:rFonts w:asciiTheme="majorHAnsi" w:eastAsiaTheme="majorEastAsia" w:hAnsiTheme="majorHAnsi" w:cstheme="majorBidi"/>
      <w:szCs w:val="24"/>
    </w:rPr>
  </w:style>
  <w:style w:type="character" w:customStyle="1" w:styleId="GlavasporoilaZnak">
    <w:name w:val="Glava sporočila Znak"/>
    <w:basedOn w:val="Privzetapisavaodstavka"/>
    <w:link w:val="Glavasporoila"/>
    <w:uiPriority w:val="99"/>
    <w:semiHidden/>
    <w:rsid w:val="00014566"/>
    <w:rPr>
      <w:rFonts w:asciiTheme="majorHAnsi" w:eastAsiaTheme="majorEastAsia" w:hAnsiTheme="majorHAnsi" w:cstheme="majorBidi"/>
      <w:sz w:val="24"/>
      <w:szCs w:val="24"/>
      <w:shd w:val="pct20" w:color="auto" w:fill="auto"/>
    </w:rPr>
  </w:style>
  <w:style w:type="paragraph" w:styleId="Navadensplet">
    <w:name w:val="Normal (Web)"/>
    <w:basedOn w:val="Navaden"/>
    <w:uiPriority w:val="99"/>
    <w:semiHidden/>
    <w:rsid w:val="00014566"/>
    <w:rPr>
      <w:rFonts w:ascii="Times New Roman" w:hAnsi="Times New Roman" w:cs="Times New Roman"/>
      <w:szCs w:val="24"/>
    </w:rPr>
  </w:style>
  <w:style w:type="paragraph" w:styleId="Navaden-zamik">
    <w:name w:val="Normal Indent"/>
    <w:basedOn w:val="Navaden"/>
    <w:uiPriority w:val="99"/>
    <w:semiHidden/>
    <w:rsid w:val="00014566"/>
    <w:pPr>
      <w:ind w:left="720"/>
    </w:pPr>
  </w:style>
  <w:style w:type="paragraph" w:styleId="Opomba-naslov">
    <w:name w:val="Note Heading"/>
    <w:basedOn w:val="Navaden"/>
    <w:next w:val="Navaden"/>
    <w:link w:val="Opomba-naslovZnak"/>
    <w:uiPriority w:val="99"/>
    <w:semiHidden/>
    <w:rsid w:val="00014566"/>
  </w:style>
  <w:style w:type="character" w:customStyle="1" w:styleId="Opomba-naslovZnak">
    <w:name w:val="Opomba - naslov Znak"/>
    <w:basedOn w:val="Privzetapisavaodstavka"/>
    <w:link w:val="Opomba-naslov"/>
    <w:uiPriority w:val="99"/>
    <w:semiHidden/>
    <w:rsid w:val="00014566"/>
    <w:rPr>
      <w:rFonts w:eastAsiaTheme="minorEastAsia"/>
      <w:sz w:val="24"/>
    </w:rPr>
  </w:style>
  <w:style w:type="character" w:styleId="Besedilooznabemesta">
    <w:name w:val="Placeholder Text"/>
    <w:basedOn w:val="Privzetapisavaodstavka"/>
    <w:uiPriority w:val="99"/>
    <w:semiHidden/>
    <w:rsid w:val="006A778A"/>
    <w:rPr>
      <w:color w:val="auto"/>
      <w:bdr w:val="none" w:sz="0" w:space="0" w:color="auto"/>
      <w:shd w:val="clear" w:color="auto" w:fill="DFDFDF" w:themeFill="background2" w:themeFillShade="E6"/>
    </w:rPr>
  </w:style>
  <w:style w:type="paragraph" w:styleId="Golobesedilo">
    <w:name w:val="Plain Text"/>
    <w:basedOn w:val="Navaden"/>
    <w:link w:val="GolobesediloZnak"/>
    <w:uiPriority w:val="99"/>
    <w:semiHidden/>
    <w:rsid w:val="00014566"/>
    <w:rPr>
      <w:rFonts w:ascii="Consolas" w:hAnsi="Consolas" w:cs="Consolas"/>
      <w:sz w:val="21"/>
      <w:szCs w:val="21"/>
    </w:rPr>
  </w:style>
  <w:style w:type="character" w:customStyle="1" w:styleId="GolobesediloZnak">
    <w:name w:val="Golo besedilo Znak"/>
    <w:basedOn w:val="Privzetapisavaodstavka"/>
    <w:link w:val="Golobesedilo"/>
    <w:uiPriority w:val="99"/>
    <w:semiHidden/>
    <w:rsid w:val="00014566"/>
    <w:rPr>
      <w:rFonts w:ascii="Consolas" w:eastAsiaTheme="minorEastAsia" w:hAnsi="Consolas" w:cs="Consolas"/>
      <w:sz w:val="21"/>
      <w:szCs w:val="21"/>
    </w:rPr>
  </w:style>
  <w:style w:type="paragraph" w:styleId="Uvodnipozdrav">
    <w:name w:val="Salutation"/>
    <w:basedOn w:val="Navaden"/>
    <w:next w:val="Navaden"/>
    <w:link w:val="UvodnipozdravZnak"/>
    <w:uiPriority w:val="99"/>
    <w:semiHidden/>
    <w:rsid w:val="00014566"/>
  </w:style>
  <w:style w:type="character" w:customStyle="1" w:styleId="UvodnipozdravZnak">
    <w:name w:val="Uvodni pozdrav Znak"/>
    <w:basedOn w:val="Privzetapisavaodstavka"/>
    <w:link w:val="Uvodnipozdrav"/>
    <w:uiPriority w:val="99"/>
    <w:semiHidden/>
    <w:rsid w:val="00014566"/>
    <w:rPr>
      <w:rFonts w:eastAsiaTheme="minorEastAsia"/>
      <w:sz w:val="24"/>
    </w:rPr>
  </w:style>
  <w:style w:type="paragraph" w:styleId="Podpis">
    <w:name w:val="Signature"/>
    <w:basedOn w:val="Navaden"/>
    <w:link w:val="PodpisZnak"/>
    <w:uiPriority w:val="99"/>
    <w:semiHidden/>
    <w:rsid w:val="00014566"/>
    <w:pPr>
      <w:ind w:left="4252"/>
    </w:pPr>
  </w:style>
  <w:style w:type="character" w:customStyle="1" w:styleId="PodpisZnak">
    <w:name w:val="Podpis Znak"/>
    <w:basedOn w:val="Privzetapisavaodstavka"/>
    <w:link w:val="Podpis"/>
    <w:uiPriority w:val="99"/>
    <w:semiHidden/>
    <w:rsid w:val="00014566"/>
    <w:rPr>
      <w:rFonts w:eastAsiaTheme="minorEastAsia"/>
      <w:sz w:val="24"/>
    </w:rPr>
  </w:style>
  <w:style w:type="table" w:styleId="Tabela3-Duinki1">
    <w:name w:val="Table 3D effects 1"/>
    <w:basedOn w:val="Navadnatabela"/>
    <w:uiPriority w:val="99"/>
    <w:semiHidden/>
    <w:rsid w:val="00014566"/>
    <w:pPr>
      <w:suppressAutoHyphens/>
    </w:pPr>
    <w:rPr>
      <w:lang w:val="fr-FR" w:eastAsia="fr-FR"/>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a3-Duinki2">
    <w:name w:val="Table 3D effects 2"/>
    <w:basedOn w:val="Navadnatabela"/>
    <w:uiPriority w:val="99"/>
    <w:semiHidden/>
    <w:rsid w:val="00014566"/>
    <w:pPr>
      <w:suppressAutoHyphens/>
    </w:pPr>
    <w:rPr>
      <w:lang w:val="fr-FR" w:eastAsia="fr-FR"/>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3-Duinki3">
    <w:name w:val="Table 3D effects 3"/>
    <w:basedOn w:val="Navadnatabela"/>
    <w:uiPriority w:val="99"/>
    <w:semiHidden/>
    <w:rsid w:val="00014566"/>
    <w:pPr>
      <w:suppressAutoHyphens/>
    </w:pPr>
    <w:rPr>
      <w:lang w:val="fr-FR" w:eastAsia="fr-FR"/>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1">
    <w:name w:val="Table Classic 1"/>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klasina2">
    <w:name w:val="Table Classic 2"/>
    <w:basedOn w:val="Navadnatabela"/>
    <w:uiPriority w:val="99"/>
    <w:semiHidden/>
    <w:rsid w:val="00014566"/>
    <w:pPr>
      <w:suppressAutoHyphens/>
    </w:pPr>
    <w:rPr>
      <w:lang w:val="fr-FR" w:eastAsia="fr-FR"/>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aklasina3">
    <w:name w:val="Table Classic 3"/>
    <w:basedOn w:val="Navadnatabela"/>
    <w:uiPriority w:val="99"/>
    <w:semiHidden/>
    <w:rsid w:val="00014566"/>
    <w:pPr>
      <w:suppressAutoHyphens/>
    </w:pPr>
    <w:rPr>
      <w:color w:val="000080"/>
      <w:lang w:val="fr-FR" w:eastAsia="fr-FR"/>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aklasina4">
    <w:name w:val="Table Classic 4"/>
    <w:basedOn w:val="Navadnatabela"/>
    <w:uiPriority w:val="99"/>
    <w:semiHidden/>
    <w:rsid w:val="00014566"/>
    <w:pPr>
      <w:suppressAutoHyphens/>
    </w:pPr>
    <w:rPr>
      <w:lang w:val="fr-FR" w:eastAsia="fr-FR"/>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aivobarvna1">
    <w:name w:val="Table Colorful 1"/>
    <w:basedOn w:val="Navadnatabela"/>
    <w:uiPriority w:val="99"/>
    <w:semiHidden/>
    <w:rsid w:val="00014566"/>
    <w:pPr>
      <w:suppressAutoHyphens/>
    </w:pPr>
    <w:rPr>
      <w:color w:val="FFFFFF"/>
      <w:lang w:val="fr-FR" w:eastAsia="fr-FR"/>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aivobarvna2">
    <w:name w:val="Table Colorful 2"/>
    <w:basedOn w:val="Navadnatabela"/>
    <w:uiPriority w:val="99"/>
    <w:semiHidden/>
    <w:rsid w:val="00014566"/>
    <w:pPr>
      <w:suppressAutoHyphens/>
    </w:pPr>
    <w:rPr>
      <w:lang w:val="fr-FR" w:eastAsia="fr-FR"/>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aivobarvna3">
    <w:name w:val="Table Colorful 3"/>
    <w:basedOn w:val="Navadnatabela"/>
    <w:uiPriority w:val="99"/>
    <w:semiHidden/>
    <w:rsid w:val="00014566"/>
    <w:pPr>
      <w:suppressAutoHyphens/>
    </w:pPr>
    <w:rPr>
      <w:lang w:val="fr-FR" w:eastAsia="fr-FR"/>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astolpci1">
    <w:name w:val="Table Columns 1"/>
    <w:basedOn w:val="Navadnatabela"/>
    <w:uiPriority w:val="99"/>
    <w:semiHidden/>
    <w:rsid w:val="00014566"/>
    <w:pPr>
      <w:suppressAutoHyphens/>
    </w:pPr>
    <w:rPr>
      <w:b/>
      <w:bCs/>
      <w:lang w:val="fr-FR" w:eastAsia="fr-FR"/>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2">
    <w:name w:val="Table Columns 2"/>
    <w:basedOn w:val="Navadnatabela"/>
    <w:uiPriority w:val="99"/>
    <w:semiHidden/>
    <w:rsid w:val="00014566"/>
    <w:pPr>
      <w:suppressAutoHyphens/>
    </w:pPr>
    <w:rPr>
      <w:b/>
      <w:bCs/>
      <w:lang w:val="fr-FR" w:eastAsia="fr-FR"/>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tolpci3">
    <w:name w:val="Table Columns 3"/>
    <w:basedOn w:val="Navadnatabela"/>
    <w:uiPriority w:val="99"/>
    <w:semiHidden/>
    <w:rsid w:val="00014566"/>
    <w:pPr>
      <w:suppressAutoHyphens/>
    </w:pPr>
    <w:rPr>
      <w:b/>
      <w:bCs/>
      <w:lang w:val="fr-FR" w:eastAsia="fr-FR"/>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astolpci4">
    <w:name w:val="Table Columns 4"/>
    <w:basedOn w:val="Navadnatabela"/>
    <w:uiPriority w:val="99"/>
    <w:semiHidden/>
    <w:rsid w:val="00014566"/>
    <w:pPr>
      <w:suppressAutoHyphens/>
    </w:pPr>
    <w:rPr>
      <w:lang w:val="fr-FR" w:eastAsia="fr-FR"/>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astolpci5">
    <w:name w:val="Table Columns 5"/>
    <w:basedOn w:val="Navadnatabela"/>
    <w:uiPriority w:val="99"/>
    <w:semiHidden/>
    <w:rsid w:val="00014566"/>
    <w:pPr>
      <w:suppressAutoHyphens/>
    </w:pPr>
    <w:rPr>
      <w:lang w:val="fr-FR" w:eastAsia="fr-FR"/>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asodobna">
    <w:name w:val="Table Contemporary"/>
    <w:basedOn w:val="Navadnatabela"/>
    <w:uiPriority w:val="99"/>
    <w:semiHidden/>
    <w:rsid w:val="00014566"/>
    <w:pPr>
      <w:suppressAutoHyphens/>
    </w:pPr>
    <w:rPr>
      <w:lang w:val="fr-FR" w:eastAsia="fr-FR"/>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aelegantna">
    <w:name w:val="Table Elegant"/>
    <w:basedOn w:val="Navadnatabela"/>
    <w:uiPriority w:val="99"/>
    <w:semiHidden/>
    <w:rsid w:val="00014566"/>
    <w:pPr>
      <w:suppressAutoHyphens/>
    </w:pPr>
    <w:rPr>
      <w:lang w:val="fr-FR" w:eastAsia="fr-FR"/>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amrea1">
    <w:name w:val="Table Grid 1"/>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amrea2">
    <w:name w:val="Table Grid 2"/>
    <w:basedOn w:val="Navadnatabela"/>
    <w:uiPriority w:val="99"/>
    <w:semiHidden/>
    <w:rsid w:val="00014566"/>
    <w:pPr>
      <w:suppressAutoHyphens/>
    </w:pPr>
    <w:rPr>
      <w:lang w:val="fr-FR" w:eastAsia="fr-FR"/>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3">
    <w:name w:val="Table Grid 3"/>
    <w:basedOn w:val="Navadnatabela"/>
    <w:uiPriority w:val="99"/>
    <w:semiHidden/>
    <w:rsid w:val="00014566"/>
    <w:pPr>
      <w:suppressAutoHyphens/>
    </w:pPr>
    <w:rPr>
      <w:lang w:val="fr-FR" w:eastAsia="fr-FR"/>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amrea4">
    <w:name w:val="Table Grid 4"/>
    <w:basedOn w:val="Navadnatabela"/>
    <w:uiPriority w:val="99"/>
    <w:semiHidden/>
    <w:rsid w:val="00014566"/>
    <w:pPr>
      <w:suppressAutoHyphens/>
    </w:pPr>
    <w:rPr>
      <w:lang w:val="fr-FR" w:eastAsia="fr-FR"/>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amrea5">
    <w:name w:val="Table Grid 5"/>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6">
    <w:name w:val="Table Grid 6"/>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7">
    <w:name w:val="Table Grid 7"/>
    <w:basedOn w:val="Navadnatabela"/>
    <w:uiPriority w:val="99"/>
    <w:semiHidden/>
    <w:rsid w:val="00014566"/>
    <w:pPr>
      <w:suppressAutoHyphens/>
    </w:pPr>
    <w:rPr>
      <w:b/>
      <w:bCs/>
      <w:lang w:val="fr-FR" w:eastAsia="fr-FR"/>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amrea8">
    <w:name w:val="Table Grid 8"/>
    <w:basedOn w:val="Navadnatabela"/>
    <w:uiPriority w:val="99"/>
    <w:semiHidden/>
    <w:rsid w:val="00014566"/>
    <w:pPr>
      <w:suppressAutoHyphens/>
    </w:pPr>
    <w:rPr>
      <w:lang w:val="fr-FR" w:eastAsia="fr-FR"/>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aseznam1">
    <w:name w:val="Table List 1"/>
    <w:basedOn w:val="Navadnatabela"/>
    <w:uiPriority w:val="99"/>
    <w:semiHidden/>
    <w:rsid w:val="00014566"/>
    <w:pPr>
      <w:suppressAutoHyphens/>
    </w:pPr>
    <w:rPr>
      <w:lang w:val="fr-FR" w:eastAsia="fr-FR"/>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2">
    <w:name w:val="Table List 2"/>
    <w:basedOn w:val="Navadnatabela"/>
    <w:uiPriority w:val="99"/>
    <w:semiHidden/>
    <w:rsid w:val="00014566"/>
    <w:pPr>
      <w:suppressAutoHyphens/>
    </w:pPr>
    <w:rPr>
      <w:lang w:val="fr-FR" w:eastAsia="fr-FR"/>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seznam3">
    <w:name w:val="Table List 3"/>
    <w:basedOn w:val="Navadnatabela"/>
    <w:uiPriority w:val="99"/>
    <w:semiHidden/>
    <w:rsid w:val="00014566"/>
    <w:pPr>
      <w:suppressAutoHyphens/>
    </w:pPr>
    <w:rPr>
      <w:lang w:val="fr-FR" w:eastAsia="fr-FR"/>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aseznam4">
    <w:name w:val="Table List 4"/>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aseznam5">
    <w:name w:val="Table List 5"/>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aseznam6">
    <w:name w:val="Table List 6"/>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aseznam7">
    <w:name w:val="Table List 7"/>
    <w:basedOn w:val="Navadnatabela"/>
    <w:uiPriority w:val="99"/>
    <w:semiHidden/>
    <w:rsid w:val="00014566"/>
    <w:pPr>
      <w:suppressAutoHyphens/>
    </w:pPr>
    <w:rPr>
      <w:lang w:val="fr-FR" w:eastAsia="fr-FR"/>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aseznam8">
    <w:name w:val="Table List 8"/>
    <w:basedOn w:val="Navadnatabela"/>
    <w:uiPriority w:val="99"/>
    <w:semiHidden/>
    <w:rsid w:val="00014566"/>
    <w:pPr>
      <w:suppressAutoHyphens/>
    </w:pPr>
    <w:rPr>
      <w:lang w:val="fr-FR" w:eastAsia="fr-FR"/>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Kazalovirov">
    <w:name w:val="table of authorities"/>
    <w:basedOn w:val="Navaden"/>
    <w:next w:val="Navaden"/>
    <w:uiPriority w:val="99"/>
    <w:semiHidden/>
    <w:rsid w:val="00014566"/>
    <w:pPr>
      <w:ind w:left="240" w:hanging="240"/>
    </w:pPr>
  </w:style>
  <w:style w:type="paragraph" w:styleId="Kazaloslik">
    <w:name w:val="table of figures"/>
    <w:basedOn w:val="Navaden"/>
    <w:next w:val="Navaden"/>
    <w:uiPriority w:val="99"/>
    <w:semiHidden/>
    <w:rsid w:val="00014566"/>
  </w:style>
  <w:style w:type="table" w:styleId="Tabelaprofesionalna">
    <w:name w:val="Table Professional"/>
    <w:basedOn w:val="Navadnatabela"/>
    <w:uiPriority w:val="99"/>
    <w:semiHidden/>
    <w:rsid w:val="00014566"/>
    <w:pPr>
      <w:suppressAutoHyphens/>
    </w:pPr>
    <w:rPr>
      <w:lang w:val="fr-FR" w:eastAsia="fr-FR"/>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apreprosta1">
    <w:name w:val="Table Simple 1"/>
    <w:basedOn w:val="Navadnatabela"/>
    <w:uiPriority w:val="99"/>
    <w:semiHidden/>
    <w:rsid w:val="00014566"/>
    <w:pPr>
      <w:suppressAutoHyphens/>
    </w:pPr>
    <w:rPr>
      <w:lang w:val="fr-FR" w:eastAsia="fr-FR"/>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apreprosta2">
    <w:name w:val="Table Simple 2"/>
    <w:basedOn w:val="Navadnatabela"/>
    <w:uiPriority w:val="99"/>
    <w:semiHidden/>
    <w:rsid w:val="00014566"/>
    <w:pPr>
      <w:suppressAutoHyphens/>
    </w:pPr>
    <w:rPr>
      <w:lang w:val="fr-FR" w:eastAsia="fr-FR"/>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apreprosta3">
    <w:name w:val="Table Simple 3"/>
    <w:basedOn w:val="Navadnatabela"/>
    <w:uiPriority w:val="99"/>
    <w:semiHidden/>
    <w:rsid w:val="00014566"/>
    <w:pPr>
      <w:suppressAutoHyphens/>
    </w:pPr>
    <w:rPr>
      <w:lang w:val="fr-FR" w:eastAsia="fr-FR"/>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anena1">
    <w:name w:val="Table Subtle 1"/>
    <w:basedOn w:val="Navadnatabela"/>
    <w:uiPriority w:val="99"/>
    <w:semiHidden/>
    <w:rsid w:val="00014566"/>
    <w:pPr>
      <w:suppressAutoHyphens/>
    </w:pPr>
    <w:rPr>
      <w:lang w:val="fr-FR" w:eastAsia="fr-FR"/>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nena2">
    <w:name w:val="Table Subtle 2"/>
    <w:basedOn w:val="Navadnatabela"/>
    <w:uiPriority w:val="99"/>
    <w:semiHidden/>
    <w:rsid w:val="00014566"/>
    <w:pPr>
      <w:suppressAutoHyphens/>
    </w:pPr>
    <w:rPr>
      <w:lang w:val="fr-FR" w:eastAsia="fr-FR"/>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atema">
    <w:name w:val="Table Theme"/>
    <w:basedOn w:val="Navadnatabela"/>
    <w:uiPriority w:val="99"/>
    <w:semiHidden/>
    <w:rsid w:val="00014566"/>
    <w:pPr>
      <w:suppressAutoHyphens/>
    </w:pPr>
    <w:rPr>
      <w:lang w:val="fr-FR"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spletna1">
    <w:name w:val="Table Web 1"/>
    <w:basedOn w:val="Navadnatabela"/>
    <w:uiPriority w:val="99"/>
    <w:semiHidden/>
    <w:rsid w:val="00014566"/>
    <w:pPr>
      <w:suppressAutoHyphens/>
    </w:pPr>
    <w:rPr>
      <w:lang w:val="fr-FR" w:eastAsia="fr-FR"/>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2">
    <w:name w:val="Table Web 2"/>
    <w:basedOn w:val="Navadnatabela"/>
    <w:uiPriority w:val="99"/>
    <w:semiHidden/>
    <w:rsid w:val="00014566"/>
    <w:pPr>
      <w:suppressAutoHyphens/>
    </w:pPr>
    <w:rPr>
      <w:lang w:val="fr-FR" w:eastAsia="fr-FR"/>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aspletna3">
    <w:name w:val="Table Web 3"/>
    <w:basedOn w:val="Navadnatabela"/>
    <w:uiPriority w:val="99"/>
    <w:semiHidden/>
    <w:rsid w:val="00014566"/>
    <w:pPr>
      <w:suppressAutoHyphens/>
    </w:pPr>
    <w:rPr>
      <w:lang w:val="fr-FR" w:eastAsia="fr-FR"/>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Kazalovsebine6">
    <w:name w:val="toc 6"/>
    <w:basedOn w:val="Navaden"/>
    <w:next w:val="Navaden"/>
    <w:autoRedefine/>
    <w:uiPriority w:val="99"/>
    <w:semiHidden/>
    <w:rsid w:val="006A778A"/>
    <w:pPr>
      <w:tabs>
        <w:tab w:val="right" w:leader="dot" w:pos="7371"/>
      </w:tabs>
      <w:spacing w:after="60" w:line="240" w:lineRule="exact"/>
      <w:ind w:left="2041" w:right="567" w:hanging="340"/>
    </w:pPr>
    <w:rPr>
      <w:sz w:val="20"/>
    </w:rPr>
  </w:style>
  <w:style w:type="paragraph" w:styleId="Kazalovsebine7">
    <w:name w:val="toc 7"/>
    <w:basedOn w:val="Navaden"/>
    <w:next w:val="Navaden"/>
    <w:autoRedefine/>
    <w:uiPriority w:val="99"/>
    <w:semiHidden/>
    <w:rsid w:val="006A778A"/>
    <w:pPr>
      <w:tabs>
        <w:tab w:val="right" w:leader="dot" w:pos="7371"/>
      </w:tabs>
      <w:spacing w:after="60" w:line="240" w:lineRule="exact"/>
      <w:ind w:left="2381" w:right="567" w:hanging="340"/>
    </w:pPr>
    <w:rPr>
      <w:sz w:val="20"/>
    </w:rPr>
  </w:style>
  <w:style w:type="paragraph" w:styleId="Kazalovsebine8">
    <w:name w:val="toc 8"/>
    <w:basedOn w:val="Navaden"/>
    <w:next w:val="Navaden"/>
    <w:autoRedefine/>
    <w:uiPriority w:val="99"/>
    <w:semiHidden/>
    <w:rsid w:val="00014566"/>
    <w:pPr>
      <w:spacing w:after="100"/>
      <w:ind w:left="1680"/>
    </w:pPr>
  </w:style>
  <w:style w:type="paragraph" w:styleId="Kazalovsebine9">
    <w:name w:val="toc 9"/>
    <w:basedOn w:val="Navaden"/>
    <w:next w:val="Navaden"/>
    <w:autoRedefine/>
    <w:uiPriority w:val="99"/>
    <w:semiHidden/>
    <w:rsid w:val="00014566"/>
    <w:pPr>
      <w:spacing w:after="100"/>
      <w:ind w:left="1920"/>
    </w:pPr>
  </w:style>
  <w:style w:type="paragraph" w:customStyle="1" w:styleId="OpiHA0">
    <w:name w:val="Opi_H_A"/>
    <w:basedOn w:val="ECHRHeading1"/>
    <w:next w:val="OpiPara"/>
    <w:uiPriority w:val="41"/>
    <w:qFormat/>
    <w:rsid w:val="006A778A"/>
    <w:pPr>
      <w:tabs>
        <w:tab w:val="clear" w:pos="357"/>
      </w:tabs>
      <w:outlineLvl w:val="1"/>
    </w:pPr>
    <w:rPr>
      <w:b/>
    </w:rPr>
  </w:style>
  <w:style w:type="paragraph" w:customStyle="1" w:styleId="OpiHi">
    <w:name w:val="Opi_H_i"/>
    <w:basedOn w:val="ECHRHeading4"/>
    <w:uiPriority w:val="44"/>
    <w:qFormat/>
    <w:rsid w:val="006A778A"/>
    <w:pPr>
      <w:ind w:left="1037" w:hanging="357"/>
      <w:outlineLvl w:val="4"/>
    </w:pPr>
    <w:rPr>
      <w:b w:val="0"/>
      <w:i/>
    </w:rPr>
  </w:style>
  <w:style w:type="paragraph" w:customStyle="1" w:styleId="OpiPara">
    <w:name w:val="Opi_Para"/>
    <w:basedOn w:val="ECHRPara"/>
    <w:uiPriority w:val="46"/>
    <w:qFormat/>
    <w:rsid w:val="006A778A"/>
  </w:style>
  <w:style w:type="paragraph" w:customStyle="1" w:styleId="OpiParaSub">
    <w:name w:val="Opi_Para_Sub"/>
    <w:basedOn w:val="JuParaSub"/>
    <w:uiPriority w:val="47"/>
    <w:qFormat/>
    <w:rsid w:val="006A778A"/>
  </w:style>
  <w:style w:type="paragraph" w:customStyle="1" w:styleId="OpiQuot">
    <w:name w:val="Opi_Quot"/>
    <w:basedOn w:val="ECHRParaQuote"/>
    <w:uiPriority w:val="48"/>
    <w:qFormat/>
    <w:rsid w:val="006A778A"/>
  </w:style>
  <w:style w:type="paragraph" w:customStyle="1" w:styleId="OpiQuotSub">
    <w:name w:val="Opi_Quot_Sub"/>
    <w:basedOn w:val="JuQuotSub"/>
    <w:uiPriority w:val="49"/>
    <w:qFormat/>
    <w:rsid w:val="006A778A"/>
  </w:style>
  <w:style w:type="paragraph" w:customStyle="1" w:styleId="OpiTranslation">
    <w:name w:val="Opi_Translation"/>
    <w:basedOn w:val="Navaden"/>
    <w:next w:val="OpiPara"/>
    <w:uiPriority w:val="40"/>
    <w:qFormat/>
    <w:rsid w:val="006A778A"/>
    <w:pPr>
      <w:jc w:val="center"/>
      <w:outlineLvl w:val="0"/>
    </w:pPr>
    <w:rPr>
      <w:i/>
    </w:rPr>
  </w:style>
  <w:style w:type="character" w:customStyle="1" w:styleId="ECHRParaChar">
    <w:name w:val="ECHR_Para Char"/>
    <w:aliases w:val="Ju_Para Char"/>
    <w:link w:val="ECHRPara"/>
    <w:uiPriority w:val="12"/>
    <w:rsid w:val="005A07CE"/>
    <w:rPr>
      <w:rFonts w:eastAsiaTheme="minorEastAsia"/>
      <w:sz w:val="24"/>
      <w:lang w:val="en-GB"/>
    </w:rPr>
  </w:style>
  <w:style w:type="paragraph" w:styleId="Revizija">
    <w:name w:val="Revision"/>
    <w:hidden/>
    <w:uiPriority w:val="99"/>
    <w:semiHidden/>
    <w:rsid w:val="004A2B9E"/>
    <w:rPr>
      <w:rFonts w:eastAsiaTheme="minorEastAsi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460016">
      <w:bodyDiv w:val="1"/>
      <w:marLeft w:val="0"/>
      <w:marRight w:val="0"/>
      <w:marTop w:val="0"/>
      <w:marBottom w:val="0"/>
      <w:divBdr>
        <w:top w:val="none" w:sz="0" w:space="0" w:color="auto"/>
        <w:left w:val="none" w:sz="0" w:space="0" w:color="auto"/>
        <w:bottom w:val="none" w:sz="0" w:space="0" w:color="auto"/>
        <w:right w:val="none" w:sz="0" w:space="0" w:color="auto"/>
      </w:divBdr>
    </w:div>
    <w:div w:id="431708700">
      <w:bodyDiv w:val="1"/>
      <w:marLeft w:val="0"/>
      <w:marRight w:val="0"/>
      <w:marTop w:val="0"/>
      <w:marBottom w:val="0"/>
      <w:divBdr>
        <w:top w:val="none" w:sz="0" w:space="0" w:color="auto"/>
        <w:left w:val="none" w:sz="0" w:space="0" w:color="auto"/>
        <w:bottom w:val="none" w:sz="0" w:space="0" w:color="auto"/>
        <w:right w:val="none" w:sz="0" w:space="0" w:color="auto"/>
      </w:divBdr>
    </w:div>
    <w:div w:id="971401400">
      <w:bodyDiv w:val="1"/>
      <w:marLeft w:val="0"/>
      <w:marRight w:val="0"/>
      <w:marTop w:val="0"/>
      <w:marBottom w:val="0"/>
      <w:divBdr>
        <w:top w:val="none" w:sz="0" w:space="0" w:color="auto"/>
        <w:left w:val="none" w:sz="0" w:space="0" w:color="auto"/>
        <w:bottom w:val="none" w:sz="0" w:space="0" w:color="auto"/>
        <w:right w:val="none" w:sz="0" w:space="0" w:color="auto"/>
      </w:divBdr>
    </w:div>
    <w:div w:id="1645431580">
      <w:bodyDiv w:val="1"/>
      <w:marLeft w:val="0"/>
      <w:marRight w:val="0"/>
      <w:marTop w:val="0"/>
      <w:marBottom w:val="0"/>
      <w:divBdr>
        <w:top w:val="none" w:sz="0" w:space="0" w:color="auto"/>
        <w:left w:val="none" w:sz="0" w:space="0" w:color="auto"/>
        <w:bottom w:val="none" w:sz="0" w:space="0" w:color="auto"/>
        <w:right w:val="none" w:sz="0" w:space="0" w:color="auto"/>
      </w:divBdr>
    </w:div>
    <w:div w:id="179413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6.xml"/><Relationship Id="rId2" Type="http://schemas.openxmlformats.org/officeDocument/2006/relationships/customXml" Target="../customXml/item2.xml"/><Relationship Id="rId16" Type="http://schemas.openxmlformats.org/officeDocument/2006/relationships/header" Target="header5.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4.xm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ECHR_Theme_Judgments_Decisions_Reports">
  <a:themeElements>
    <a:clrScheme name="ECHR_grey">
      <a:dk1>
        <a:sysClr val="windowText" lastClr="000000"/>
      </a:dk1>
      <a:lt1>
        <a:srgbClr val="0072BC"/>
      </a:lt1>
      <a:dk2>
        <a:srgbClr val="C6C6C6"/>
      </a:dk2>
      <a:lt2>
        <a:srgbClr val="F8F8F8"/>
      </a:lt2>
      <a:accent1>
        <a:srgbClr val="0072BC"/>
      </a:accent1>
      <a:accent2>
        <a:srgbClr val="C00000"/>
      </a:accent2>
      <a:accent3>
        <a:srgbClr val="5F5F5F"/>
      </a:accent3>
      <a:accent4>
        <a:srgbClr val="969696"/>
      </a:accent4>
      <a:accent5>
        <a:srgbClr val="5F5F5F"/>
      </a:accent5>
      <a:accent6>
        <a:srgbClr val="4D4D4D"/>
      </a:accent6>
      <a:hlink>
        <a:srgbClr val="0072BC"/>
      </a:hlink>
      <a:folHlink>
        <a:srgbClr val="7030A0"/>
      </a:folHlink>
    </a:clrScheme>
    <a:fontScheme name="ECHR_Judgments_Reports_Decision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shade val="50000"/>
                <a:satMod val="155000"/>
              </a:schemeClr>
            </a:gs>
            <a:gs pos="35000">
              <a:schemeClr val="phClr">
                <a:shade val="75000"/>
                <a:satMod val="155000"/>
              </a:schemeClr>
            </a:gs>
            <a:gs pos="100000">
              <a:schemeClr val="phClr">
                <a:tint val="80000"/>
                <a:satMod val="255000"/>
              </a:schemeClr>
            </a:gs>
          </a:gsLst>
          <a:lin ang="16200000" scaled="0"/>
        </a:gradFill>
        <a:gradFill rotWithShape="1">
          <a:gsLst>
            <a:gs pos="0">
              <a:schemeClr val="phClr">
                <a:tint val="80000"/>
                <a:satMod val="300000"/>
              </a:schemeClr>
            </a:gs>
            <a:gs pos="100000">
              <a:schemeClr val="phClr">
                <a:shade val="30000"/>
                <a:satMod val="200000"/>
              </a:schemeClr>
            </a:gs>
          </a:gsLst>
          <a:path path="circle">
            <a:fillToRect l="100000" t="100000" r="100000" b="10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8EB02BDB9E204AB350EDD385B68E10" ma:contentTypeVersion="0" ma:contentTypeDescription="Create a new document." ma:contentTypeScope="" ma:versionID="4c0f801ee557d5c8fba2c83aceb7a3a2">
  <xsd:schema xmlns:xsd="http://www.w3.org/2001/XMLSchema" xmlns:xs="http://www.w3.org/2001/XMLSchema" xmlns:p="http://schemas.microsoft.com/office/2006/metadata/properties" targetNamespace="http://schemas.microsoft.com/office/2006/metadata/properties" ma:root="true" ma:fieldsID="66a9e0779a85d62bb2248c31b91edb7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90094F-DA7B-4FB7-91AF-65929D8F93A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54C44C65-B9EE-4AD5-ABCC-220429FACA72}">
  <ds:schemaRefs>
    <ds:schemaRef ds:uri="http://schemas.microsoft.com/sharepoint/v3/contenttype/forms"/>
  </ds:schemaRefs>
</ds:datastoreItem>
</file>

<file path=customXml/itemProps3.xml><?xml version="1.0" encoding="utf-8"?>
<ds:datastoreItem xmlns:ds="http://schemas.openxmlformats.org/officeDocument/2006/customXml" ds:itemID="{89D8A48C-01BF-4442-B204-CAF058044CA7}">
  <ds:schemaRefs>
    <ds:schemaRef ds:uri="http://purl.org/dc/terms/"/>
    <ds:schemaRef ds:uri="http://schemas.openxmlformats.org/package/2006/metadata/core-properties"/>
    <ds:schemaRef ds:uri="http://purl.org/dc/dcmitype/"/>
    <ds:schemaRef ds:uri="http://schemas.microsoft.com/office/infopath/2007/PartnerControls"/>
    <ds:schemaRef ds:uri="http://schemas.microsoft.com/office/2006/documentManagement/types"/>
    <ds:schemaRef ds:uri="http://schemas.microsoft.com/office/2006/metadata/properties"/>
    <ds:schemaRef ds:uri="http://www.w3.org/XML/1998/namespace"/>
    <ds:schemaRef ds:uri="http://purl.org/dc/elements/1.1/"/>
  </ds:schemaRefs>
</ds:datastoreItem>
</file>

<file path=customXml/itemProps4.xml><?xml version="1.0" encoding="utf-8"?>
<ds:datastoreItem xmlns:ds="http://schemas.openxmlformats.org/officeDocument/2006/customXml" ds:itemID="{B7B1642B-6818-4A10-96D2-ED631EF9F5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6812</Words>
  <Characters>38834</Characters>
  <Application>Microsoft Office Word</Application>
  <DocSecurity>4</DocSecurity>
  <Lines>323</Lines>
  <Paragraphs>91</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ECHR</vt:lpstr>
      <vt:lpstr>ECHR</vt:lpstr>
    </vt:vector>
  </TitlesOfParts>
  <LinksUpToDate>false</LinksUpToDate>
  <CharactersWithSpaces>45555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ECHR</dc:title>
  <dc:subject>DJ</dc:subject>
  <dc:creator/>
  <cp:lastModifiedBy/>
  <cp:revision>1</cp:revision>
  <cp:lastPrinted>2018-01-11T16:27:00Z</cp:lastPrinted>
  <dcterms:created xsi:type="dcterms:W3CDTF">2018-11-19T07:27:00Z</dcterms:created>
  <dcterms:modified xsi:type="dcterms:W3CDTF">2018-11-19T07:27:00Z</dcterms:modified>
  <cp:category>ECHR Template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stLanguage">
    <vt:i4>2057</vt:i4>
  </property>
  <property fmtid="{D5CDD505-2E9C-101B-9397-08002B2CF9AE}" pid="3" name="RegisteredNo">
    <vt:lpwstr>28621/15</vt:lpwstr>
  </property>
  <property fmtid="{D5CDD505-2E9C-101B-9397-08002B2CF9AE}" pid="4" name="CASEID">
    <vt:lpwstr>1138979</vt:lpwstr>
  </property>
  <property fmtid="{D5CDD505-2E9C-101B-9397-08002B2CF9AE}" pid="5" name="ContentTypeId">
    <vt:lpwstr>0x010100558EB02BDB9E204AB350EDD385B68E10</vt:lpwstr>
  </property>
</Properties>
</file>